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eastAsia="zh-CN"/>
        </w:rPr>
      </w:pPr>
      <w:r>
        <w:rPr>
          <w:rFonts w:hint="eastAsia"/>
          <w:lang w:val="en-US" w:eastAsia="zh-CN"/>
        </w:rPr>
        <w:t>信息接口</w:t>
      </w:r>
      <w:r>
        <w:rPr>
          <w:lang w:eastAsia="zh-CN"/>
        </w:rPr>
        <w:t>设计方案</w:t>
      </w:r>
    </w:p>
    <w:p>
      <w:pPr>
        <w:spacing w:before="156" w:after="156" w:line="360" w:lineRule="auto"/>
        <w:jc w:val="center"/>
        <w:rPr>
          <w:rFonts w:ascii="Times New Roman" w:hAnsi="Times New Roman"/>
          <w:b/>
          <w:sz w:val="52"/>
          <w:lang w:eastAsia="zh-CN"/>
        </w:rPr>
      </w:pPr>
    </w:p>
    <w:p>
      <w:pPr>
        <w:spacing w:before="156" w:after="156" w:line="360" w:lineRule="auto"/>
        <w:jc w:val="center"/>
        <w:rPr>
          <w:rFonts w:ascii="Times New Roman" w:hAnsi="Times New Roman"/>
          <w:b/>
          <w:sz w:val="52"/>
          <w:lang w:eastAsia="zh-CN"/>
        </w:rPr>
      </w:pPr>
    </w:p>
    <w:tbl>
      <w:tblPr>
        <w:tblStyle w:val="5"/>
        <w:tblW w:w="6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68" w:type="dxa"/>
            <w:shd w:val="clear" w:color="auto" w:fill="D9D9D9"/>
          </w:tcPr>
          <w:p>
            <w:pPr>
              <w:spacing w:before="156" w:after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当前版本：</w:t>
            </w:r>
          </w:p>
        </w:tc>
        <w:tc>
          <w:tcPr>
            <w:tcW w:w="4240" w:type="dxa"/>
            <w:vAlign w:val="center"/>
          </w:tcPr>
          <w:p>
            <w:pPr>
              <w:spacing w:before="156" w:after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8" w:type="dxa"/>
            <w:shd w:val="clear" w:color="auto" w:fill="D9D9D9"/>
          </w:tcPr>
          <w:p>
            <w:pPr>
              <w:spacing w:before="156" w:after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制作单位：</w:t>
            </w:r>
          </w:p>
        </w:tc>
        <w:tc>
          <w:tcPr>
            <w:tcW w:w="4240" w:type="dxa"/>
            <w:vAlign w:val="center"/>
          </w:tcPr>
          <w:p>
            <w:pPr>
              <w:spacing w:before="156" w:after="156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广东省分行信息科技部系统服务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团队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="156" w:after="156"/>
        <w:jc w:val="center"/>
        <w:rPr>
          <w:sz w:val="28"/>
        </w:rPr>
      </w:pPr>
      <w:r>
        <w:rPr>
          <w:sz w:val="32"/>
        </w:rPr>
        <w:sym w:font="Symbol" w:char="F0D3"/>
      </w:r>
      <w:r>
        <w:rPr>
          <w:rFonts w:hint="eastAsia"/>
          <w:sz w:val="32"/>
        </w:rPr>
        <w:t xml:space="preserve"> </w:t>
      </w:r>
      <w:r>
        <w:rPr>
          <w:rFonts w:hint="eastAsia"/>
          <w:sz w:val="28"/>
        </w:rPr>
        <w:t>中国银行 版权所有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right" w:pos="8306"/>
        </w:tabs>
        <w:spacing w:before="156" w:after="156" w:line="360" w:lineRule="auto"/>
        <w:jc w:val="center"/>
        <w:rPr>
          <w:rFonts w:ascii="Times New Roman" w:hAnsi="Times New Roman"/>
          <w:b/>
          <w:sz w:val="28"/>
          <w:lang w:eastAsia="zh-CN"/>
        </w:rPr>
      </w:pPr>
      <w:r>
        <w:rPr>
          <w:rFonts w:ascii="Times New Roman" w:hAnsi="Times New Roman"/>
          <w:b/>
          <w:sz w:val="28"/>
          <w:lang w:eastAsia="zh-CN"/>
        </w:rPr>
        <w:t>文档更改记录表</w:t>
      </w:r>
    </w:p>
    <w:tbl>
      <w:tblPr>
        <w:tblStyle w:val="5"/>
        <w:tblW w:w="8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1073"/>
        <w:gridCol w:w="1479"/>
        <w:gridCol w:w="1214"/>
        <w:gridCol w:w="331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日期</w:t>
            </w:r>
          </w:p>
        </w:tc>
        <w:tc>
          <w:tcPr>
            <w:tcW w:w="1479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文档版本</w:t>
            </w:r>
          </w:p>
        </w:tc>
        <w:tc>
          <w:tcPr>
            <w:tcW w:w="1214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修订标志</w:t>
            </w:r>
          </w:p>
        </w:tc>
        <w:tc>
          <w:tcPr>
            <w:tcW w:w="3318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修订说明</w:t>
            </w:r>
          </w:p>
        </w:tc>
        <w:tc>
          <w:tcPr>
            <w:tcW w:w="1339" w:type="dxa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20</w:t>
            </w:r>
            <w:r>
              <w:rPr>
                <w:rFonts w:hint="eastAsia" w:ascii="Times New Roman" w:hAnsi="Times New Roman"/>
                <w:sz w:val="20"/>
                <w:lang w:val="en-US" w:eastAsia="zh-CN"/>
              </w:rPr>
              <w:t>21</w:t>
            </w:r>
            <w:r>
              <w:rPr>
                <w:rFonts w:ascii="Times New Roman" w:hAnsi="Times New Roman"/>
                <w:sz w:val="20"/>
                <w:lang w:eastAsia="zh-CN"/>
              </w:rPr>
              <w:t>/</w:t>
            </w:r>
            <w:r>
              <w:rPr>
                <w:rFonts w:hint="eastAsia" w:ascii="Times New Roman" w:hAnsi="Times New Roman"/>
                <w:sz w:val="20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 w:val="20"/>
                <w:lang w:eastAsia="zh-CN"/>
              </w:rPr>
              <w:t>/</w:t>
            </w:r>
            <w:r>
              <w:rPr>
                <w:rFonts w:hint="eastAsia" w:ascii="Times New Roman" w:hAnsi="Times New Roman"/>
                <w:sz w:val="20"/>
                <w:lang w:val="en-US" w:eastAsia="zh-CN"/>
              </w:rPr>
              <w:t>23</w:t>
            </w: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1.0</w:t>
            </w: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A</w:t>
            </w: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新增</w:t>
            </w: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hint="eastAsia" w:ascii="Times New Roman" w:hAnsi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lang w:val="en-US" w:eastAsia="zh-CN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</w:trPr>
        <w:tc>
          <w:tcPr>
            <w:tcW w:w="1073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before="40" w:after="40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before="156" w:after="156" w:line="360" w:lineRule="auto"/>
        <w:rPr>
          <w:rFonts w:ascii="Times New Roman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  <w:lang w:eastAsia="zh-CN"/>
        </w:rPr>
        <w:t>修订标志：A</w:t>
      </w:r>
      <w:r>
        <w:rPr>
          <w:rFonts w:ascii="Times New Roman" w:hAnsi="Times New Roman"/>
          <w:sz w:val="20"/>
          <w:lang w:eastAsia="zh-CN"/>
        </w:rPr>
        <w:t xml:space="preserve"> – 添加的  </w:t>
      </w:r>
      <w:r>
        <w:rPr>
          <w:rFonts w:ascii="Times New Roman" w:hAnsi="Times New Roman"/>
          <w:b/>
          <w:sz w:val="20"/>
          <w:lang w:eastAsia="zh-CN"/>
        </w:rPr>
        <w:t>M</w:t>
      </w:r>
      <w:r>
        <w:rPr>
          <w:rFonts w:ascii="Times New Roman" w:hAnsi="Times New Roman"/>
          <w:sz w:val="20"/>
          <w:lang w:eastAsia="zh-CN"/>
        </w:rPr>
        <w:t xml:space="preserve"> – 修改的  </w:t>
      </w:r>
      <w:r>
        <w:rPr>
          <w:rFonts w:ascii="Times New Roman" w:hAnsi="Times New Roman"/>
          <w:b/>
          <w:sz w:val="20"/>
          <w:lang w:eastAsia="zh-CN"/>
        </w:rPr>
        <w:t>D</w:t>
      </w:r>
      <w:r>
        <w:rPr>
          <w:rFonts w:ascii="Times New Roman" w:hAnsi="Times New Roman"/>
          <w:sz w:val="20"/>
          <w:lang w:eastAsia="zh-CN"/>
        </w:rPr>
        <w:t xml:space="preserve"> – 删除的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1、接口规范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1.1、信息接口使用WebService方式提供对外接口服务。各外部接口可通过SOAP标准连接方式进行调用。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本系统使用微软VS.NET开发，在微软Visual Studio中添加服务引用，输入服务连接地址即可实现引用。具体见Visual Studio相关开发文档。其它语言工具的调用请参照相应开发文档及SOAP开发规范。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1.2、调用地址：</w:t>
      </w:r>
    </w:p>
    <w:tbl>
      <w:tblPr>
        <w:tblStyle w:val="6"/>
        <w:tblW w:w="7690" w:type="dxa"/>
        <w:tblInd w:w="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490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接入功能</w:t>
            </w:r>
          </w:p>
        </w:tc>
        <w:tc>
          <w:tcPr>
            <w:tcW w:w="49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接入地址</w:t>
            </w:r>
          </w:p>
        </w:tc>
        <w:tc>
          <w:tcPr>
            <w:tcW w:w="7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短信</w:t>
            </w:r>
          </w:p>
        </w:tc>
        <w:tc>
          <w:tcPr>
            <w:tcW w:w="49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http://url/MessageCenter/SMS.asmx</w:t>
            </w:r>
            <w:bookmarkStart w:id="0" w:name="_GoBack"/>
            <w:bookmarkEnd w:id="0"/>
          </w:p>
        </w:tc>
        <w:tc>
          <w:tcPr>
            <w:tcW w:w="7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行信/企业微信</w:t>
            </w:r>
          </w:p>
        </w:tc>
        <w:tc>
          <w:tcPr>
            <w:tcW w:w="490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http://url/MessageCenter/Message.asmx</w:t>
            </w:r>
          </w:p>
        </w:tc>
        <w:tc>
          <w:tcPr>
            <w:tcW w:w="7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Notes邮件</w:t>
            </w:r>
          </w:p>
        </w:tc>
        <w:tc>
          <w:tcPr>
            <w:tcW w:w="49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http://url/MessageCenter/EMAIL.asmx</w:t>
            </w:r>
          </w:p>
        </w:tc>
        <w:tc>
          <w:tcPr>
            <w:tcW w:w="7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ITSP告警工单</w:t>
            </w:r>
          </w:p>
        </w:tc>
        <w:tc>
          <w:tcPr>
            <w:tcW w:w="49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http://url/MessageCenter/GDITSP.asmx</w:t>
            </w:r>
          </w:p>
        </w:tc>
        <w:tc>
          <w:tcPr>
            <w:tcW w:w="7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停用</w:t>
            </w:r>
          </w:p>
        </w:tc>
      </w:tr>
    </w:tbl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注：以上地址中的url，以最新公布为准。现时：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生产地址：simp.gd.bank-of-china.com或21.136.8.94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测试地址：22.136.67.177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1.3、调用本接口需要提供key, sourceSystem参数。初始阶段key为A1B2C3，sourceSystem为自定义的调用应用名称。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以后可能根据需要，对相关调用程序配置独立的key和应用名称。因此，建议允许此参数进行客户化配置。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下文，对建议进行客户化配置的参数将使用</w:t>
      </w:r>
      <w:r>
        <w:rPr>
          <w:rFonts w:hint="eastAsia"/>
          <w:color w:val="0000FF"/>
          <w:lang w:val="en-US" w:eastAsia="zh-CN"/>
        </w:rPr>
        <w:t>蓝字</w:t>
      </w:r>
      <w:r>
        <w:rPr>
          <w:rFonts w:hint="eastAsia"/>
          <w:lang w:val="en-US" w:eastAsia="zh-CN"/>
        </w:rPr>
        <w:t>表示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2、具体接口说明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1.1、短信接口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"http://url/MessageCenter/SMS.asmx"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http://url/MessageCenter/SMS.asmx</w:t>
      </w:r>
      <w:r>
        <w:rPr>
          <w:rFonts w:hint="eastAsia"/>
          <w:lang w:val="en-US" w:eastAsia="zh-CN"/>
        </w:rPr>
        <w:fldChar w:fldCharType="end"/>
      </w:r>
    </w:p>
    <w:tbl>
      <w:tblPr>
        <w:tblStyle w:val="6"/>
        <w:tblW w:w="7653" w:type="dxa"/>
        <w:tblInd w:w="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04"/>
        <w:gridCol w:w="1704"/>
        <w:gridCol w:w="252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字段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key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Lisence key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sourceSystem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调用应用名称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Sender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发送参数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SYSM：直连短信平台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ITSP：通过ITSP接口连接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对用户没有影响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接收手机号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未使用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Subject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未使用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Content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发送短信内容, 长度一般应小于800，如超过系统自动拆分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1.2、行信/企业微信接口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"http://url/MessageCenter/SMS.asmx"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http://url/MessageCenter/Message.asmx</w:t>
      </w:r>
      <w:r>
        <w:rPr>
          <w:rFonts w:hint="eastAsia"/>
          <w:lang w:val="en-US" w:eastAsia="zh-CN"/>
        </w:rPr>
        <w:fldChar w:fldCharType="end"/>
      </w:r>
    </w:p>
    <w:tbl>
      <w:tblPr>
        <w:tblStyle w:val="6"/>
        <w:tblW w:w="7653" w:type="dxa"/>
        <w:tblInd w:w="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04"/>
        <w:gridCol w:w="1704"/>
        <w:gridCol w:w="252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字段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key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Lisence key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sourceSystem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调用应用名称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Sender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发送参数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HX：发送到用户行信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QY：发送到用户企业微信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接收人EHR号，多个人员可用|号连接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未使用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Subject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留空为默认值，其它值见表格下注释的栏目编号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Content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发送信自内容, 长度一般应小于740，如超过系统自动拆分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注：发送到行信的信息：</w:t>
      </w:r>
    </w:p>
    <w:p>
      <w:pPr>
        <w:numPr>
          <w:ilvl w:val="0"/>
          <w:numId w:val="0"/>
        </w:num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默认在“</w:t>
      </w:r>
      <w:r>
        <w:rPr>
          <w:rFonts w:hint="eastAsia"/>
          <w:lang w:val="en-US" w:eastAsia="zh-CN" w:bidi="en-US"/>
        </w:rPr>
        <w:t>粤·科技驱动</w:t>
      </w:r>
      <w:r>
        <w:rPr>
          <w:rFonts w:hint="eastAsia"/>
          <w:lang w:val="en-US" w:eastAsia="zh-CN"/>
        </w:rPr>
        <w:t>”栏目显示（栏目编号</w:t>
      </w:r>
      <w:r>
        <w:rPr>
          <w:rFonts w:hint="eastAsia"/>
          <w:lang w:val="en-US" w:eastAsia="zh-CN" w:bidi="en-US"/>
        </w:rPr>
        <w:t>1000040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发送到企业微信的信息：</w:t>
      </w:r>
    </w:p>
    <w:p>
      <w:pPr>
        <w:numPr>
          <w:ilvl w:val="0"/>
          <w:numId w:val="0"/>
        </w:num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默认在“单点登录平台消息中心”栏目显示（栏目编号1000021）</w:t>
      </w:r>
    </w:p>
    <w:p>
      <w:pPr>
        <w:numPr>
          <w:ilvl w:val="0"/>
          <w:numId w:val="0"/>
        </w:numPr>
        <w:ind w:left="12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lang w:bidi="en-US"/>
        </w:rPr>
        <w:t>理财师在线</w:t>
      </w:r>
      <w:r>
        <w:rPr>
          <w:rFonts w:hint="eastAsia"/>
          <w:lang w:val="en-US" w:eastAsia="zh-CN"/>
        </w:rPr>
        <w:t>”栏目编号1000018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1.3、邮件接口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"http://url/MessageCenter/SMS.asmx"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http://url/MessageCenter/EMAIL.asmx</w:t>
      </w:r>
      <w:r>
        <w:rPr>
          <w:rFonts w:hint="eastAsia"/>
          <w:lang w:val="en-US" w:eastAsia="zh-CN"/>
        </w:rPr>
        <w:fldChar w:fldCharType="end"/>
      </w:r>
    </w:p>
    <w:tbl>
      <w:tblPr>
        <w:tblStyle w:val="6"/>
        <w:tblW w:w="7653" w:type="dxa"/>
        <w:tblInd w:w="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04"/>
        <w:gridCol w:w="1704"/>
        <w:gridCol w:w="252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字段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key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Lisence key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sourceSystem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调用应用名称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Sender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发送参数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WSSO：通过单点Notes数据库发送，有点慢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SYS：通过普通Notes邮箱发送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OPER：通过运维监控的“中心操作员”邮箱通道发送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WSSO、SYS方案发送人为：GDPRVA04D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接收人邮箱地址，多个人员可用,号连接（WSSO仅支持单个地址）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Receiver2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抄送人邮箱地址，多个人员可用,号连接（WSSO不支持）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Subject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邮件标题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Content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邮件内容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注：对于SYS和OPER两种方式，可通过自定义参数实现对邮件内容文字的字体、颜色的控制，增加链接、附件等。示例如下：</w:t>
      </w:r>
    </w:p>
    <w:p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Lines="0" w:afterLines="0"/>
        <w:ind w:left="420" w:leftChars="0" w:firstLine="420" w:firstLineChars="0"/>
        <w:jc w:val="left"/>
        <w:rPr>
          <w:rFonts w:hint="eastAsia" w:ascii="宋体" w:hAnsi="宋体"/>
          <w:color w:val="000000"/>
          <w:sz w:val="22"/>
          <w:szCs w:val="21"/>
        </w:rPr>
      </w:pP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>[</w:t>
      </w:r>
      <w:r>
        <w:rPr>
          <w:rFonts w:hint="eastAsia" w:ascii="宋体" w:hAnsi="宋体"/>
          <w:color w:val="000000"/>
          <w:sz w:val="22"/>
          <w:szCs w:val="21"/>
        </w:rPr>
        <w:t>@color=green@]IST : Up           HSM1 : Up[@color=black@]</w:t>
      </w:r>
    </w:p>
    <w:p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Lines="0" w:afterLines="0"/>
        <w:ind w:left="420" w:leftChars="0" w:firstLine="420" w:firstLineChars="0"/>
        <w:jc w:val="left"/>
        <w:rPr>
          <w:rFonts w:hint="eastAsia" w:ascii="宋体" w:hAnsi="宋体"/>
          <w:color w:val="000000"/>
          <w:sz w:val="22"/>
          <w:szCs w:val="21"/>
        </w:rPr>
      </w:pPr>
      <w:r>
        <w:rPr>
          <w:rFonts w:hint="eastAsia" w:ascii="宋体" w:hAnsi="宋体"/>
          <w:color w:val="000000"/>
          <w:sz w:val="22"/>
          <w:szCs w:val="21"/>
        </w:rPr>
        <w:t>[@color=blue@]</w:t>
      </w: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>[@size=14@]</w:t>
      </w:r>
      <w:r>
        <w:rPr>
          <w:rFonts w:hint="eastAsia" w:ascii="宋体" w:hAnsi="宋体"/>
          <w:color w:val="000000"/>
          <w:sz w:val="22"/>
          <w:szCs w:val="21"/>
        </w:rPr>
        <w:t xml:space="preserve">操作说明: </w:t>
      </w: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ab/>
      </w: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ab/>
      </w: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ab/>
      </w:r>
      <w:r>
        <w:rPr>
          <w:rFonts w:hint="eastAsia" w:ascii="宋体" w:hAnsi="宋体"/>
          <w:color w:val="000000"/>
          <w:sz w:val="22"/>
          <w:szCs w:val="21"/>
          <w:lang w:val="en-US" w:eastAsia="zh-CN"/>
        </w:rPr>
        <w:tab/>
      </w:r>
      <w:r>
        <w:rPr>
          <w:rFonts w:hint="eastAsia" w:ascii="宋体" w:hAnsi="宋体"/>
          <w:color w:val="000000"/>
          <w:sz w:val="22"/>
          <w:szCs w:val="21"/>
        </w:rPr>
        <w:t>[@id=GDPRVA01D/s/boc|notesapp1\caozuosc.nsf|005596|AIMS日常监控手册@]</w:t>
      </w:r>
    </w:p>
    <w:p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Lines="0" w:afterLines="0"/>
        <w:ind w:left="420" w:leftChars="0" w:firstLine="420" w:firstLineChars="0"/>
        <w:jc w:val="left"/>
        <w:rPr>
          <w:rFonts w:hint="eastAsia" w:ascii="宋体" w:hAnsi="宋体"/>
          <w:color w:val="000000"/>
          <w:sz w:val="22"/>
          <w:szCs w:val="21"/>
        </w:rPr>
      </w:pPr>
      <w:r>
        <w:rPr>
          <w:rFonts w:hint="eastAsia" w:ascii="宋体" w:hAnsi="宋体"/>
          <w:color w:val="000000"/>
          <w:sz w:val="22"/>
          <w:szCs w:val="21"/>
        </w:rPr>
        <w:t xml:space="preserve">  附件:[@att=D:\EventQueue\att\test.zip]#]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1.4、ITSP告警工单接口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"http://url/MessageCenter/SMS.asmx"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http://url/MessageCenter/GDITSP.asmx</w:t>
      </w:r>
      <w:r>
        <w:rPr>
          <w:rFonts w:hint="eastAsia"/>
          <w:lang w:val="en-US" w:eastAsia="zh-CN"/>
        </w:rPr>
        <w:fldChar w:fldCharType="end"/>
      </w:r>
    </w:p>
    <w:tbl>
      <w:tblPr>
        <w:tblStyle w:val="6"/>
        <w:tblW w:w="7653" w:type="dxa"/>
        <w:tblInd w:w="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04"/>
        <w:gridCol w:w="1704"/>
        <w:gridCol w:w="252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字段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key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Lisence key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sourceSystem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调用应用名称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Sender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发送参数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WSSO：通过单点Notes数据库发送，有点慢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SYS：通过普通Notes邮箱发送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OPER：通过运维监控的“中心操作员”邮箱通道发送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WSSO、SYS方案发送人为：GDPRVA04D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Title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工单标题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TitlePrefix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工单标题前辍，默认为【运行监控】，可设置为其它内容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NULL为不使用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content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工单内容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AlertLevel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int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工单级别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1为高级别告警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2为普通告警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SystemId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int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系统ID，具体须由ITSP系统导出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contactName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中心操作员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contactEmail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联系邮箱地址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中心操作员/信息科技部/广东/BOC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contactPhone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contactMobile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25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88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00000000000</w:t>
            </w:r>
          </w:p>
        </w:tc>
      </w:tr>
    </w:tbl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4"/>
        <w:lang w:val="en-US" w:eastAsia="en-US" w:bidi="en-US"/>
      </w:rPr>
      <w:sym w:font="Symbol" w:char="F0D3"/>
    </w:r>
    <w:r>
      <w:rPr>
        <w:kern w:val="0"/>
        <w:szCs w:val="24"/>
        <w:lang w:val="en-US" w:eastAsia="en-US" w:bidi="en-US"/>
      </w:rPr>
      <w:t xml:space="preserve"> </w:t>
    </w:r>
    <w:r>
      <w:rPr>
        <w:rFonts w:eastAsia="楷体_GB2312"/>
        <w:kern w:val="0"/>
        <w:sz w:val="21"/>
        <w:szCs w:val="21"/>
        <w:lang w:val="en-US" w:eastAsia="en-US" w:bidi="en-US"/>
      </w:rPr>
      <w:t>中国银行</w:t>
    </w:r>
    <w:r>
      <w:rPr>
        <w:rFonts w:hint="eastAsia" w:eastAsia="楷体_GB2312"/>
        <w:kern w:val="0"/>
        <w:sz w:val="21"/>
        <w:szCs w:val="21"/>
        <w:lang w:val="en-US" w:eastAsia="zh-CN" w:bidi="en-US"/>
      </w:rPr>
      <w:t>广东省分行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信息接口设计方案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F28E9"/>
    <w:rsid w:val="04662956"/>
    <w:rsid w:val="06486565"/>
    <w:rsid w:val="0CD77A66"/>
    <w:rsid w:val="0EC74ED2"/>
    <w:rsid w:val="1869250A"/>
    <w:rsid w:val="19B0090F"/>
    <w:rsid w:val="34937EAC"/>
    <w:rsid w:val="34DB320E"/>
    <w:rsid w:val="392C1BC1"/>
    <w:rsid w:val="39F10AA7"/>
    <w:rsid w:val="449E0FA5"/>
    <w:rsid w:val="47B60755"/>
    <w:rsid w:val="542C1A83"/>
    <w:rsid w:val="58CB55A4"/>
    <w:rsid w:val="5B940FC6"/>
    <w:rsid w:val="61B952F0"/>
    <w:rsid w:val="63794D68"/>
    <w:rsid w:val="674F6287"/>
    <w:rsid w:val="69042242"/>
    <w:rsid w:val="6A4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2021-09-23T04:31:00Z</dcterms:created>
  <dc:creator>5525248</dc:creator>
  <cp:lastModifiedBy>综合管理部</cp:lastModifiedBy>
  <dcterms:modified xsi:type="dcterms:W3CDTF">2025-08-25T02:04:11Z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B6987125033648F1BA6B4DADCB607EF5</vt:lpwstr>
  </property>
</Properties>
</file>