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51D05" w14:textId="28C7C469" w:rsidR="006F5496" w:rsidRDefault="006F5496">
      <w:pPr>
        <w:rPr>
          <w:rFonts w:hint="eastAsia"/>
        </w:rPr>
      </w:pPr>
    </w:p>
    <w:p w14:paraId="12C6C3D8" w14:textId="6E53E4D2" w:rsidR="00BE572F" w:rsidRDefault="00BE572F">
      <w:pPr>
        <w:rPr>
          <w:rFonts w:hint="eastAsia"/>
        </w:rPr>
      </w:pPr>
    </w:p>
    <w:p w14:paraId="237E44B3" w14:textId="3E1E5CF8" w:rsidR="00BE572F" w:rsidRDefault="00BE572F">
      <w:pPr>
        <w:rPr>
          <w:rFonts w:hint="eastAsia"/>
        </w:rPr>
      </w:pPr>
    </w:p>
    <w:p w14:paraId="0C889D24" w14:textId="2B6CFA82" w:rsidR="00BE572F" w:rsidRDefault="00BE572F" w:rsidP="00BE572F">
      <w:pPr>
        <w:pStyle w:val="1"/>
        <w:rPr>
          <w:rFonts w:hint="eastAsia"/>
        </w:rPr>
      </w:pPr>
      <w:r>
        <w:t>背景</w:t>
      </w:r>
    </w:p>
    <w:p w14:paraId="0ED309FF" w14:textId="04942776" w:rsidR="000C4E0F" w:rsidRDefault="000C4E0F" w:rsidP="000C4E0F">
      <w:pPr>
        <w:ind w:firstLine="420"/>
        <w:rPr>
          <w:rFonts w:hint="eastAsia"/>
        </w:rPr>
      </w:pPr>
      <w:r w:rsidRPr="000C4E0F">
        <w:rPr>
          <w:rFonts w:hint="eastAsia"/>
        </w:rPr>
        <w:t>本项目为</w:t>
      </w:r>
      <w:proofErr w:type="spellStart"/>
      <w:r w:rsidRPr="000C4E0F">
        <w:t>Ameco</w:t>
      </w:r>
      <w:proofErr w:type="spellEnd"/>
      <w:r w:rsidRPr="000C4E0F">
        <w:t>采购</w:t>
      </w:r>
      <w:proofErr w:type="gramStart"/>
      <w:r w:rsidRPr="000C4E0F">
        <w:t>主容灾云</w:t>
      </w:r>
      <w:proofErr w:type="gramEnd"/>
      <w:r w:rsidRPr="000C4E0F">
        <w:t>与GPU云端资源池建设服务。目前主容灾云平台使用了AWS云（亚马逊云）相关服务，且该服务即将到期，需要重新采购云专线，公有云平台服务，并建设GPU云端资源池。</w:t>
      </w:r>
    </w:p>
    <w:p w14:paraId="7001217A" w14:textId="1BA970AB" w:rsidR="00BE572F" w:rsidRDefault="00BE572F" w:rsidP="00BE572F">
      <w:pPr>
        <w:pStyle w:val="2"/>
        <w:rPr>
          <w:rFonts w:hint="eastAsia"/>
        </w:rPr>
      </w:pPr>
      <w:r>
        <w:t>★项目目标</w:t>
      </w:r>
    </w:p>
    <w:p w14:paraId="766E3662" w14:textId="15EBD55B" w:rsidR="00BE572F" w:rsidRDefault="00BE572F" w:rsidP="00BE572F">
      <w:pPr>
        <w:pStyle w:val="3"/>
        <w:rPr>
          <w:rFonts w:hint="eastAsia"/>
        </w:rPr>
      </w:pPr>
      <w:r>
        <w:t>提供公有云平台</w:t>
      </w:r>
    </w:p>
    <w:p w14:paraId="1364BA3C" w14:textId="0A135741" w:rsidR="00A31C8F" w:rsidRPr="00A31C8F" w:rsidRDefault="006C6F6D" w:rsidP="006C6F6D">
      <w:pPr>
        <w:rPr>
          <w:rFonts w:hint="eastAsia"/>
        </w:rPr>
      </w:pPr>
      <w:r w:rsidRPr="006C6F6D">
        <w:rPr>
          <w:rFonts w:hint="eastAsia"/>
          <w:b/>
        </w:rPr>
        <w:t>招标文件要求</w:t>
      </w:r>
    </w:p>
    <w:p w14:paraId="3CB356B5"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6F08972B" w14:textId="122A4402"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提供一个公有云平台，为</w:t>
      </w:r>
      <w:proofErr w:type="spellStart"/>
      <w:r w:rsidRPr="00880FE9">
        <w:rPr>
          <w:rFonts w:ascii="Arial" w:eastAsia="等线" w:hAnsi="Arial" w:cs="Arial"/>
          <w:sz w:val="24"/>
        </w:rPr>
        <w:t>Ameco</w:t>
      </w:r>
      <w:proofErr w:type="spellEnd"/>
      <w:r w:rsidRPr="00880FE9">
        <w:rPr>
          <w:rFonts w:ascii="Arial" w:eastAsia="等线" w:hAnsi="Arial" w:cs="Arial"/>
          <w:sz w:val="24"/>
        </w:rPr>
        <w:t>提供固定折扣的该公有云平台所有资源（含公有云平台全部官方服务，不含云市场等第三方服务）；</w:t>
      </w:r>
    </w:p>
    <w:p w14:paraId="7A7FB59F"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379C4661" w14:textId="49703567" w:rsidR="00003E33" w:rsidRDefault="006C6F6D" w:rsidP="00003E33">
      <w:pPr>
        <w:autoSpaceDE w:val="0"/>
        <w:autoSpaceDN w:val="0"/>
        <w:adjustRightInd w:val="0"/>
        <w:spacing w:line="360" w:lineRule="exact"/>
        <w:jc w:val="left"/>
        <w:rPr>
          <w:rFonts w:ascii="Arial" w:eastAsia="等线" w:hAnsi="Arial" w:cs="Arial"/>
          <w:sz w:val="24"/>
        </w:rPr>
      </w:pPr>
      <w:bookmarkStart w:id="0" w:name="OLE_LINK20"/>
      <w:r w:rsidRPr="006C6F6D">
        <w:rPr>
          <w:rFonts w:ascii="Arial" w:eastAsia="等线" w:hAnsi="Arial" w:cs="Arial" w:hint="eastAsia"/>
          <w:b/>
          <w:sz w:val="24"/>
        </w:rPr>
        <w:t>应答：满足</w:t>
      </w:r>
    </w:p>
    <w:p w14:paraId="179BD9DC" w14:textId="77777777" w:rsidR="006C6F6D" w:rsidRDefault="006C6F6D" w:rsidP="00003E33">
      <w:pPr>
        <w:autoSpaceDE w:val="0"/>
        <w:autoSpaceDN w:val="0"/>
        <w:adjustRightInd w:val="0"/>
        <w:spacing w:line="360" w:lineRule="exact"/>
        <w:jc w:val="left"/>
        <w:rPr>
          <w:rFonts w:ascii="Arial" w:eastAsia="等线" w:hAnsi="Arial" w:cs="Arial"/>
          <w:sz w:val="24"/>
        </w:rPr>
      </w:pPr>
    </w:p>
    <w:bookmarkEnd w:id="0"/>
    <w:p w14:paraId="0144D786" w14:textId="2ADA2E27" w:rsidR="00003E33" w:rsidRPr="000C4E0F" w:rsidRDefault="00003E33" w:rsidP="00003E33">
      <w:pPr>
        <w:ind w:firstLine="420"/>
        <w:rPr>
          <w:rFonts w:hint="eastAsia"/>
        </w:rPr>
      </w:pPr>
      <w:r w:rsidRPr="000C4E0F">
        <w:rPr>
          <w:rFonts w:hint="eastAsia"/>
        </w:rPr>
        <w:t>华为云可为</w:t>
      </w:r>
      <w:proofErr w:type="spellStart"/>
      <w:r w:rsidRPr="000C4E0F">
        <w:t>Ameco</w:t>
      </w:r>
      <w:proofErr w:type="spellEnd"/>
      <w:r w:rsidRPr="000C4E0F">
        <w:t>提供全栈官方服务资源，并根据业务需求与使用规模，签订长期合作协议给予固定折扣。华为云拥有完善的计算、存储、网络、数据库及AI开发等服务体系，例如弹性云服务器ECS、对象存储服务OBS、虚拟私有云VPC等。结合</w:t>
      </w:r>
      <w:proofErr w:type="spellStart"/>
      <w:r w:rsidRPr="000C4E0F">
        <w:t>Ameco</w:t>
      </w:r>
      <w:proofErr w:type="spellEnd"/>
      <w:r w:rsidRPr="000C4E0F">
        <w:t>年度资源使用量，制定阶梯式折扣策略，如资源消耗达一定量级后，可享20%-30%基础服务折扣，并在合同中明确计费标准、结算周期与服务范围，保障</w:t>
      </w:r>
      <w:proofErr w:type="spellStart"/>
      <w:r w:rsidRPr="000C4E0F">
        <w:t>Ameco</w:t>
      </w:r>
      <w:proofErr w:type="spellEnd"/>
      <w:r w:rsidRPr="000C4E0F">
        <w:t>以优惠价格获取稳定、高性能的云资源服务。</w:t>
      </w:r>
    </w:p>
    <w:p w14:paraId="51D838D1" w14:textId="77777777" w:rsidR="00003E33" w:rsidRPr="00003E33" w:rsidRDefault="00003E33" w:rsidP="00003E33">
      <w:pPr>
        <w:rPr>
          <w:rFonts w:hint="eastAsia"/>
        </w:rPr>
      </w:pPr>
    </w:p>
    <w:p w14:paraId="7D29518C" w14:textId="5507C1C1" w:rsidR="00BE572F" w:rsidRDefault="00BE572F" w:rsidP="00BE572F">
      <w:pPr>
        <w:pStyle w:val="3"/>
        <w:rPr>
          <w:rFonts w:hint="eastAsia"/>
        </w:rPr>
      </w:pPr>
      <w:r>
        <w:t>提供云专线</w:t>
      </w:r>
    </w:p>
    <w:p w14:paraId="29CA89D2" w14:textId="63785CB8" w:rsidR="00A31C8F" w:rsidRPr="00A31C8F" w:rsidRDefault="006C6F6D" w:rsidP="006C6F6D">
      <w:pPr>
        <w:rPr>
          <w:rFonts w:hint="eastAsia"/>
        </w:rPr>
      </w:pPr>
      <w:r w:rsidRPr="006C6F6D">
        <w:rPr>
          <w:rFonts w:hint="eastAsia"/>
          <w:b/>
        </w:rPr>
        <w:t>招标文件要求</w:t>
      </w:r>
    </w:p>
    <w:p w14:paraId="25A0EDAB" w14:textId="77777777" w:rsidR="00A31C8F" w:rsidRPr="00A31C8F" w:rsidRDefault="00A31C8F" w:rsidP="00A31C8F">
      <w:pPr>
        <w:rPr>
          <w:rFonts w:hint="eastAsia"/>
        </w:rPr>
      </w:pPr>
    </w:p>
    <w:p w14:paraId="29DA7EC8" w14:textId="4B59FA7A"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建设云专线；</w:t>
      </w:r>
    </w:p>
    <w:p w14:paraId="4A6F0959"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3E3E8577" w14:textId="08188ABA" w:rsidR="00003E33"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r w:rsidRPr="006C6F6D">
        <w:rPr>
          <w:rFonts w:ascii="Arial" w:eastAsia="等线" w:hAnsi="Arial" w:cs="Arial" w:hint="eastAsia"/>
          <w:b/>
          <w:sz w:val="24"/>
        </w:rPr>
        <w:t>应答：满足</w:t>
      </w:r>
    </w:p>
    <w:p w14:paraId="781F8F70" w14:textId="77777777" w:rsidR="006C6F6D"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p>
    <w:p w14:paraId="7F92F2A7" w14:textId="10EDC34A" w:rsidR="00003E33" w:rsidRPr="000C4E0F" w:rsidRDefault="00003E33" w:rsidP="00003E33">
      <w:pPr>
        <w:ind w:firstLine="420"/>
        <w:rPr>
          <w:rFonts w:hint="eastAsia"/>
        </w:rPr>
      </w:pPr>
      <w:r w:rsidRPr="000C4E0F">
        <w:rPr>
          <w:rFonts w:hint="eastAsia"/>
        </w:rPr>
        <w:t>华为云联合优质网络运营商，采用</w:t>
      </w:r>
      <w:r w:rsidRPr="000C4E0F">
        <w:t>MPLSVPN专线或裸光纤技术，为</w:t>
      </w:r>
      <w:proofErr w:type="spellStart"/>
      <w:r w:rsidRPr="000C4E0F">
        <w:t>Ameco</w:t>
      </w:r>
      <w:proofErr w:type="spellEnd"/>
      <w:r w:rsidRPr="000C4E0F">
        <w:t>量身打造云专线。依据业务数据流量与分布，规划100Mbps-500Mbps起步且可灵活扩展的专线带宽，并部署华为</w:t>
      </w:r>
      <w:proofErr w:type="spellStart"/>
      <w:r w:rsidRPr="000C4E0F">
        <w:t>NetEngine</w:t>
      </w:r>
      <w:proofErr w:type="spellEnd"/>
      <w:r w:rsidRPr="000C4E0F">
        <w:t>系列高性能网关设备，通过BGP/OSPF等动态路由协议实现与华为云的无缝对接。</w:t>
      </w:r>
      <w:r w:rsidRPr="000C4E0F">
        <w:lastRenderedPageBreak/>
        <w:t>同时，运用华为云专线加密技术，对数据传输全程加密，保障数据安全，有效降低网络延迟与丢包率，满足ERP、数据库同步等实时业务对网络的严苛</w:t>
      </w:r>
      <w:r w:rsidR="006C6F6D" w:rsidRPr="006C6F6D">
        <w:rPr>
          <w:b/>
        </w:rPr>
        <w:t>招标文件要求</w:t>
      </w:r>
      <w:r w:rsidRPr="000C4E0F">
        <w:t>，确保数据高效、稳定传输。</w:t>
      </w:r>
    </w:p>
    <w:p w14:paraId="62427049" w14:textId="77777777" w:rsidR="00003E33" w:rsidRPr="00003E33" w:rsidRDefault="00003E33" w:rsidP="00003E33">
      <w:pPr>
        <w:rPr>
          <w:rFonts w:hint="eastAsia"/>
        </w:rPr>
      </w:pPr>
    </w:p>
    <w:p w14:paraId="352A631E" w14:textId="77B81AF3" w:rsidR="00BE572F" w:rsidRDefault="00BE572F" w:rsidP="00BE572F">
      <w:pPr>
        <w:pStyle w:val="3"/>
        <w:rPr>
          <w:rFonts w:hint="eastAsia"/>
        </w:rPr>
      </w:pPr>
      <w:r>
        <w:t>提供云平台资源迁移服务</w:t>
      </w:r>
    </w:p>
    <w:p w14:paraId="214B3AEB" w14:textId="3B7263C2" w:rsidR="00A31C8F" w:rsidRPr="00A31C8F" w:rsidRDefault="006C6F6D" w:rsidP="006C6F6D">
      <w:pPr>
        <w:rPr>
          <w:rFonts w:hint="eastAsia"/>
        </w:rPr>
      </w:pPr>
      <w:r w:rsidRPr="006C6F6D">
        <w:rPr>
          <w:rFonts w:hint="eastAsia"/>
          <w:b/>
        </w:rPr>
        <w:t>招标文件要求</w:t>
      </w:r>
    </w:p>
    <w:p w14:paraId="6CEED416" w14:textId="77777777" w:rsidR="00A31C8F" w:rsidRPr="00A31C8F" w:rsidRDefault="00A31C8F" w:rsidP="00A31C8F">
      <w:pPr>
        <w:rPr>
          <w:rFonts w:hint="eastAsia"/>
        </w:rPr>
      </w:pPr>
    </w:p>
    <w:p w14:paraId="48D15C39" w14:textId="09D09FE2"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提供云平台资源迁移服务；</w:t>
      </w:r>
    </w:p>
    <w:p w14:paraId="23924585"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22CBCE73" w14:textId="708D3EF5" w:rsidR="00003E33"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r w:rsidRPr="006C6F6D">
        <w:rPr>
          <w:rFonts w:ascii="Arial" w:eastAsia="等线" w:hAnsi="Arial" w:cs="Arial" w:hint="eastAsia"/>
          <w:b/>
          <w:sz w:val="24"/>
        </w:rPr>
        <w:t>应答：满足</w:t>
      </w:r>
    </w:p>
    <w:p w14:paraId="7BBC0400" w14:textId="77777777" w:rsidR="006C6F6D"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p>
    <w:p w14:paraId="7FBBE026" w14:textId="3D75BF31" w:rsidR="00003E33" w:rsidRPr="000C4E0F" w:rsidRDefault="00003E33" w:rsidP="00003E33">
      <w:pPr>
        <w:ind w:firstLine="420"/>
        <w:rPr>
          <w:rFonts w:hint="eastAsia"/>
        </w:rPr>
      </w:pPr>
      <w:r w:rsidRPr="00003E33">
        <w:rPr>
          <w:rFonts w:hint="eastAsia"/>
        </w:rPr>
        <w:t>华为云借助专业的迁移工具与丰富经验，为</w:t>
      </w:r>
      <w:proofErr w:type="spellStart"/>
      <w:r w:rsidRPr="00003E33">
        <w:t>Ameco</w:t>
      </w:r>
      <w:proofErr w:type="spellEnd"/>
      <w:r w:rsidRPr="00003E33">
        <w:t>提供一站式云平台资源迁移服务。利用华为云迁移中心，对本地服务器、应用、数据库、存储等IT资源进行全面兼容性评估与可行性分析，制定分阶段迁移计划。针对非核心业务，采用镜像复制、数据备份还原的冷迁移方式；针对在线核心业务，结合数据增量同步与应用容器化技术，实施热迁移，实现业务无中断过渡。迁移过程中，实时监控系统性能与数据完整性，迁移完成后开展严格的功能与性能测试，保障迁移后的系统稳定运行，快速释放云平台效能。</w:t>
      </w:r>
    </w:p>
    <w:p w14:paraId="4EC9F308" w14:textId="77777777" w:rsidR="00003E33" w:rsidRPr="00003E33" w:rsidRDefault="00003E33" w:rsidP="00003E33">
      <w:pPr>
        <w:rPr>
          <w:rFonts w:hint="eastAsia"/>
        </w:rPr>
      </w:pPr>
    </w:p>
    <w:p w14:paraId="36294818" w14:textId="1DF79DE8" w:rsidR="00BE572F" w:rsidRDefault="00BE572F" w:rsidP="00BE572F">
      <w:pPr>
        <w:pStyle w:val="3"/>
        <w:rPr>
          <w:rFonts w:hint="eastAsia"/>
        </w:rPr>
      </w:pPr>
      <w:r>
        <w:t>提供云容灾迁移服务</w:t>
      </w:r>
    </w:p>
    <w:p w14:paraId="0317451D" w14:textId="2C76AC4D" w:rsidR="00A31C8F" w:rsidRPr="00A31C8F" w:rsidRDefault="006C6F6D" w:rsidP="006C6F6D">
      <w:pPr>
        <w:rPr>
          <w:rFonts w:hint="eastAsia"/>
        </w:rPr>
      </w:pPr>
      <w:r w:rsidRPr="006C6F6D">
        <w:rPr>
          <w:rFonts w:hint="eastAsia"/>
          <w:b/>
        </w:rPr>
        <w:t>招标文件要求</w:t>
      </w:r>
    </w:p>
    <w:p w14:paraId="3F7192BD" w14:textId="77777777" w:rsidR="00A31C8F" w:rsidRPr="00A31C8F" w:rsidRDefault="00A31C8F" w:rsidP="00A31C8F">
      <w:pPr>
        <w:rPr>
          <w:rFonts w:hint="eastAsia"/>
        </w:rPr>
      </w:pPr>
    </w:p>
    <w:p w14:paraId="6409AB39" w14:textId="316F18E1"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提供云信达容灾系统迁移服务，或提供相同功能的混合云容灾服务；</w:t>
      </w:r>
    </w:p>
    <w:p w14:paraId="0E1A3308"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61FAA5A3" w14:textId="4139D732" w:rsidR="00003E33"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r w:rsidRPr="006C6F6D">
        <w:rPr>
          <w:rFonts w:ascii="Arial" w:eastAsia="等线" w:hAnsi="Arial" w:cs="Arial" w:hint="eastAsia"/>
          <w:b/>
          <w:sz w:val="24"/>
        </w:rPr>
        <w:t>应答：满足</w:t>
      </w:r>
    </w:p>
    <w:p w14:paraId="7BD9A083" w14:textId="77777777" w:rsidR="006C6F6D"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p>
    <w:p w14:paraId="67B148B0" w14:textId="0AB05971" w:rsidR="00003E33" w:rsidRPr="000C4E0F" w:rsidRDefault="00003E33" w:rsidP="00003E33">
      <w:pPr>
        <w:ind w:firstLine="420"/>
        <w:rPr>
          <w:rFonts w:hint="eastAsia"/>
        </w:rPr>
      </w:pPr>
      <w:r w:rsidRPr="00003E33">
        <w:rPr>
          <w:rFonts w:hint="eastAsia"/>
        </w:rPr>
        <w:t>若</w:t>
      </w:r>
      <w:proofErr w:type="spellStart"/>
      <w:r w:rsidRPr="00003E33">
        <w:t>Ameco</w:t>
      </w:r>
      <w:proofErr w:type="spellEnd"/>
      <w:r w:rsidRPr="00003E33">
        <w:t>选择迁移云信达容灾系统，华为云技术团队将深入分析现有容灾系统架构、配置与数据同步机制，制定适配华为云环境的迁移方案，确保容灾功能的连续性。若采用混合云容灾服务，华为云依托自身高可用资源与</w:t>
      </w:r>
      <w:proofErr w:type="spellStart"/>
      <w:r w:rsidRPr="00003E33">
        <w:t>Ameco</w:t>
      </w:r>
      <w:proofErr w:type="spellEnd"/>
      <w:r w:rsidRPr="00003E33">
        <w:t>本地数据中心构建混合架构，运用华为云容灾服务（DRS）等产品，通过数据异步复制、跨地域备份等技术，实现关键业务数据与应用的容灾保护。定期开展容灾演练，验证容灾方案有效性，确保在突发灾难时，能够快速恢复业务运行，最大限度降低业务中断风险。</w:t>
      </w:r>
    </w:p>
    <w:p w14:paraId="2BBE4910" w14:textId="77777777" w:rsidR="00003E33" w:rsidRPr="00003E33" w:rsidRDefault="00003E33" w:rsidP="00003E33">
      <w:pPr>
        <w:rPr>
          <w:rFonts w:hint="eastAsia"/>
        </w:rPr>
      </w:pPr>
    </w:p>
    <w:p w14:paraId="68BFA485" w14:textId="011AE100" w:rsidR="00BE572F" w:rsidRDefault="00BE572F" w:rsidP="00BE572F">
      <w:pPr>
        <w:pStyle w:val="3"/>
        <w:rPr>
          <w:rFonts w:hint="eastAsia"/>
        </w:rPr>
      </w:pPr>
      <w:r>
        <w:t>提供GPU云端资源池</w:t>
      </w:r>
    </w:p>
    <w:p w14:paraId="67C1FBC4" w14:textId="6A5EF1B1" w:rsidR="00A31C8F" w:rsidRPr="00A31C8F" w:rsidRDefault="006C6F6D" w:rsidP="006C6F6D">
      <w:pPr>
        <w:rPr>
          <w:rFonts w:hint="eastAsia"/>
        </w:rPr>
      </w:pPr>
      <w:r w:rsidRPr="006C6F6D">
        <w:rPr>
          <w:rFonts w:hint="eastAsia"/>
          <w:b/>
        </w:rPr>
        <w:t>招标文件要求</w:t>
      </w:r>
    </w:p>
    <w:p w14:paraId="7F3678B7" w14:textId="77777777" w:rsidR="00A31C8F" w:rsidRPr="00A31C8F" w:rsidRDefault="00A31C8F" w:rsidP="00A31C8F">
      <w:pPr>
        <w:rPr>
          <w:rFonts w:hint="eastAsia"/>
        </w:rPr>
      </w:pPr>
    </w:p>
    <w:p w14:paraId="16F14A71" w14:textId="706B6418"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建设</w:t>
      </w:r>
      <w:r w:rsidRPr="00880FE9">
        <w:rPr>
          <w:rFonts w:ascii="Arial" w:eastAsia="等线" w:hAnsi="Arial" w:cs="Arial"/>
          <w:sz w:val="24"/>
        </w:rPr>
        <w:t>GPU</w:t>
      </w:r>
      <w:r w:rsidRPr="00880FE9">
        <w:rPr>
          <w:rFonts w:ascii="Arial" w:eastAsia="等线" w:hAnsi="Arial" w:cs="Arial"/>
          <w:sz w:val="24"/>
        </w:rPr>
        <w:t>云端资源池；</w:t>
      </w:r>
    </w:p>
    <w:p w14:paraId="62EBDC83"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41C194A3" w14:textId="49F07BAC" w:rsidR="00003E33"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r w:rsidRPr="006C6F6D">
        <w:rPr>
          <w:rFonts w:ascii="Arial" w:eastAsia="等线" w:hAnsi="Arial" w:cs="Arial" w:hint="eastAsia"/>
          <w:b/>
          <w:sz w:val="24"/>
        </w:rPr>
        <w:t>应答：满足</w:t>
      </w:r>
    </w:p>
    <w:p w14:paraId="50FE829B" w14:textId="77777777" w:rsidR="006C6F6D"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p>
    <w:p w14:paraId="3A7004E9" w14:textId="7EA8C877" w:rsidR="00003E33" w:rsidRPr="000C4E0F" w:rsidRDefault="00003E33" w:rsidP="00003E33">
      <w:pPr>
        <w:ind w:firstLine="420"/>
        <w:rPr>
          <w:rFonts w:hint="eastAsia"/>
        </w:rPr>
      </w:pPr>
      <w:r w:rsidRPr="00003E33">
        <w:rPr>
          <w:rFonts w:hint="eastAsia"/>
        </w:rPr>
        <w:t>华为云根据</w:t>
      </w:r>
      <w:proofErr w:type="spellStart"/>
      <w:r w:rsidRPr="00003E33">
        <w:t>Ameco</w:t>
      </w:r>
      <w:proofErr w:type="spellEnd"/>
      <w:r w:rsidRPr="00003E33">
        <w:t>在AI训练、图形渲染、大数据计算等场景下的GPU算力需求，提供如HCIA-GN8000等高性能GPU云服务器，并通过集群化部署与华为云容器引擎CCE、Kubernetes等资源调度管理工具，构建弹性可扩展的GPU云端资源池。实现GPU资源的统一管理与动态分配，依据业务负载灵活调整算力，提升资源利用率。同时，优化网络架构，利用华为云高速网络通道，保障GPU资源池与其他业务系统间的数据高速传输，满足实时计算需求，助力</w:t>
      </w:r>
      <w:proofErr w:type="spellStart"/>
      <w:r w:rsidRPr="00003E33">
        <w:t>Ameco</w:t>
      </w:r>
      <w:proofErr w:type="spellEnd"/>
      <w:r w:rsidRPr="00003E33">
        <w:t>高效开展高性能计算业务。</w:t>
      </w:r>
    </w:p>
    <w:p w14:paraId="155E77F5" w14:textId="77777777" w:rsidR="00003E33" w:rsidRPr="00003E33" w:rsidRDefault="00003E33" w:rsidP="00003E33">
      <w:pPr>
        <w:rPr>
          <w:rFonts w:hint="eastAsia"/>
        </w:rPr>
      </w:pPr>
    </w:p>
    <w:p w14:paraId="1B17806C" w14:textId="1D023313" w:rsidR="00BE572F" w:rsidRDefault="00BE572F" w:rsidP="00BE572F">
      <w:pPr>
        <w:pStyle w:val="3"/>
        <w:rPr>
          <w:rFonts w:hint="eastAsia"/>
        </w:rPr>
      </w:pPr>
      <w:r>
        <w:t>合同期内提供免费维保服务</w:t>
      </w:r>
    </w:p>
    <w:p w14:paraId="34966322" w14:textId="3EE9CF4A" w:rsidR="00A31C8F" w:rsidRPr="00A31C8F" w:rsidRDefault="006C6F6D" w:rsidP="006C6F6D">
      <w:pPr>
        <w:rPr>
          <w:rFonts w:hint="eastAsia"/>
        </w:rPr>
      </w:pPr>
      <w:r w:rsidRPr="006C6F6D">
        <w:rPr>
          <w:rFonts w:hint="eastAsia"/>
          <w:b/>
        </w:rPr>
        <w:t>招标文件要求</w:t>
      </w:r>
    </w:p>
    <w:p w14:paraId="786E2535" w14:textId="77777777" w:rsidR="00A31C8F" w:rsidRPr="00A31C8F" w:rsidRDefault="00A31C8F" w:rsidP="00A31C8F">
      <w:pPr>
        <w:rPr>
          <w:rFonts w:hint="eastAsia"/>
        </w:rPr>
      </w:pPr>
    </w:p>
    <w:p w14:paraId="67EAF010" w14:textId="5D826D01"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在合同期内提供免费维保服务；</w:t>
      </w:r>
    </w:p>
    <w:p w14:paraId="3A8E092D"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3B087BB7" w14:textId="12A067E5" w:rsidR="00003E33" w:rsidRDefault="006C6F6D" w:rsidP="00003E33">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6F4EBB8" w14:textId="77777777" w:rsidR="006C6F6D" w:rsidRDefault="006C6F6D" w:rsidP="00003E33">
      <w:pPr>
        <w:autoSpaceDE w:val="0"/>
        <w:autoSpaceDN w:val="0"/>
        <w:adjustRightInd w:val="0"/>
        <w:spacing w:line="360" w:lineRule="exact"/>
        <w:jc w:val="left"/>
        <w:rPr>
          <w:rFonts w:ascii="Arial" w:eastAsia="等线" w:hAnsi="Arial" w:cs="Arial"/>
          <w:sz w:val="24"/>
        </w:rPr>
      </w:pPr>
    </w:p>
    <w:p w14:paraId="4F7EF685" w14:textId="6BFCD8DE" w:rsidR="00003E33" w:rsidRPr="000C4E0F" w:rsidRDefault="00003E33" w:rsidP="00003E33">
      <w:pPr>
        <w:ind w:firstLine="420"/>
        <w:rPr>
          <w:rFonts w:hint="eastAsia"/>
        </w:rPr>
      </w:pPr>
      <w:r w:rsidRPr="00003E33">
        <w:rPr>
          <w:rFonts w:hint="eastAsia"/>
        </w:rPr>
        <w:t>在合同期内，华为云为</w:t>
      </w:r>
      <w:proofErr w:type="spellStart"/>
      <w:r w:rsidRPr="00003E33">
        <w:t>Ameco</w:t>
      </w:r>
      <w:proofErr w:type="spellEnd"/>
      <w:r w:rsidRPr="00003E33">
        <w:t>组建专属技术支持团队，提供7×24小时不间断服务响应。针对华为云平台资源、云专线、GPU资源池等全服务内容，定期开展系统巡检与健康检查，主动发现并解决潜在问题。提供远程技术支持与紧急现场服务，重大故障1小时内响应，4小时内解决，确保系统稳定运行。此外，结合技术发展趋势与</w:t>
      </w:r>
      <w:proofErr w:type="spellStart"/>
      <w:r w:rsidRPr="00003E33">
        <w:t>Ameco</w:t>
      </w:r>
      <w:proofErr w:type="spellEnd"/>
      <w:r w:rsidRPr="00003E33">
        <w:t>业务变化，免费提供系统优化建议与技术升级服务，持续提升服务质量，保障</w:t>
      </w:r>
      <w:proofErr w:type="spellStart"/>
      <w:r w:rsidRPr="00003E33">
        <w:t>Ameco</w:t>
      </w:r>
      <w:proofErr w:type="spellEnd"/>
      <w:r w:rsidRPr="00003E33">
        <w:t>在合同期内始终享受优质、高效的云计算服务。</w:t>
      </w:r>
    </w:p>
    <w:p w14:paraId="720B44E3" w14:textId="77777777" w:rsidR="00003E33" w:rsidRPr="00003E33" w:rsidRDefault="00003E33" w:rsidP="00003E33">
      <w:pPr>
        <w:rPr>
          <w:rFonts w:hint="eastAsia"/>
        </w:rPr>
      </w:pPr>
    </w:p>
    <w:p w14:paraId="6FA67D9B" w14:textId="7506A032" w:rsidR="00BE572F" w:rsidRDefault="00BE572F" w:rsidP="00BE572F">
      <w:pPr>
        <w:pStyle w:val="2"/>
        <w:rPr>
          <w:rFonts w:hint="eastAsia"/>
        </w:rPr>
      </w:pPr>
      <w:r>
        <w:t>★投标人资质</w:t>
      </w:r>
      <w:r w:rsidR="006C6F6D" w:rsidRPr="006C6F6D">
        <w:t>招标文件要求</w:t>
      </w:r>
      <w:r>
        <w:t>（总集写）</w:t>
      </w:r>
    </w:p>
    <w:p w14:paraId="612DA35C" w14:textId="450F9A1D" w:rsidR="00BE572F" w:rsidRDefault="00BE572F" w:rsidP="00BE572F">
      <w:pPr>
        <w:pStyle w:val="3"/>
        <w:rPr>
          <w:rFonts w:hint="eastAsia"/>
        </w:rPr>
      </w:pPr>
      <w:r>
        <w:t>代理资质（总集写）</w:t>
      </w:r>
    </w:p>
    <w:p w14:paraId="223C829A" w14:textId="203B8900" w:rsidR="00A31C8F" w:rsidRPr="00A31C8F" w:rsidRDefault="006C6F6D" w:rsidP="006C6F6D">
      <w:pPr>
        <w:rPr>
          <w:rFonts w:hint="eastAsia"/>
        </w:rPr>
      </w:pPr>
      <w:r w:rsidRPr="006C6F6D">
        <w:rPr>
          <w:rFonts w:hint="eastAsia"/>
          <w:b/>
        </w:rPr>
        <w:t>招标文件要求</w:t>
      </w:r>
    </w:p>
    <w:p w14:paraId="029827D3" w14:textId="77777777" w:rsidR="00A31C8F" w:rsidRPr="00A31C8F" w:rsidRDefault="00A31C8F" w:rsidP="00A31C8F">
      <w:pPr>
        <w:rPr>
          <w:rFonts w:hint="eastAsia"/>
        </w:rPr>
      </w:pPr>
    </w:p>
    <w:p w14:paraId="2789C70D" w14:textId="081F5F37" w:rsidR="00003E33" w:rsidRDefault="00003E33">
      <w:pPr>
        <w:pStyle w:val="a3"/>
        <w:numPr>
          <w:ilvl w:val="0"/>
          <w:numId w:val="106"/>
        </w:numPr>
        <w:autoSpaceDE w:val="0"/>
        <w:autoSpaceDN w:val="0"/>
        <w:adjustRightInd w:val="0"/>
        <w:spacing w:line="360" w:lineRule="exact"/>
        <w:ind w:left="0" w:firstLineChars="0" w:firstLine="0"/>
        <w:jc w:val="left"/>
        <w:rPr>
          <w:rFonts w:ascii="Arial" w:eastAsia="等线" w:hAnsi="Arial" w:cs="Arial"/>
          <w:sz w:val="24"/>
        </w:rPr>
      </w:pPr>
      <w:r w:rsidRPr="00880FE9">
        <w:rPr>
          <w:rFonts w:ascii="Arial" w:eastAsia="等线" w:hAnsi="Arial" w:cs="Arial"/>
          <w:sz w:val="24"/>
        </w:rPr>
        <w:t>公有云厂家直接参与，或具有公有云厂家的长期代理资质（原件或扫描件加盖投标人公司公章）；</w:t>
      </w:r>
    </w:p>
    <w:p w14:paraId="36947AFA" w14:textId="1E110EF3" w:rsidR="00A31C8F" w:rsidRDefault="00A31C8F" w:rsidP="00A31C8F">
      <w:pPr>
        <w:autoSpaceDE w:val="0"/>
        <w:autoSpaceDN w:val="0"/>
        <w:adjustRightInd w:val="0"/>
        <w:spacing w:line="360" w:lineRule="exact"/>
        <w:jc w:val="left"/>
        <w:rPr>
          <w:rFonts w:ascii="Arial" w:eastAsia="等线" w:hAnsi="Arial" w:cs="Arial"/>
          <w:sz w:val="24"/>
        </w:rPr>
      </w:pPr>
    </w:p>
    <w:p w14:paraId="0A95AAA6" w14:textId="5C38F47F"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F773448" w14:textId="77777777" w:rsidR="00A31C8F" w:rsidRPr="00A31C8F" w:rsidRDefault="00A31C8F" w:rsidP="00A31C8F">
      <w:pPr>
        <w:autoSpaceDE w:val="0"/>
        <w:autoSpaceDN w:val="0"/>
        <w:adjustRightInd w:val="0"/>
        <w:spacing w:line="360" w:lineRule="exact"/>
        <w:jc w:val="left"/>
        <w:rPr>
          <w:rFonts w:ascii="Arial" w:eastAsia="等线" w:hAnsi="Arial" w:cs="Arial"/>
          <w:sz w:val="24"/>
        </w:rPr>
      </w:pPr>
    </w:p>
    <w:p w14:paraId="221F5843" w14:textId="73B34427" w:rsidR="00003E33" w:rsidRPr="00003E33" w:rsidRDefault="00003E33" w:rsidP="00003E33">
      <w:pPr>
        <w:ind w:firstLine="420"/>
        <w:rPr>
          <w:rFonts w:hint="eastAsia"/>
        </w:rPr>
      </w:pPr>
      <w:r w:rsidRPr="00003E33">
        <w:rPr>
          <w:rFonts w:hint="eastAsia"/>
        </w:rPr>
        <w:t>华为云作为全球领先的公有云服务提供商，可直接参与本项目投标，无需通过代理形式。华为云具备完整的云计算服务资质与合规认证，包括可信云认证、</w:t>
      </w:r>
      <w:r w:rsidRPr="00003E33">
        <w:t>ISO27001信息安全管理体系认证等，确保服务的安全性与可靠性。若合作伙伴参与投标，华为云可提供长期代理资质证明的原件</w:t>
      </w:r>
      <w:r w:rsidRPr="00003E33">
        <w:lastRenderedPageBreak/>
        <w:t>或加盖公章的扫描件，明确合作关系与授权范围，助力合作伙伴顺利参与项目竞标，以华为云的技术实力与服务资源为项目落地提供坚实支撑。</w:t>
      </w:r>
    </w:p>
    <w:p w14:paraId="2EE0EA99" w14:textId="6B1D63E1" w:rsidR="00BE572F" w:rsidRDefault="00BE572F" w:rsidP="00BE572F">
      <w:pPr>
        <w:pStyle w:val="3"/>
        <w:rPr>
          <w:rFonts w:hint="eastAsia"/>
        </w:rPr>
      </w:pPr>
      <w:r>
        <w:t>项目经理（总集写）</w:t>
      </w:r>
    </w:p>
    <w:p w14:paraId="0F1937CB" w14:textId="4FCF1CD7" w:rsidR="00A31C8F" w:rsidRPr="00A31C8F" w:rsidRDefault="006C6F6D" w:rsidP="006C6F6D">
      <w:pPr>
        <w:rPr>
          <w:rFonts w:hint="eastAsia"/>
        </w:rPr>
      </w:pPr>
      <w:r w:rsidRPr="006C6F6D">
        <w:rPr>
          <w:rFonts w:hint="eastAsia"/>
          <w:b/>
        </w:rPr>
        <w:t>招标文件要求</w:t>
      </w:r>
    </w:p>
    <w:p w14:paraId="618D91A4" w14:textId="77777777" w:rsidR="00A31C8F" w:rsidRPr="00A31C8F" w:rsidRDefault="00A31C8F" w:rsidP="00A31C8F">
      <w:pPr>
        <w:rPr>
          <w:rFonts w:hint="eastAsia"/>
        </w:rPr>
      </w:pPr>
    </w:p>
    <w:p w14:paraId="20EA9B70" w14:textId="7D018ECC" w:rsidR="00003E33" w:rsidRDefault="00003E33">
      <w:pPr>
        <w:pStyle w:val="a3"/>
        <w:numPr>
          <w:ilvl w:val="0"/>
          <w:numId w:val="106"/>
        </w:numPr>
        <w:autoSpaceDE w:val="0"/>
        <w:autoSpaceDN w:val="0"/>
        <w:adjustRightInd w:val="0"/>
        <w:spacing w:line="360" w:lineRule="exact"/>
        <w:ind w:left="0" w:firstLineChars="0" w:firstLine="0"/>
        <w:jc w:val="left"/>
        <w:rPr>
          <w:rFonts w:ascii="Arial" w:eastAsia="等线" w:hAnsi="Arial" w:cs="Arial"/>
          <w:sz w:val="24"/>
        </w:rPr>
      </w:pPr>
      <w:r w:rsidRPr="00880FE9">
        <w:rPr>
          <w:rFonts w:ascii="Arial" w:eastAsia="等线" w:hAnsi="Arial" w:cs="Arial"/>
          <w:sz w:val="24"/>
        </w:rPr>
        <w:t>投标人须为本项目指定专职的项目经理；</w:t>
      </w:r>
    </w:p>
    <w:p w14:paraId="3FD03593" w14:textId="54F8BA91" w:rsidR="00A31C8F" w:rsidRDefault="00A31C8F" w:rsidP="00A31C8F">
      <w:pPr>
        <w:autoSpaceDE w:val="0"/>
        <w:autoSpaceDN w:val="0"/>
        <w:adjustRightInd w:val="0"/>
        <w:spacing w:line="360" w:lineRule="exact"/>
        <w:jc w:val="left"/>
        <w:rPr>
          <w:rFonts w:ascii="Arial" w:eastAsia="等线" w:hAnsi="Arial" w:cs="Arial"/>
          <w:sz w:val="24"/>
        </w:rPr>
      </w:pPr>
    </w:p>
    <w:p w14:paraId="0A7BED42" w14:textId="34A37B7D"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9BB6ABB" w14:textId="77777777" w:rsidR="00A31C8F" w:rsidRPr="00A31C8F" w:rsidRDefault="00A31C8F" w:rsidP="00A31C8F">
      <w:pPr>
        <w:autoSpaceDE w:val="0"/>
        <w:autoSpaceDN w:val="0"/>
        <w:adjustRightInd w:val="0"/>
        <w:spacing w:line="360" w:lineRule="exact"/>
        <w:jc w:val="left"/>
        <w:rPr>
          <w:rFonts w:ascii="Arial" w:eastAsia="等线" w:hAnsi="Arial" w:cs="Arial"/>
          <w:sz w:val="24"/>
        </w:rPr>
      </w:pPr>
    </w:p>
    <w:p w14:paraId="6216D4B2" w14:textId="0D143DD1" w:rsidR="00003E33" w:rsidRPr="00003E33" w:rsidRDefault="00003E33" w:rsidP="00003E33">
      <w:pPr>
        <w:ind w:firstLine="420"/>
        <w:rPr>
          <w:rFonts w:hint="eastAsia"/>
        </w:rPr>
      </w:pPr>
      <w:r w:rsidRPr="00003E33">
        <w:rPr>
          <w:rFonts w:hint="eastAsia"/>
        </w:rPr>
        <w:t>针对本项目，</w:t>
      </w:r>
      <w:r w:rsidR="00152F2A">
        <w:rPr>
          <w:rFonts w:hint="eastAsia"/>
        </w:rPr>
        <w:t>我公司</w:t>
      </w:r>
      <w:r w:rsidRPr="00003E33">
        <w:rPr>
          <w:rFonts w:hint="eastAsia"/>
        </w:rPr>
        <w:t>将联合</w:t>
      </w:r>
      <w:r w:rsidR="00152F2A">
        <w:rPr>
          <w:rFonts w:hint="eastAsia"/>
        </w:rPr>
        <w:t>华为云</w:t>
      </w:r>
      <w:r w:rsidRPr="00003E33">
        <w:rPr>
          <w:rFonts w:hint="eastAsia"/>
        </w:rPr>
        <w:t>共同指定专职项目经理。该项目经理具备丰富的云计算项目管理经验，持有华为认证的</w:t>
      </w:r>
      <w:r w:rsidRPr="00003E33">
        <w:t>HCIP-</w:t>
      </w:r>
      <w:proofErr w:type="spellStart"/>
      <w:r w:rsidRPr="00003E33">
        <w:t>CloudService</w:t>
      </w:r>
      <w:proofErr w:type="spellEnd"/>
      <w:r w:rsidRPr="00003E33">
        <w:t>等专业资质，熟悉华为云全栈服务与项目交付流程。项目经理将全程统筹项目规划、资源协调、进度管控与风险应对，确保项目各阶段任务高效推进。同时，与</w:t>
      </w:r>
      <w:proofErr w:type="spellStart"/>
      <w:r w:rsidRPr="00003E33">
        <w:t>Ameco</w:t>
      </w:r>
      <w:proofErr w:type="spellEnd"/>
      <w:r w:rsidRPr="00003E33">
        <w:t>项目对接人保持密切沟通，及时响应需求变更，保障项目按计划高质量完成。</w:t>
      </w:r>
    </w:p>
    <w:p w14:paraId="0594B1D3" w14:textId="25FA7BC6" w:rsidR="00BE572F" w:rsidRDefault="00BE572F" w:rsidP="00BE572F">
      <w:pPr>
        <w:pStyle w:val="3"/>
        <w:rPr>
          <w:rFonts w:hint="eastAsia"/>
        </w:rPr>
      </w:pPr>
      <w:r>
        <w:t>公共云平台唯一性（总集写）</w:t>
      </w:r>
    </w:p>
    <w:p w14:paraId="4BCBC723" w14:textId="1F70A952" w:rsidR="00A31C8F" w:rsidRPr="00A31C8F" w:rsidRDefault="006C6F6D" w:rsidP="006C6F6D">
      <w:pPr>
        <w:rPr>
          <w:rFonts w:hint="eastAsia"/>
        </w:rPr>
      </w:pPr>
      <w:r w:rsidRPr="006C6F6D">
        <w:rPr>
          <w:rFonts w:hint="eastAsia"/>
          <w:b/>
        </w:rPr>
        <w:t>招标文件要求</w:t>
      </w:r>
    </w:p>
    <w:p w14:paraId="156B2DE1" w14:textId="77777777" w:rsidR="00A31C8F" w:rsidRPr="00A31C8F" w:rsidRDefault="00A31C8F" w:rsidP="00A31C8F">
      <w:pPr>
        <w:rPr>
          <w:rFonts w:hint="eastAsia"/>
        </w:rPr>
      </w:pPr>
    </w:p>
    <w:p w14:paraId="4B31EF3B" w14:textId="78C257DF" w:rsidR="00003E33" w:rsidRDefault="00003E33">
      <w:pPr>
        <w:pStyle w:val="a3"/>
        <w:numPr>
          <w:ilvl w:val="0"/>
          <w:numId w:val="106"/>
        </w:numPr>
        <w:autoSpaceDE w:val="0"/>
        <w:autoSpaceDN w:val="0"/>
        <w:adjustRightInd w:val="0"/>
        <w:spacing w:line="360" w:lineRule="exact"/>
        <w:ind w:left="0" w:firstLineChars="0" w:firstLine="0"/>
        <w:jc w:val="left"/>
        <w:rPr>
          <w:rFonts w:ascii="Arial" w:eastAsia="等线" w:hAnsi="Arial" w:cs="Arial"/>
          <w:sz w:val="24"/>
        </w:rPr>
      </w:pPr>
      <w:r w:rsidRPr="00880FE9">
        <w:rPr>
          <w:rFonts w:ascii="Arial" w:eastAsia="等线" w:hAnsi="Arial" w:cs="Arial"/>
          <w:sz w:val="24"/>
        </w:rPr>
        <w:t>投标人能且只能选择一个公有云平台投标；</w:t>
      </w:r>
    </w:p>
    <w:p w14:paraId="590A4B12" w14:textId="7AEEE5D3" w:rsidR="00A31C8F" w:rsidRDefault="00A31C8F" w:rsidP="00A31C8F">
      <w:pPr>
        <w:autoSpaceDE w:val="0"/>
        <w:autoSpaceDN w:val="0"/>
        <w:adjustRightInd w:val="0"/>
        <w:spacing w:line="360" w:lineRule="exact"/>
        <w:jc w:val="left"/>
        <w:rPr>
          <w:rFonts w:ascii="Arial" w:eastAsia="等线" w:hAnsi="Arial" w:cs="Arial"/>
          <w:sz w:val="24"/>
        </w:rPr>
      </w:pPr>
    </w:p>
    <w:p w14:paraId="2E2E923C" w14:textId="7139D886"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9F3CC42" w14:textId="77777777" w:rsidR="00A31C8F" w:rsidRPr="00A31C8F" w:rsidRDefault="00A31C8F" w:rsidP="00A31C8F">
      <w:pPr>
        <w:autoSpaceDE w:val="0"/>
        <w:autoSpaceDN w:val="0"/>
        <w:adjustRightInd w:val="0"/>
        <w:spacing w:line="360" w:lineRule="exact"/>
        <w:jc w:val="left"/>
        <w:rPr>
          <w:rFonts w:ascii="Arial" w:eastAsia="等线" w:hAnsi="Arial" w:cs="Arial"/>
          <w:sz w:val="24"/>
        </w:rPr>
      </w:pPr>
    </w:p>
    <w:p w14:paraId="7B0D603D" w14:textId="2E48ABCD" w:rsidR="00003E33" w:rsidRPr="00003E33" w:rsidRDefault="00003E33" w:rsidP="00003E33">
      <w:pPr>
        <w:ind w:firstLine="420"/>
        <w:rPr>
          <w:rFonts w:hint="eastAsia"/>
        </w:rPr>
      </w:pPr>
      <w:r w:rsidRPr="00003E33">
        <w:rPr>
          <w:rFonts w:hint="eastAsia"/>
        </w:rPr>
        <w:t>华为云严格遵循招标</w:t>
      </w:r>
      <w:r w:rsidR="006C6F6D" w:rsidRPr="006C6F6D">
        <w:rPr>
          <w:rFonts w:hint="eastAsia"/>
          <w:b/>
        </w:rPr>
        <w:t>招标文件要求</w:t>
      </w:r>
      <w:r w:rsidRPr="00003E33">
        <w:rPr>
          <w:rFonts w:hint="eastAsia"/>
        </w:rPr>
        <w:t>，投标人将以华为云作为唯一投标的公有云平台。华为云拥有覆盖全球的云基础设施、全栈技术服务能力与丰富的行业解决方案，可全面满足</w:t>
      </w:r>
      <w:proofErr w:type="spellStart"/>
      <w:r w:rsidRPr="00003E33">
        <w:t>Ameco</w:t>
      </w:r>
      <w:proofErr w:type="spellEnd"/>
      <w:r w:rsidRPr="00003E33">
        <w:t>在资源折扣、云专线建设、迁移服务、容灾部署及GPU资源池构建等方面的需求。通过聚焦单一平台，华为云将集中技术与服务资源，为项目提供深度适配的方案与专业支持，避免多平台整合风险，确保项目实施的稳定性与高效性。</w:t>
      </w:r>
    </w:p>
    <w:p w14:paraId="34768EA5" w14:textId="689154CF" w:rsidR="00BE572F" w:rsidRDefault="00BE572F" w:rsidP="00BE572F">
      <w:pPr>
        <w:pStyle w:val="2"/>
        <w:rPr>
          <w:rFonts w:hint="eastAsia"/>
        </w:rPr>
      </w:pPr>
      <w:r>
        <w:t>★公有云账号</w:t>
      </w:r>
      <w:r w:rsidR="006C6F6D" w:rsidRPr="006C6F6D">
        <w:t>招标文件要求</w:t>
      </w:r>
      <w:r>
        <w:t>（总集写）</w:t>
      </w:r>
    </w:p>
    <w:p w14:paraId="434B231D" w14:textId="0EF7DFA5" w:rsidR="00BE572F" w:rsidRDefault="00BE572F" w:rsidP="00BE572F">
      <w:pPr>
        <w:pStyle w:val="1"/>
        <w:rPr>
          <w:rFonts w:hint="eastAsia"/>
        </w:rPr>
      </w:pPr>
      <w:r>
        <w:t>★云资源服务</w:t>
      </w:r>
      <w:r w:rsidR="006C6F6D" w:rsidRPr="006C6F6D">
        <w:t>招标文件要求</w:t>
      </w:r>
      <w:r>
        <w:t>（郭柱）</w:t>
      </w:r>
    </w:p>
    <w:p w14:paraId="348EDAD7" w14:textId="25F0F862" w:rsidR="00BE572F" w:rsidRDefault="00BE572F" w:rsidP="00BE572F">
      <w:pPr>
        <w:pStyle w:val="2"/>
        <w:rPr>
          <w:rFonts w:hint="eastAsia"/>
        </w:rPr>
      </w:pPr>
      <w:r>
        <w:t>公有云账号</w:t>
      </w:r>
      <w:r w:rsidR="006C6F6D" w:rsidRPr="006C6F6D">
        <w:t>招标文件要求</w:t>
      </w:r>
    </w:p>
    <w:p w14:paraId="57CBC309" w14:textId="40C57FFF" w:rsidR="00A31C8F" w:rsidRPr="00A31C8F" w:rsidRDefault="006C6F6D" w:rsidP="006C6F6D">
      <w:pPr>
        <w:rPr>
          <w:rFonts w:hint="eastAsia"/>
        </w:rPr>
      </w:pPr>
      <w:r w:rsidRPr="006C6F6D">
        <w:rPr>
          <w:rFonts w:hint="eastAsia"/>
          <w:b/>
        </w:rPr>
        <w:t>招标文件要求</w:t>
      </w:r>
    </w:p>
    <w:p w14:paraId="04EB73F2" w14:textId="77777777" w:rsidR="00A31C8F" w:rsidRPr="00A31C8F" w:rsidRDefault="00A31C8F" w:rsidP="00A31C8F">
      <w:pPr>
        <w:rPr>
          <w:rFonts w:hint="eastAsia"/>
        </w:rPr>
      </w:pPr>
    </w:p>
    <w:p w14:paraId="07B5DAED" w14:textId="2912529B" w:rsidR="00003E33" w:rsidRDefault="00003E33" w:rsidP="00003E33">
      <w:pPr>
        <w:ind w:leftChars="67" w:left="141" w:firstLineChars="177" w:firstLine="372"/>
        <w:rPr>
          <w:rFonts w:eastAsia="等线" w:hint="eastAsia"/>
        </w:rPr>
      </w:pPr>
      <w:r w:rsidRPr="00420874">
        <w:rPr>
          <w:rFonts w:eastAsia="等线"/>
        </w:rPr>
        <w:t>在合同生效的7</w:t>
      </w:r>
      <w:r w:rsidRPr="00420874">
        <w:rPr>
          <w:rFonts w:eastAsia="等线" w:hint="eastAsia"/>
        </w:rPr>
        <w:t>个工作日</w:t>
      </w:r>
      <w:r w:rsidRPr="00420874">
        <w:rPr>
          <w:rFonts w:eastAsia="等线"/>
        </w:rPr>
        <w:t>内向</w:t>
      </w:r>
      <w:proofErr w:type="spellStart"/>
      <w:r w:rsidRPr="00420874">
        <w:rPr>
          <w:rFonts w:eastAsia="等线"/>
        </w:rPr>
        <w:t>Ameco</w:t>
      </w:r>
      <w:proofErr w:type="spellEnd"/>
      <w:r w:rsidRPr="00420874">
        <w:rPr>
          <w:rFonts w:eastAsia="等线"/>
        </w:rPr>
        <w:t>提供公有云账号，并协助</w:t>
      </w:r>
      <w:proofErr w:type="spellStart"/>
      <w:r w:rsidRPr="00420874">
        <w:rPr>
          <w:rFonts w:eastAsia="等线"/>
        </w:rPr>
        <w:t>Ameco</w:t>
      </w:r>
      <w:proofErr w:type="spellEnd"/>
      <w:r w:rsidRPr="00420874">
        <w:rPr>
          <w:rFonts w:eastAsia="等线"/>
        </w:rPr>
        <w:t>完成备案。</w:t>
      </w:r>
    </w:p>
    <w:p w14:paraId="1867F417" w14:textId="670BC735" w:rsidR="00A31C8F" w:rsidRDefault="00A31C8F" w:rsidP="00003E33">
      <w:pPr>
        <w:ind w:leftChars="67" w:left="141" w:firstLineChars="177" w:firstLine="372"/>
        <w:rPr>
          <w:rFonts w:eastAsia="等线" w:hint="eastAsia"/>
        </w:rPr>
      </w:pPr>
    </w:p>
    <w:p w14:paraId="395985CA" w14:textId="1E3C37D2"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9E62694" w14:textId="77777777" w:rsidR="00A31C8F" w:rsidRPr="00420874" w:rsidRDefault="00A31C8F" w:rsidP="00003E33">
      <w:pPr>
        <w:ind w:leftChars="67" w:left="141" w:firstLineChars="177" w:firstLine="372"/>
        <w:rPr>
          <w:rFonts w:eastAsia="等线" w:hint="eastAsia"/>
        </w:rPr>
      </w:pPr>
    </w:p>
    <w:p w14:paraId="2BD439B0" w14:textId="10E082F9" w:rsidR="00003E33" w:rsidRPr="00003E33" w:rsidRDefault="00003E33" w:rsidP="00003E33">
      <w:pPr>
        <w:ind w:leftChars="67" w:left="141" w:firstLineChars="177" w:firstLine="372"/>
        <w:rPr>
          <w:rFonts w:eastAsia="等线" w:hint="eastAsia"/>
        </w:rPr>
      </w:pPr>
      <w:r w:rsidRPr="00003E33">
        <w:rPr>
          <w:rFonts w:eastAsia="等线"/>
        </w:rPr>
        <w:t>在合同生效后的7个工作日内，</w:t>
      </w:r>
      <w:r w:rsidR="00152F2A">
        <w:rPr>
          <w:rFonts w:eastAsia="等线"/>
        </w:rPr>
        <w:t>我公司</w:t>
      </w:r>
      <w:r w:rsidRPr="00003E33">
        <w:rPr>
          <w:rFonts w:eastAsia="等线"/>
        </w:rPr>
        <w:t>将严格按照</w:t>
      </w:r>
      <w:r w:rsidR="006C6F6D" w:rsidRPr="006C6F6D">
        <w:rPr>
          <w:rFonts w:eastAsia="等线"/>
          <w:b/>
        </w:rPr>
        <w:t>招标文件要求</w:t>
      </w:r>
      <w:r w:rsidRPr="00003E33">
        <w:rPr>
          <w:rFonts w:eastAsia="等线"/>
        </w:rPr>
        <w:t>向</w:t>
      </w:r>
      <w:proofErr w:type="spellStart"/>
      <w:r w:rsidRPr="00003E33">
        <w:rPr>
          <w:rFonts w:eastAsia="等线"/>
        </w:rPr>
        <w:t>Ameco</w:t>
      </w:r>
      <w:proofErr w:type="spellEnd"/>
      <w:r w:rsidRPr="00003E33">
        <w:rPr>
          <w:rFonts w:eastAsia="等线"/>
        </w:rPr>
        <w:t>提供公有云账号，并协助完成备案工作。首先，我司将成立专项小组，在合同生效当日启动账号创建流程，依据</w:t>
      </w:r>
      <w:proofErr w:type="spellStart"/>
      <w:r w:rsidRPr="00003E33">
        <w:rPr>
          <w:rFonts w:eastAsia="等线"/>
        </w:rPr>
        <w:t>Ameco</w:t>
      </w:r>
      <w:proofErr w:type="spellEnd"/>
      <w:r w:rsidRPr="00003E33">
        <w:rPr>
          <w:rFonts w:eastAsia="等线"/>
        </w:rPr>
        <w:t>的业务需求与华为云账号管理规范，快速完成企业账号注册、实名认证等基础操作，并在3个工作日内完成账号主体信息录入与权限预配置，涵盖计算、存储、网络等基础服务权限，同时预留后续业务扩展的权限接口。随后，我司将在第4-6个工作日内，与</w:t>
      </w:r>
      <w:proofErr w:type="spellStart"/>
      <w:r w:rsidRPr="00003E33">
        <w:rPr>
          <w:rFonts w:eastAsia="等线"/>
        </w:rPr>
        <w:t>Ameco</w:t>
      </w:r>
      <w:proofErr w:type="spellEnd"/>
      <w:r w:rsidRPr="00003E33">
        <w:rPr>
          <w:rFonts w:eastAsia="等线"/>
        </w:rPr>
        <w:t>项目对接人确认账号信息，包括账号名称、初始密码及权限范围，通过加密邮件与线下确认双重方式确保信息安全准确传递。在第7个工作日，我司将协助</w:t>
      </w:r>
      <w:proofErr w:type="spellStart"/>
      <w:r w:rsidRPr="00003E33">
        <w:rPr>
          <w:rFonts w:eastAsia="等线"/>
        </w:rPr>
        <w:t>Ameco</w:t>
      </w:r>
      <w:proofErr w:type="spellEnd"/>
      <w:r w:rsidRPr="00003E33">
        <w:rPr>
          <w:rFonts w:eastAsia="等线"/>
        </w:rPr>
        <w:t>完成账号备案工作，凭借自身丰富的备案经验，提供详细的备案材料清单与填报指南，指导</w:t>
      </w:r>
      <w:proofErr w:type="spellStart"/>
      <w:r w:rsidRPr="00003E33">
        <w:rPr>
          <w:rFonts w:eastAsia="等线"/>
        </w:rPr>
        <w:t>Ameco</w:t>
      </w:r>
      <w:proofErr w:type="spellEnd"/>
      <w:r w:rsidRPr="00003E33">
        <w:rPr>
          <w:rFonts w:eastAsia="等线"/>
        </w:rPr>
        <w:t>准备企业资质、域名信息等备案资料，并通过华为云备案管理系统协助提交审核，实时跟踪备案进度，及时反馈审核结果与问题，确保备案流程顺利推进。通过系统化的流程与紧密的协作，我司将确保公有云账号按时交付，并助力</w:t>
      </w:r>
      <w:proofErr w:type="spellStart"/>
      <w:r w:rsidRPr="00003E33">
        <w:rPr>
          <w:rFonts w:eastAsia="等线"/>
        </w:rPr>
        <w:t>Ameco</w:t>
      </w:r>
      <w:proofErr w:type="spellEnd"/>
      <w:r w:rsidRPr="00003E33">
        <w:rPr>
          <w:rFonts w:eastAsia="等线"/>
        </w:rPr>
        <w:t>高效完成备案，为后续云服务使用奠定坚实基础。</w:t>
      </w:r>
    </w:p>
    <w:p w14:paraId="676E32A2" w14:textId="1D62CBF1" w:rsidR="00BE572F" w:rsidRDefault="00BE572F" w:rsidP="00BE572F">
      <w:pPr>
        <w:pStyle w:val="2"/>
        <w:rPr>
          <w:rFonts w:hint="eastAsia"/>
        </w:rPr>
      </w:pPr>
      <w:r>
        <w:t>后付费说明（总集写）</w:t>
      </w:r>
    </w:p>
    <w:p w14:paraId="13C988A5" w14:textId="2EC7045C" w:rsidR="00A31C8F" w:rsidRPr="00A31C8F" w:rsidRDefault="006C6F6D" w:rsidP="006C6F6D">
      <w:pPr>
        <w:rPr>
          <w:rFonts w:hint="eastAsia"/>
        </w:rPr>
      </w:pPr>
      <w:r w:rsidRPr="006C6F6D">
        <w:rPr>
          <w:rFonts w:hint="eastAsia"/>
          <w:b/>
        </w:rPr>
        <w:t>招标文件要求</w:t>
      </w:r>
    </w:p>
    <w:p w14:paraId="49491578" w14:textId="77777777" w:rsidR="00A31C8F" w:rsidRPr="00A31C8F" w:rsidRDefault="00A31C8F" w:rsidP="00A31C8F">
      <w:pPr>
        <w:rPr>
          <w:rFonts w:hint="eastAsia"/>
        </w:rPr>
      </w:pPr>
    </w:p>
    <w:p w14:paraId="3475DDE6" w14:textId="37344EC2" w:rsidR="00003E33" w:rsidRDefault="00003E33">
      <w:pPr>
        <w:numPr>
          <w:ilvl w:val="0"/>
          <w:numId w:val="107"/>
        </w:numPr>
        <w:ind w:left="0" w:firstLine="0"/>
        <w:rPr>
          <w:rFonts w:eastAsia="等线" w:hint="eastAsia"/>
        </w:rPr>
      </w:pPr>
      <w:proofErr w:type="spellStart"/>
      <w:r w:rsidRPr="00420874">
        <w:rPr>
          <w:rFonts w:eastAsia="等线"/>
        </w:rPr>
        <w:t>Ameco</w:t>
      </w:r>
      <w:proofErr w:type="spellEnd"/>
      <w:r w:rsidRPr="00420874">
        <w:rPr>
          <w:rFonts w:eastAsia="等线"/>
        </w:rPr>
        <w:t>用“后付费”的方式以固定折扣使用公有云资源，每季度后收到投标人提供的当季消费账单及发票后向投标人付款。首次付款前需要完成本项目专线开通及所有迁移实施服务；</w:t>
      </w:r>
    </w:p>
    <w:p w14:paraId="14465757" w14:textId="69915A67" w:rsidR="00A31C8F" w:rsidRDefault="00A31C8F" w:rsidP="00A31C8F">
      <w:pPr>
        <w:rPr>
          <w:rFonts w:eastAsia="等线" w:hint="eastAsia"/>
        </w:rPr>
      </w:pPr>
    </w:p>
    <w:p w14:paraId="659B019A" w14:textId="477670F7"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8460B4C" w14:textId="77777777" w:rsidR="00A31C8F" w:rsidRPr="00420874" w:rsidRDefault="00A31C8F" w:rsidP="00A31C8F">
      <w:pPr>
        <w:rPr>
          <w:rFonts w:eastAsia="等线" w:hint="eastAsia"/>
        </w:rPr>
      </w:pPr>
    </w:p>
    <w:p w14:paraId="3AFDC4DB" w14:textId="0B6E840D" w:rsidR="00003E33" w:rsidRPr="00003E33" w:rsidRDefault="00152F2A" w:rsidP="00003E33">
      <w:pPr>
        <w:ind w:firstLine="420"/>
        <w:rPr>
          <w:rFonts w:hint="eastAsia"/>
        </w:rPr>
      </w:pPr>
      <w:r>
        <w:rPr>
          <w:rFonts w:hint="eastAsia"/>
        </w:rPr>
        <w:t>我公司</w:t>
      </w:r>
      <w:r w:rsidR="00003E33" w:rsidRPr="00003E33">
        <w:rPr>
          <w:rFonts w:hint="eastAsia"/>
        </w:rPr>
        <w:t>支持</w:t>
      </w:r>
      <w:proofErr w:type="spellStart"/>
      <w:r w:rsidR="00003E33" w:rsidRPr="00003E33">
        <w:t>Ameco</w:t>
      </w:r>
      <w:proofErr w:type="spellEnd"/>
      <w:r w:rsidR="00003E33" w:rsidRPr="00003E33">
        <w:t>采用后付费模式，以固定折扣使用华为云资源。每季度结束后5个工作日内，我司将向</w:t>
      </w:r>
      <w:proofErr w:type="spellStart"/>
      <w:r w:rsidR="00003E33" w:rsidRPr="00003E33">
        <w:t>Ameco</w:t>
      </w:r>
      <w:proofErr w:type="spellEnd"/>
      <w:r w:rsidR="00003E33" w:rsidRPr="00003E33">
        <w:t>提供详细的当季消费账单，包含资源使用明细、折扣计算过程及最终金额，并同步开具合规发票。同时，我司承诺在</w:t>
      </w:r>
      <w:proofErr w:type="spellStart"/>
      <w:r w:rsidR="00003E33" w:rsidRPr="00003E33">
        <w:t>Ameco</w:t>
      </w:r>
      <w:proofErr w:type="spellEnd"/>
      <w:r w:rsidR="00003E33" w:rsidRPr="00003E33">
        <w:t>首次付款前，全力配合完成专线开通及所有迁移实施服务，确保项目平稳落地，保障</w:t>
      </w:r>
      <w:proofErr w:type="spellStart"/>
      <w:r w:rsidR="00003E33" w:rsidRPr="00003E33">
        <w:t>Ameco</w:t>
      </w:r>
      <w:proofErr w:type="spellEnd"/>
      <w:r w:rsidR="00003E33" w:rsidRPr="00003E33">
        <w:t>资金支付与服务使用的合理性、安全性。</w:t>
      </w:r>
    </w:p>
    <w:p w14:paraId="09996A77" w14:textId="022C08FA" w:rsidR="00BE572F" w:rsidRDefault="00BE572F" w:rsidP="00BE572F">
      <w:pPr>
        <w:pStyle w:val="2"/>
        <w:rPr>
          <w:rFonts w:hint="eastAsia"/>
        </w:rPr>
      </w:pPr>
      <w:r>
        <w:t>固定折扣率说明（总集写）</w:t>
      </w:r>
    </w:p>
    <w:p w14:paraId="1D07BF49" w14:textId="08410426" w:rsidR="00A31C8F" w:rsidRPr="00A31C8F" w:rsidRDefault="006C6F6D" w:rsidP="006C6F6D">
      <w:pPr>
        <w:rPr>
          <w:rFonts w:hint="eastAsia"/>
        </w:rPr>
      </w:pPr>
      <w:r w:rsidRPr="006C6F6D">
        <w:rPr>
          <w:rFonts w:hint="eastAsia"/>
          <w:b/>
        </w:rPr>
        <w:t>招标文件要求</w:t>
      </w:r>
    </w:p>
    <w:p w14:paraId="6E61124B" w14:textId="77777777" w:rsidR="00A31C8F" w:rsidRPr="00A31C8F" w:rsidRDefault="00A31C8F" w:rsidP="00A31C8F">
      <w:pPr>
        <w:rPr>
          <w:rFonts w:hint="eastAsia"/>
        </w:rPr>
      </w:pPr>
    </w:p>
    <w:p w14:paraId="666832CB" w14:textId="2682E215" w:rsidR="00003E33" w:rsidRDefault="00003E33">
      <w:pPr>
        <w:numPr>
          <w:ilvl w:val="0"/>
          <w:numId w:val="107"/>
        </w:numPr>
        <w:ind w:left="0" w:firstLine="0"/>
        <w:rPr>
          <w:rFonts w:eastAsia="等线" w:hint="eastAsia"/>
        </w:rPr>
      </w:pPr>
      <w:r w:rsidRPr="00880FE9">
        <w:rPr>
          <w:rFonts w:eastAsia="等线"/>
        </w:rPr>
        <w:t>投标时投标人明确提供固定折扣率；</w:t>
      </w:r>
    </w:p>
    <w:p w14:paraId="0627F4FB" w14:textId="45EE013F" w:rsidR="00A31C8F" w:rsidRDefault="00A31C8F" w:rsidP="00A31C8F">
      <w:pPr>
        <w:rPr>
          <w:rFonts w:eastAsia="等线" w:hint="eastAsia"/>
        </w:rPr>
      </w:pPr>
    </w:p>
    <w:p w14:paraId="34EBDD74" w14:textId="7EE45568"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6B2B357" w14:textId="77777777" w:rsidR="00A31C8F" w:rsidRPr="00880FE9" w:rsidRDefault="00A31C8F" w:rsidP="00A31C8F">
      <w:pPr>
        <w:rPr>
          <w:rFonts w:eastAsia="等线" w:hint="eastAsia"/>
        </w:rPr>
      </w:pPr>
    </w:p>
    <w:p w14:paraId="5534D1F9" w14:textId="216AD0B3" w:rsidR="00003E33" w:rsidRPr="00003E33" w:rsidRDefault="00003E33" w:rsidP="00003E33">
      <w:pPr>
        <w:ind w:firstLine="420"/>
        <w:rPr>
          <w:rFonts w:hint="eastAsia"/>
        </w:rPr>
      </w:pPr>
      <w:r w:rsidRPr="00003E33">
        <w:rPr>
          <w:rFonts w:hint="eastAsia"/>
        </w:rPr>
        <w:t>投标时，我司将明确标注华为云资源的固定折扣率。该折扣率将综合考量</w:t>
      </w:r>
      <w:proofErr w:type="spellStart"/>
      <w:r w:rsidRPr="00003E33">
        <w:t>Ameco</w:t>
      </w:r>
      <w:proofErr w:type="spellEnd"/>
      <w:r w:rsidRPr="00003E33">
        <w:t>的预估资源使用量、服务周期及项目合作深度，结合华为云官方定价策略，提供具有竞争力的阶梯式折扣方案。例如，对于基础计算资源，在合同期内给予25%-35%的固定折扣，并在投标文件中清晰列</w:t>
      </w:r>
      <w:r w:rsidRPr="00003E33">
        <w:lastRenderedPageBreak/>
        <w:t>出折扣计算方式及对应资源类别，确保价格透明、公平。</w:t>
      </w:r>
    </w:p>
    <w:p w14:paraId="5D960323" w14:textId="2096E833" w:rsidR="00BE572F" w:rsidRDefault="00BE572F" w:rsidP="00BE572F">
      <w:pPr>
        <w:pStyle w:val="2"/>
        <w:rPr>
          <w:rFonts w:hint="eastAsia"/>
        </w:rPr>
      </w:pPr>
      <w:r>
        <w:t>消费限制（总集写）</w:t>
      </w:r>
    </w:p>
    <w:p w14:paraId="103661AA" w14:textId="2584B125" w:rsidR="00A31C8F" w:rsidRPr="00A31C8F" w:rsidRDefault="006C6F6D" w:rsidP="006C6F6D">
      <w:pPr>
        <w:rPr>
          <w:rFonts w:hint="eastAsia"/>
        </w:rPr>
      </w:pPr>
      <w:r w:rsidRPr="006C6F6D">
        <w:rPr>
          <w:rFonts w:hint="eastAsia"/>
          <w:b/>
        </w:rPr>
        <w:t>招标文件要求</w:t>
      </w:r>
    </w:p>
    <w:p w14:paraId="5856ACF7" w14:textId="77777777" w:rsidR="00A31C8F" w:rsidRPr="00A31C8F" w:rsidRDefault="00A31C8F" w:rsidP="00A31C8F">
      <w:pPr>
        <w:rPr>
          <w:rFonts w:hint="eastAsia"/>
        </w:rPr>
      </w:pPr>
    </w:p>
    <w:p w14:paraId="04F32925" w14:textId="25819271" w:rsidR="00003E33" w:rsidRDefault="00003E33">
      <w:pPr>
        <w:numPr>
          <w:ilvl w:val="0"/>
          <w:numId w:val="107"/>
        </w:numPr>
        <w:ind w:left="0" w:firstLine="0"/>
        <w:rPr>
          <w:rFonts w:eastAsia="等线" w:hint="eastAsia"/>
        </w:rPr>
      </w:pPr>
      <w:proofErr w:type="spellStart"/>
      <w:r w:rsidRPr="00880FE9">
        <w:rPr>
          <w:rFonts w:eastAsia="等线"/>
        </w:rPr>
        <w:t>Ameco</w:t>
      </w:r>
      <w:proofErr w:type="spellEnd"/>
      <w:r w:rsidRPr="00880FE9">
        <w:rPr>
          <w:rFonts w:eastAsia="等线"/>
        </w:rPr>
        <w:t>可不受限制的使用该公有云平台所有云服务（含公有云平台全部官方服务，不含云市场等第三方服务）：不设置消费下限、上限、使用时长及其他限制；</w:t>
      </w:r>
    </w:p>
    <w:p w14:paraId="76DBB84A" w14:textId="6639D469" w:rsidR="00A31C8F" w:rsidRDefault="00A31C8F" w:rsidP="00A31C8F">
      <w:pPr>
        <w:rPr>
          <w:rFonts w:eastAsia="等线" w:hint="eastAsia"/>
        </w:rPr>
      </w:pPr>
    </w:p>
    <w:p w14:paraId="7F227A06" w14:textId="51FC9065"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760F8BD" w14:textId="77777777" w:rsidR="00A31C8F" w:rsidRPr="00880FE9" w:rsidRDefault="00A31C8F" w:rsidP="00A31C8F">
      <w:pPr>
        <w:rPr>
          <w:rFonts w:eastAsia="等线" w:hint="eastAsia"/>
        </w:rPr>
      </w:pPr>
    </w:p>
    <w:p w14:paraId="46173FB0" w14:textId="0D04E96D" w:rsidR="00003E33" w:rsidRPr="00003E33" w:rsidRDefault="00003E33" w:rsidP="00003E33">
      <w:pPr>
        <w:ind w:firstLine="420"/>
        <w:rPr>
          <w:rFonts w:hint="eastAsia"/>
        </w:rPr>
      </w:pPr>
      <w:r w:rsidRPr="00003E33">
        <w:rPr>
          <w:rFonts w:hint="eastAsia"/>
        </w:rPr>
        <w:t>我司承诺，</w:t>
      </w:r>
      <w:proofErr w:type="spellStart"/>
      <w:r w:rsidRPr="00003E33">
        <w:t>Ameco</w:t>
      </w:r>
      <w:proofErr w:type="spellEnd"/>
      <w:r w:rsidRPr="00003E33">
        <w:t>可无限制使用华为云全栈官方服务，涵盖计算、存储、网络、数据库、AI开发等所有服务类别，不设置消费下限、上限、使用时长及其他限制性条件。</w:t>
      </w:r>
      <w:proofErr w:type="spellStart"/>
      <w:r w:rsidRPr="00003E33">
        <w:t>Ameco</w:t>
      </w:r>
      <w:proofErr w:type="spellEnd"/>
      <w:r w:rsidRPr="00003E33">
        <w:t>可根据业务发展动态调整资源使用规模，无论是临时扩展计算资源应对业务高峰，还是长期使用存储服务管理数据，华为云均提供灵活、稳定的服务支持，满足多样化业务需求。</w:t>
      </w:r>
    </w:p>
    <w:p w14:paraId="5F03407C" w14:textId="2E332A80" w:rsidR="00BE572F" w:rsidRDefault="00BE572F" w:rsidP="00BE572F">
      <w:pPr>
        <w:pStyle w:val="2"/>
        <w:rPr>
          <w:rFonts w:hint="eastAsia"/>
        </w:rPr>
      </w:pPr>
      <w:r>
        <w:t>服务周期</w:t>
      </w:r>
    </w:p>
    <w:p w14:paraId="17B64D51" w14:textId="24BA7BB0" w:rsidR="00A31C8F" w:rsidRPr="00A31C8F" w:rsidRDefault="006C6F6D" w:rsidP="006C6F6D">
      <w:pPr>
        <w:rPr>
          <w:rFonts w:hint="eastAsia"/>
        </w:rPr>
      </w:pPr>
      <w:r w:rsidRPr="006C6F6D">
        <w:rPr>
          <w:rFonts w:hint="eastAsia"/>
          <w:b/>
        </w:rPr>
        <w:t>招标文件要求</w:t>
      </w:r>
    </w:p>
    <w:p w14:paraId="7BF2410B" w14:textId="77777777" w:rsidR="00A31C8F" w:rsidRPr="00A31C8F" w:rsidRDefault="00A31C8F" w:rsidP="00A31C8F">
      <w:pPr>
        <w:rPr>
          <w:rFonts w:hint="eastAsia"/>
        </w:rPr>
      </w:pPr>
    </w:p>
    <w:p w14:paraId="285B998F" w14:textId="4B1A92CE" w:rsidR="00003E33" w:rsidRDefault="00003E33">
      <w:pPr>
        <w:numPr>
          <w:ilvl w:val="0"/>
          <w:numId w:val="107"/>
        </w:numPr>
        <w:ind w:left="0" w:firstLine="0"/>
        <w:rPr>
          <w:rFonts w:eastAsia="等线" w:hint="eastAsia"/>
        </w:rPr>
      </w:pPr>
      <w:r w:rsidRPr="000134A2">
        <w:rPr>
          <w:rFonts w:eastAsia="等线"/>
        </w:rPr>
        <w:t>云资源服务周期：合同生效之日起，至公有云专线开通后满1年结束；</w:t>
      </w:r>
    </w:p>
    <w:p w14:paraId="557EC4FF" w14:textId="7B585482" w:rsidR="00A31C8F" w:rsidRDefault="00A31C8F" w:rsidP="00A31C8F">
      <w:pPr>
        <w:rPr>
          <w:rFonts w:eastAsia="等线" w:hint="eastAsia"/>
        </w:rPr>
      </w:pPr>
    </w:p>
    <w:p w14:paraId="7A137178" w14:textId="60A176F7"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EBEED61" w14:textId="77777777" w:rsidR="00A31C8F" w:rsidRPr="000134A2" w:rsidRDefault="00A31C8F" w:rsidP="00A31C8F">
      <w:pPr>
        <w:rPr>
          <w:rFonts w:eastAsia="等线" w:hint="eastAsia"/>
        </w:rPr>
      </w:pPr>
    </w:p>
    <w:p w14:paraId="03C14408" w14:textId="1DCCC9E3" w:rsidR="00003E33" w:rsidRPr="00003E33" w:rsidRDefault="00003E33" w:rsidP="00003E33">
      <w:pPr>
        <w:ind w:firstLine="420"/>
        <w:rPr>
          <w:rFonts w:hint="eastAsia"/>
        </w:rPr>
      </w:pPr>
      <w:r w:rsidRPr="00003E33">
        <w:rPr>
          <w:rFonts w:hint="eastAsia"/>
        </w:rPr>
        <w:t>云资源服务周期自合同生效之日起开始计算，至华为云专线开通后满</w:t>
      </w:r>
      <w:r w:rsidRPr="00003E33">
        <w:t>1年结束。我司将与</w:t>
      </w:r>
      <w:proofErr w:type="spellStart"/>
      <w:r w:rsidRPr="00003E33">
        <w:t>Ameco</w:t>
      </w:r>
      <w:proofErr w:type="spellEnd"/>
      <w:r w:rsidRPr="00003E33">
        <w:t>紧密配合，加快专线开通进度，并在服务周期内持续提供技术支持与服务优化，确保云资源服务始终保持高效、稳定运行。同时，在服务周期临近结束前1个月，主动与</w:t>
      </w:r>
      <w:proofErr w:type="spellStart"/>
      <w:r w:rsidRPr="00003E33">
        <w:t>Ameco</w:t>
      </w:r>
      <w:proofErr w:type="spellEnd"/>
      <w:r w:rsidRPr="00003E33">
        <w:t>沟通，提供服务续约或调整方案，保障业务连续性。</w:t>
      </w:r>
    </w:p>
    <w:p w14:paraId="1ACDCF08" w14:textId="1DA55545" w:rsidR="00BE572F" w:rsidRDefault="00BE572F" w:rsidP="00BE572F">
      <w:pPr>
        <w:pStyle w:val="2"/>
        <w:rPr>
          <w:rFonts w:hint="eastAsia"/>
        </w:rPr>
      </w:pPr>
      <w:r>
        <w:t>专线部署工作</w:t>
      </w:r>
    </w:p>
    <w:p w14:paraId="1F88B55D" w14:textId="0E2EE49D" w:rsidR="00A31C8F" w:rsidRPr="00A31C8F" w:rsidRDefault="006C6F6D" w:rsidP="006C6F6D">
      <w:pPr>
        <w:rPr>
          <w:rFonts w:hint="eastAsia"/>
        </w:rPr>
      </w:pPr>
      <w:r w:rsidRPr="006C6F6D">
        <w:rPr>
          <w:rFonts w:hint="eastAsia"/>
          <w:b/>
        </w:rPr>
        <w:t>招标文件要求</w:t>
      </w:r>
    </w:p>
    <w:p w14:paraId="6AC4EB6D" w14:textId="77777777" w:rsidR="00A31C8F" w:rsidRPr="00A31C8F" w:rsidRDefault="00A31C8F" w:rsidP="00A31C8F">
      <w:pPr>
        <w:rPr>
          <w:rFonts w:hint="eastAsia"/>
        </w:rPr>
      </w:pPr>
    </w:p>
    <w:p w14:paraId="6F0886CB" w14:textId="06A391B5" w:rsidR="00003E33" w:rsidRDefault="00003E33">
      <w:pPr>
        <w:numPr>
          <w:ilvl w:val="0"/>
          <w:numId w:val="107"/>
        </w:numPr>
        <w:ind w:left="0" w:firstLine="0"/>
        <w:rPr>
          <w:rFonts w:eastAsia="等线" w:hint="eastAsia"/>
        </w:rPr>
      </w:pPr>
      <w:r w:rsidRPr="00880FE9">
        <w:rPr>
          <w:rFonts w:eastAsia="等线"/>
        </w:rPr>
        <w:t>公有云专线由</w:t>
      </w:r>
      <w:proofErr w:type="spellStart"/>
      <w:r w:rsidRPr="00880FE9">
        <w:rPr>
          <w:rFonts w:eastAsia="等线"/>
        </w:rPr>
        <w:t>Ameco</w:t>
      </w:r>
      <w:proofErr w:type="spellEnd"/>
      <w:r w:rsidRPr="00880FE9">
        <w:rPr>
          <w:rFonts w:eastAsia="等线"/>
        </w:rPr>
        <w:t>完成采购及部署，投标人配合</w:t>
      </w:r>
      <w:proofErr w:type="spellStart"/>
      <w:r w:rsidRPr="00880FE9">
        <w:rPr>
          <w:rFonts w:eastAsia="等线"/>
        </w:rPr>
        <w:t>Ameco</w:t>
      </w:r>
      <w:proofErr w:type="spellEnd"/>
      <w:r w:rsidRPr="00880FE9">
        <w:rPr>
          <w:rFonts w:eastAsia="等线"/>
        </w:rPr>
        <w:t>完成公有云专线的部署工作，投标人负责对应云端相关配置及调试等；</w:t>
      </w:r>
    </w:p>
    <w:p w14:paraId="4C1970CC" w14:textId="07090F3F" w:rsidR="00A31C8F" w:rsidRDefault="00A31C8F" w:rsidP="00A31C8F">
      <w:pPr>
        <w:rPr>
          <w:rFonts w:eastAsia="等线" w:hint="eastAsia"/>
        </w:rPr>
      </w:pPr>
    </w:p>
    <w:p w14:paraId="509F872E" w14:textId="030DDDE4"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FB3C10E" w14:textId="77777777" w:rsidR="00A31C8F" w:rsidRPr="00880FE9" w:rsidRDefault="00A31C8F" w:rsidP="00A31C8F">
      <w:pPr>
        <w:rPr>
          <w:rFonts w:eastAsia="等线" w:hint="eastAsia"/>
        </w:rPr>
      </w:pPr>
    </w:p>
    <w:p w14:paraId="3F8BBE18" w14:textId="733B9AEF" w:rsidR="00003E33" w:rsidRPr="00003E33" w:rsidRDefault="00EA2CFE" w:rsidP="00EA2CFE">
      <w:pPr>
        <w:ind w:firstLine="420"/>
        <w:rPr>
          <w:rFonts w:hint="eastAsia"/>
        </w:rPr>
      </w:pPr>
      <w:r w:rsidRPr="00EA2CFE">
        <w:rPr>
          <w:rFonts w:hint="eastAsia"/>
        </w:rPr>
        <w:t>针对公有云专线，我司将全力配合</w:t>
      </w:r>
      <w:proofErr w:type="spellStart"/>
      <w:r w:rsidRPr="00EA2CFE">
        <w:t>Ameco</w:t>
      </w:r>
      <w:proofErr w:type="spellEnd"/>
      <w:r w:rsidRPr="00EA2CFE">
        <w:t>完成采购及部署工作。在</w:t>
      </w:r>
      <w:proofErr w:type="spellStart"/>
      <w:r w:rsidRPr="00EA2CFE">
        <w:t>Ameco</w:t>
      </w:r>
      <w:proofErr w:type="spellEnd"/>
      <w:r w:rsidRPr="00EA2CFE">
        <w:t>完成专线硬件采购后，我司技术团队将迅速介入，负责华为云侧的相关配置与调试，包括专线网关部署、路由策略配置、网络安全防护设置等。通过与</w:t>
      </w:r>
      <w:proofErr w:type="spellStart"/>
      <w:r w:rsidRPr="00EA2CFE">
        <w:t>Ameco</w:t>
      </w:r>
      <w:proofErr w:type="spellEnd"/>
      <w:r w:rsidRPr="00EA2CFE">
        <w:t>的密切协作，确保专线与华为云平台无缝对接，实现数据安全、高速传输，并提供7×24小时技术支持，保障专线稳定运行。</w:t>
      </w:r>
    </w:p>
    <w:p w14:paraId="648C34A7" w14:textId="0F5EBC44" w:rsidR="00BE572F" w:rsidRDefault="00455AF9" w:rsidP="00BE572F">
      <w:pPr>
        <w:pStyle w:val="2"/>
        <w:rPr>
          <w:rFonts w:hint="eastAsia"/>
        </w:rPr>
      </w:pPr>
      <w:r>
        <w:rPr>
          <w:rFonts w:hint="eastAsia"/>
        </w:rPr>
        <w:lastRenderedPageBreak/>
        <w:t>***</w:t>
      </w:r>
      <w:r w:rsidR="00BE572F">
        <w:t>资源价格说明</w:t>
      </w:r>
    </w:p>
    <w:p w14:paraId="0B93AFFB" w14:textId="354406AD" w:rsidR="00A31C8F" w:rsidRPr="00A31C8F" w:rsidRDefault="006C6F6D" w:rsidP="006C6F6D">
      <w:pPr>
        <w:rPr>
          <w:rFonts w:hint="eastAsia"/>
        </w:rPr>
      </w:pPr>
      <w:r w:rsidRPr="006C6F6D">
        <w:rPr>
          <w:rFonts w:hint="eastAsia"/>
          <w:b/>
        </w:rPr>
        <w:t>招标文件要求</w:t>
      </w:r>
    </w:p>
    <w:p w14:paraId="730B178F" w14:textId="77777777" w:rsidR="00A31C8F" w:rsidRPr="00A31C8F" w:rsidRDefault="00A31C8F" w:rsidP="00A31C8F">
      <w:pPr>
        <w:rPr>
          <w:rFonts w:hint="eastAsia"/>
        </w:rPr>
      </w:pPr>
    </w:p>
    <w:p w14:paraId="69A11A87" w14:textId="3D8C2037" w:rsidR="00003E33" w:rsidRDefault="00003E33">
      <w:pPr>
        <w:numPr>
          <w:ilvl w:val="0"/>
          <w:numId w:val="107"/>
        </w:numPr>
        <w:ind w:left="0" w:firstLine="0"/>
        <w:rPr>
          <w:rFonts w:eastAsia="等线" w:hint="eastAsia"/>
        </w:rPr>
      </w:pPr>
      <w:r w:rsidRPr="00880FE9">
        <w:rPr>
          <w:rFonts w:eastAsia="等线"/>
        </w:rPr>
        <w:t>主流云资源价格：按“附件1.云资源清单”补充相关资源的“公有云平台对应资源规格名称”和“单价（每月原价）”（提供官网截图）。若无对应规格，则提供满足</w:t>
      </w:r>
      <w:r w:rsidR="006C6F6D" w:rsidRPr="006C6F6D">
        <w:rPr>
          <w:rFonts w:eastAsia="等线"/>
          <w:b/>
        </w:rPr>
        <w:t>招标文件要求</w:t>
      </w:r>
      <w:r w:rsidRPr="00880FE9">
        <w:rPr>
          <w:rFonts w:eastAsia="等线"/>
        </w:rPr>
        <w:t>的更高规格资源。将按“原价X数量X固定折扣”进行比价。附件1只用于本项目比价，不包含全部待迁移资源；</w:t>
      </w:r>
    </w:p>
    <w:p w14:paraId="5EF80E56" w14:textId="6D4AD8B3" w:rsidR="00A31C8F" w:rsidRDefault="00A31C8F" w:rsidP="00A31C8F">
      <w:pPr>
        <w:rPr>
          <w:rFonts w:eastAsia="等线" w:hint="eastAsia"/>
        </w:rPr>
      </w:pPr>
    </w:p>
    <w:p w14:paraId="6BE12ED3" w14:textId="7674BD9E"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B683499" w14:textId="17B6CF3D" w:rsidR="00A31C8F" w:rsidRDefault="00A31C8F" w:rsidP="00A31C8F">
      <w:pPr>
        <w:rPr>
          <w:rFonts w:eastAsia="等线" w:hint="eastAsia"/>
        </w:rPr>
      </w:pPr>
    </w:p>
    <w:p w14:paraId="11D31389" w14:textId="4CD6D583" w:rsidR="00003E33" w:rsidRPr="00003E33" w:rsidRDefault="00EA2CFE" w:rsidP="00EA2CFE">
      <w:pPr>
        <w:ind w:firstLine="420"/>
        <w:rPr>
          <w:rFonts w:hint="eastAsia"/>
        </w:rPr>
      </w:pPr>
      <w:r w:rsidRPr="00EA2CFE">
        <w:rPr>
          <w:rFonts w:hint="eastAsia"/>
        </w:rPr>
        <w:t>对于</w:t>
      </w:r>
      <w:r w:rsidRPr="00EA2CFE">
        <w:t>“附件1.云资源清单”，我司将严格按照</w:t>
      </w:r>
      <w:r w:rsidR="006C6F6D" w:rsidRPr="006C6F6D">
        <w:rPr>
          <w:b/>
        </w:rPr>
        <w:t>招标文件要求</w:t>
      </w:r>
      <w:r w:rsidRPr="00EA2CFE">
        <w:t>补充华为云对应资源规格名称及每月原价，并附上官网截图作为依据。若清单中无完全匹配规格，我司将提供满足</w:t>
      </w:r>
      <w:r w:rsidR="006C6F6D" w:rsidRPr="006C6F6D">
        <w:rPr>
          <w:b/>
        </w:rPr>
        <w:t>招标文件要求</w:t>
      </w:r>
      <w:r w:rsidRPr="00EA2CFE">
        <w:t>且性能更高的资源，并在备注中详细说明替代理由。所有资源价格均基于华为云官方定价，确保比价过程公开透明，后续将按“原价×数量×固定折扣”进行清晰核算，为</w:t>
      </w:r>
      <w:proofErr w:type="spellStart"/>
      <w:r w:rsidRPr="00EA2CFE">
        <w:t>Ameco</w:t>
      </w:r>
      <w:proofErr w:type="spellEnd"/>
      <w:r w:rsidRPr="00EA2CFE">
        <w:t>提供准确、合理的费用明细。</w:t>
      </w:r>
    </w:p>
    <w:p w14:paraId="71CCE732" w14:textId="069AEA09" w:rsidR="00BE572F" w:rsidRDefault="00BE572F" w:rsidP="00BE572F">
      <w:pPr>
        <w:pStyle w:val="3"/>
        <w:rPr>
          <w:rFonts w:hint="eastAsia"/>
        </w:rPr>
      </w:pPr>
      <w:r>
        <w:t>云主机每月原价官网截图</w:t>
      </w:r>
    </w:p>
    <w:p w14:paraId="2945CD0E" w14:textId="24704A3F" w:rsidR="00791442" w:rsidRDefault="00791442" w:rsidP="00791442">
      <w:pPr>
        <w:pStyle w:val="4"/>
        <w:rPr>
          <w:rFonts w:hint="eastAsia"/>
        </w:rPr>
      </w:pPr>
      <w:r>
        <w:t>8C+16G+100GB+WINDOWSSERVER2019</w:t>
      </w:r>
    </w:p>
    <w:p w14:paraId="36C026B7" w14:textId="5BEF9B84" w:rsidR="00B224DD" w:rsidRPr="00B224DD" w:rsidRDefault="00B224DD" w:rsidP="00B224DD">
      <w:pPr>
        <w:rPr>
          <w:rFonts w:hint="eastAsia"/>
        </w:rPr>
      </w:pPr>
      <w:r>
        <w:rPr>
          <w:noProof/>
        </w:rPr>
        <w:drawing>
          <wp:inline distT="0" distB="0" distL="0" distR="0" wp14:anchorId="122E0926" wp14:editId="4320DFDB">
            <wp:extent cx="5580380" cy="3792855"/>
            <wp:effectExtent l="0" t="0" r="1270" b="0"/>
            <wp:docPr id="1105696036"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96036" name="图片 1" descr="图形用户界面, 应用程序&#10;&#10;AI 生成的内容可能不正确。"/>
                    <pic:cNvPicPr/>
                  </pic:nvPicPr>
                  <pic:blipFill>
                    <a:blip r:embed="rId5"/>
                    <a:stretch>
                      <a:fillRect/>
                    </a:stretch>
                  </pic:blipFill>
                  <pic:spPr>
                    <a:xfrm>
                      <a:off x="0" y="0"/>
                      <a:ext cx="5580380" cy="3792855"/>
                    </a:xfrm>
                    <a:prstGeom prst="rect">
                      <a:avLst/>
                    </a:prstGeom>
                  </pic:spPr>
                </pic:pic>
              </a:graphicData>
            </a:graphic>
          </wp:inline>
        </w:drawing>
      </w:r>
    </w:p>
    <w:p w14:paraId="75D84EA0" w14:textId="02DD0E3C" w:rsidR="00791442" w:rsidRDefault="00791442" w:rsidP="00791442">
      <w:pPr>
        <w:pStyle w:val="4"/>
        <w:rPr>
          <w:rFonts w:hint="eastAsia"/>
        </w:rPr>
      </w:pPr>
      <w:r>
        <w:lastRenderedPageBreak/>
        <w:t>4C+8G+100GB+centos7.5</w:t>
      </w:r>
    </w:p>
    <w:p w14:paraId="1ACCA4A5" w14:textId="1A1A19BB" w:rsidR="00B224DD" w:rsidRPr="00B224DD" w:rsidRDefault="00B224DD" w:rsidP="00B224DD">
      <w:pPr>
        <w:rPr>
          <w:rFonts w:hint="eastAsia"/>
        </w:rPr>
      </w:pPr>
      <w:r>
        <w:rPr>
          <w:noProof/>
        </w:rPr>
        <w:drawing>
          <wp:inline distT="0" distB="0" distL="0" distR="0" wp14:anchorId="7659CF3B" wp14:editId="1A66B499">
            <wp:extent cx="5580380" cy="3615055"/>
            <wp:effectExtent l="0" t="0" r="1270" b="4445"/>
            <wp:docPr id="643265440"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65440" name="图片 1" descr="图形用户界面, 文本, 应用程序, 电子邮件&#10;&#10;AI 生成的内容可能不正确。"/>
                    <pic:cNvPicPr/>
                  </pic:nvPicPr>
                  <pic:blipFill>
                    <a:blip r:embed="rId6"/>
                    <a:stretch>
                      <a:fillRect/>
                    </a:stretch>
                  </pic:blipFill>
                  <pic:spPr>
                    <a:xfrm>
                      <a:off x="0" y="0"/>
                      <a:ext cx="5580380" cy="3615055"/>
                    </a:xfrm>
                    <a:prstGeom prst="rect">
                      <a:avLst/>
                    </a:prstGeom>
                  </pic:spPr>
                </pic:pic>
              </a:graphicData>
            </a:graphic>
          </wp:inline>
        </w:drawing>
      </w:r>
    </w:p>
    <w:p w14:paraId="064D4757" w14:textId="0E55A36B" w:rsidR="00791442" w:rsidRDefault="00791442" w:rsidP="00791442">
      <w:pPr>
        <w:pStyle w:val="4"/>
        <w:rPr>
          <w:rFonts w:hint="eastAsia"/>
        </w:rPr>
      </w:pPr>
      <w:r>
        <w:t>32C+64G+500GB+2500GB+WINDOWSSERVER2016</w:t>
      </w:r>
    </w:p>
    <w:p w14:paraId="1DE33A4B" w14:textId="79E4BF61" w:rsidR="00B224DD" w:rsidRPr="00B224DD" w:rsidRDefault="00B224DD" w:rsidP="00B224DD">
      <w:pPr>
        <w:rPr>
          <w:rFonts w:hint="eastAsia"/>
        </w:rPr>
      </w:pPr>
      <w:r>
        <w:rPr>
          <w:noProof/>
        </w:rPr>
        <w:drawing>
          <wp:inline distT="0" distB="0" distL="0" distR="0" wp14:anchorId="578EEA57" wp14:editId="31D7E144">
            <wp:extent cx="5580380" cy="3712210"/>
            <wp:effectExtent l="0" t="0" r="1270" b="2540"/>
            <wp:docPr id="1297196480"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6480" name="图片 1" descr="图形用户界面, 文本, 应用程序, 电子邮件&#10;&#10;AI 生成的内容可能不正确。"/>
                    <pic:cNvPicPr/>
                  </pic:nvPicPr>
                  <pic:blipFill>
                    <a:blip r:embed="rId7"/>
                    <a:stretch>
                      <a:fillRect/>
                    </a:stretch>
                  </pic:blipFill>
                  <pic:spPr>
                    <a:xfrm>
                      <a:off x="0" y="0"/>
                      <a:ext cx="5580380" cy="3712210"/>
                    </a:xfrm>
                    <a:prstGeom prst="rect">
                      <a:avLst/>
                    </a:prstGeom>
                  </pic:spPr>
                </pic:pic>
              </a:graphicData>
            </a:graphic>
          </wp:inline>
        </w:drawing>
      </w:r>
    </w:p>
    <w:p w14:paraId="5DB687C8" w14:textId="066AFFCA" w:rsidR="00791442" w:rsidRDefault="00791442" w:rsidP="00791442">
      <w:pPr>
        <w:pStyle w:val="4"/>
        <w:rPr>
          <w:rFonts w:hint="eastAsia"/>
        </w:rPr>
      </w:pPr>
      <w:r>
        <w:lastRenderedPageBreak/>
        <w:t>8C+32G+100GB+2048GB+redhat6.10</w:t>
      </w:r>
    </w:p>
    <w:p w14:paraId="3DE71035" w14:textId="77777777" w:rsidR="00B224DD" w:rsidRPr="00B224DD" w:rsidRDefault="00B224DD" w:rsidP="00B224DD">
      <w:pPr>
        <w:rPr>
          <w:rFonts w:hint="eastAsia"/>
        </w:rPr>
      </w:pPr>
    </w:p>
    <w:p w14:paraId="3E83DFD2" w14:textId="51E39989" w:rsidR="00791442" w:rsidRDefault="00791442" w:rsidP="00791442">
      <w:pPr>
        <w:pStyle w:val="4"/>
        <w:rPr>
          <w:rFonts w:hint="eastAsia"/>
        </w:rPr>
      </w:pPr>
      <w:r>
        <w:t>16C+64G+100GB+1850GB+redhat6.10</w:t>
      </w:r>
    </w:p>
    <w:p w14:paraId="642E3ECC" w14:textId="2385FC9B" w:rsidR="00791442" w:rsidRDefault="00791442" w:rsidP="00791442">
      <w:pPr>
        <w:pStyle w:val="4"/>
        <w:rPr>
          <w:rFonts w:hint="eastAsia"/>
        </w:rPr>
      </w:pPr>
      <w:r>
        <w:t>16C+64G+100GB+3072GB+redhat6.10</w:t>
      </w:r>
    </w:p>
    <w:p w14:paraId="5D2C0B33" w14:textId="663885FF" w:rsidR="00791442" w:rsidRDefault="00791442" w:rsidP="00791442">
      <w:pPr>
        <w:pStyle w:val="4"/>
        <w:rPr>
          <w:rFonts w:hint="eastAsia"/>
        </w:rPr>
      </w:pPr>
      <w:r>
        <w:t>64C+256G+1800GB+suse15sp6</w:t>
      </w:r>
    </w:p>
    <w:p w14:paraId="275CB762" w14:textId="77777777" w:rsidR="00A95222" w:rsidRPr="00A95222" w:rsidRDefault="00A95222" w:rsidP="00A95222">
      <w:pPr>
        <w:rPr>
          <w:rFonts w:hint="eastAsia"/>
        </w:rPr>
      </w:pPr>
    </w:p>
    <w:p w14:paraId="7DB67D5D" w14:textId="2179709D" w:rsidR="00791442" w:rsidRDefault="00791442" w:rsidP="00791442">
      <w:pPr>
        <w:pStyle w:val="4"/>
        <w:rPr>
          <w:rFonts w:hint="eastAsia"/>
        </w:rPr>
      </w:pPr>
      <w:r>
        <w:t>4C+16G+200GB+redhat8.9</w:t>
      </w:r>
    </w:p>
    <w:p w14:paraId="5CF450D2" w14:textId="5AAEB593" w:rsidR="00791442" w:rsidRDefault="00791442" w:rsidP="00791442">
      <w:pPr>
        <w:pStyle w:val="4"/>
        <w:rPr>
          <w:rFonts w:hint="eastAsia"/>
        </w:rPr>
      </w:pPr>
      <w:r>
        <w:t>4C+16G+200GB+WINDOWSSERVER2019</w:t>
      </w:r>
    </w:p>
    <w:p w14:paraId="6DD6FAAB" w14:textId="433F1F42" w:rsidR="00A95222" w:rsidRPr="00A95222" w:rsidRDefault="00A95222" w:rsidP="00A95222">
      <w:pPr>
        <w:rPr>
          <w:rFonts w:hint="eastAsia"/>
        </w:rPr>
      </w:pPr>
      <w:r>
        <w:rPr>
          <w:noProof/>
        </w:rPr>
        <w:drawing>
          <wp:inline distT="0" distB="0" distL="0" distR="0" wp14:anchorId="679EF81F" wp14:editId="2A0F353C">
            <wp:extent cx="5580380" cy="3422015"/>
            <wp:effectExtent l="0" t="0" r="1270" b="6985"/>
            <wp:docPr id="1596526625"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26625" name="图片 1" descr="图形用户界面, 应用程序&#10;&#10;AI 生成的内容可能不正确。"/>
                    <pic:cNvPicPr/>
                  </pic:nvPicPr>
                  <pic:blipFill>
                    <a:blip r:embed="rId8"/>
                    <a:stretch>
                      <a:fillRect/>
                    </a:stretch>
                  </pic:blipFill>
                  <pic:spPr>
                    <a:xfrm>
                      <a:off x="0" y="0"/>
                      <a:ext cx="5580380" cy="3422015"/>
                    </a:xfrm>
                    <a:prstGeom prst="rect">
                      <a:avLst/>
                    </a:prstGeom>
                  </pic:spPr>
                </pic:pic>
              </a:graphicData>
            </a:graphic>
          </wp:inline>
        </w:drawing>
      </w:r>
    </w:p>
    <w:p w14:paraId="23CD61D5" w14:textId="7B78BBF0" w:rsidR="00791442" w:rsidRDefault="00791442" w:rsidP="00791442">
      <w:pPr>
        <w:pStyle w:val="4"/>
        <w:rPr>
          <w:rFonts w:hint="eastAsia"/>
        </w:rPr>
      </w:pPr>
      <w:r>
        <w:lastRenderedPageBreak/>
        <w:t>16C+64G+180GB+1024GB+AWSlinux</w:t>
      </w:r>
    </w:p>
    <w:p w14:paraId="22242738" w14:textId="410CDF25" w:rsidR="00A95222" w:rsidRPr="00A95222" w:rsidRDefault="00A95222" w:rsidP="00A95222">
      <w:pPr>
        <w:rPr>
          <w:rFonts w:hint="eastAsia"/>
        </w:rPr>
      </w:pPr>
      <w:r>
        <w:rPr>
          <w:noProof/>
        </w:rPr>
        <w:drawing>
          <wp:inline distT="0" distB="0" distL="0" distR="0" wp14:anchorId="25D9643C" wp14:editId="69DA0471">
            <wp:extent cx="5580380" cy="3463925"/>
            <wp:effectExtent l="0" t="0" r="1270" b="3175"/>
            <wp:docPr id="1594059423"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59423" name="图片 1" descr="图形用户界面, 应用程序&#10;&#10;AI 生成的内容可能不正确。"/>
                    <pic:cNvPicPr/>
                  </pic:nvPicPr>
                  <pic:blipFill>
                    <a:blip r:embed="rId9"/>
                    <a:stretch>
                      <a:fillRect/>
                    </a:stretch>
                  </pic:blipFill>
                  <pic:spPr>
                    <a:xfrm>
                      <a:off x="0" y="0"/>
                      <a:ext cx="5580380" cy="3463925"/>
                    </a:xfrm>
                    <a:prstGeom prst="rect">
                      <a:avLst/>
                    </a:prstGeom>
                  </pic:spPr>
                </pic:pic>
              </a:graphicData>
            </a:graphic>
          </wp:inline>
        </w:drawing>
      </w:r>
    </w:p>
    <w:p w14:paraId="764D20F8" w14:textId="61CEE9D6" w:rsidR="00CE0F79" w:rsidRDefault="00791442" w:rsidP="00791442">
      <w:pPr>
        <w:pStyle w:val="4"/>
        <w:rPr>
          <w:rFonts w:hint="eastAsia"/>
        </w:rPr>
      </w:pPr>
      <w:r>
        <w:t>2C+4G+100GB+AWSlinux</w:t>
      </w:r>
    </w:p>
    <w:p w14:paraId="43721322" w14:textId="01B27215" w:rsidR="00CE0F79" w:rsidRPr="00CE0F79" w:rsidRDefault="00A95222" w:rsidP="00CE0F79">
      <w:pPr>
        <w:rPr>
          <w:rFonts w:hint="eastAsia"/>
        </w:rPr>
      </w:pPr>
      <w:r>
        <w:rPr>
          <w:noProof/>
        </w:rPr>
        <w:drawing>
          <wp:inline distT="0" distB="0" distL="0" distR="0" wp14:anchorId="35CF395D" wp14:editId="037068BD">
            <wp:extent cx="5580380" cy="3427095"/>
            <wp:effectExtent l="0" t="0" r="1270" b="1905"/>
            <wp:docPr id="282787487"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87487" name="图片 1" descr="图形用户界面, 应用程序&#10;&#10;AI 生成的内容可能不正确。"/>
                    <pic:cNvPicPr/>
                  </pic:nvPicPr>
                  <pic:blipFill>
                    <a:blip r:embed="rId10"/>
                    <a:stretch>
                      <a:fillRect/>
                    </a:stretch>
                  </pic:blipFill>
                  <pic:spPr>
                    <a:xfrm>
                      <a:off x="0" y="0"/>
                      <a:ext cx="5580380" cy="3427095"/>
                    </a:xfrm>
                    <a:prstGeom prst="rect">
                      <a:avLst/>
                    </a:prstGeom>
                  </pic:spPr>
                </pic:pic>
              </a:graphicData>
            </a:graphic>
          </wp:inline>
        </w:drawing>
      </w:r>
    </w:p>
    <w:p w14:paraId="5CCE6505" w14:textId="00111D36" w:rsidR="00BE572F" w:rsidRDefault="00BE572F" w:rsidP="00BE572F">
      <w:pPr>
        <w:pStyle w:val="3"/>
        <w:rPr>
          <w:rFonts w:hint="eastAsia"/>
        </w:rPr>
      </w:pPr>
      <w:r>
        <w:lastRenderedPageBreak/>
        <w:t>云存储每月原价官网截图</w:t>
      </w:r>
    </w:p>
    <w:p w14:paraId="4607C5D3" w14:textId="77777777" w:rsidR="00791442" w:rsidRDefault="00791442" w:rsidP="00791442">
      <w:pPr>
        <w:pStyle w:val="4"/>
        <w:rPr>
          <w:rFonts w:hint="eastAsia"/>
        </w:rPr>
      </w:pPr>
      <w:r>
        <w:rPr>
          <w:rFonts w:hint="eastAsia"/>
        </w:rPr>
        <w:t>对象存储</w:t>
      </w:r>
      <w:r>
        <w:t>OSS+标准存储+同城冗余+60TB</w:t>
      </w:r>
    </w:p>
    <w:p w14:paraId="57378E46" w14:textId="77777777" w:rsidR="00A95222" w:rsidRPr="00A95222" w:rsidRDefault="00A95222" w:rsidP="00A95222">
      <w:pPr>
        <w:rPr>
          <w:rFonts w:hint="eastAsia"/>
        </w:rPr>
      </w:pPr>
    </w:p>
    <w:p w14:paraId="4C387F61" w14:textId="59ED9620" w:rsidR="00CE0F79" w:rsidRPr="00CE0F79" w:rsidRDefault="00791442" w:rsidP="00791442">
      <w:pPr>
        <w:pStyle w:val="4"/>
        <w:rPr>
          <w:rFonts w:hint="eastAsia"/>
        </w:rPr>
      </w:pPr>
      <w:r>
        <w:rPr>
          <w:rFonts w:hint="eastAsia"/>
        </w:rPr>
        <w:t>文件存储</w:t>
      </w:r>
      <w:r>
        <w:t>NAS+通用型NAS+NFS协议+2TB</w:t>
      </w:r>
    </w:p>
    <w:p w14:paraId="75065465" w14:textId="2B9A4E1A" w:rsidR="00BE572F" w:rsidRDefault="00BE572F" w:rsidP="00BE572F">
      <w:pPr>
        <w:pStyle w:val="3"/>
        <w:rPr>
          <w:rFonts w:hint="eastAsia"/>
        </w:rPr>
      </w:pPr>
      <w:r>
        <w:t>GPU资源报价每月原价官网截图</w:t>
      </w:r>
      <w:r>
        <w:tab/>
      </w:r>
    </w:p>
    <w:p w14:paraId="6C3217B9" w14:textId="77777777" w:rsidR="007F3CB6" w:rsidRDefault="007F3CB6" w:rsidP="007F3CB6">
      <w:pPr>
        <w:pStyle w:val="4"/>
        <w:rPr>
          <w:rFonts w:hint="eastAsia"/>
        </w:rPr>
      </w:pPr>
      <w:r>
        <w:t>8c+61G+100G+V100*1或同性能GPU</w:t>
      </w:r>
    </w:p>
    <w:p w14:paraId="58C5026D" w14:textId="77777777" w:rsidR="007F3CB6" w:rsidRDefault="007F3CB6" w:rsidP="007F3CB6">
      <w:pPr>
        <w:pStyle w:val="4"/>
        <w:rPr>
          <w:rFonts w:hint="eastAsia"/>
        </w:rPr>
      </w:pPr>
      <w:r>
        <w:t>8c+32G+100G+T4*1或同性能GPU</w:t>
      </w:r>
    </w:p>
    <w:p w14:paraId="18FAF0EF" w14:textId="77777777" w:rsidR="007F3CB6" w:rsidRDefault="007F3CB6" w:rsidP="007F3CB6">
      <w:pPr>
        <w:pStyle w:val="4"/>
        <w:rPr>
          <w:rFonts w:hint="eastAsia"/>
        </w:rPr>
      </w:pPr>
      <w:r>
        <w:t>8c+32G+100G+A10(G)*1或同性能GPU</w:t>
      </w:r>
    </w:p>
    <w:p w14:paraId="077361DE" w14:textId="6DF9B26D" w:rsidR="00791442" w:rsidRPr="00791442" w:rsidRDefault="007F3CB6" w:rsidP="007F3CB6">
      <w:pPr>
        <w:pStyle w:val="4"/>
        <w:rPr>
          <w:rFonts w:hint="eastAsia"/>
        </w:rPr>
      </w:pPr>
      <w:r>
        <w:t>128c+512G+100G+H20*8或同性能GPU</w:t>
      </w:r>
    </w:p>
    <w:p w14:paraId="0EE08FE5" w14:textId="090F943B" w:rsidR="00BE572F" w:rsidRDefault="00BE572F" w:rsidP="00BE572F">
      <w:pPr>
        <w:pStyle w:val="3"/>
        <w:rPr>
          <w:rFonts w:hint="eastAsia"/>
        </w:rPr>
      </w:pPr>
      <w:r>
        <w:t>云专线带宽资源报价每月原价官网截图</w:t>
      </w:r>
      <w:r>
        <w:tab/>
      </w:r>
    </w:p>
    <w:p w14:paraId="57FCF891" w14:textId="39E07847" w:rsidR="00BE572F" w:rsidRDefault="00BE572F" w:rsidP="00BE572F">
      <w:pPr>
        <w:pStyle w:val="2"/>
        <w:rPr>
          <w:rFonts w:hint="eastAsia"/>
        </w:rPr>
      </w:pPr>
      <w:r>
        <w:tab/>
        <w:t>资源可用区</w:t>
      </w:r>
      <w:r>
        <w:tab/>
      </w:r>
    </w:p>
    <w:p w14:paraId="74391409" w14:textId="03412C27" w:rsidR="00A31C8F" w:rsidRPr="00A31C8F" w:rsidRDefault="006C6F6D" w:rsidP="006C6F6D">
      <w:pPr>
        <w:rPr>
          <w:rFonts w:hint="eastAsia"/>
        </w:rPr>
      </w:pPr>
      <w:r w:rsidRPr="006C6F6D">
        <w:rPr>
          <w:rFonts w:hint="eastAsia"/>
          <w:b/>
        </w:rPr>
        <w:t>招标文件要求</w:t>
      </w:r>
    </w:p>
    <w:p w14:paraId="1C55BCCA" w14:textId="20385246" w:rsidR="00A31C8F" w:rsidRDefault="00A31C8F" w:rsidP="00A31C8F">
      <w:pPr>
        <w:rPr>
          <w:rFonts w:hint="eastAsia"/>
        </w:rPr>
      </w:pPr>
    </w:p>
    <w:p w14:paraId="6C7D56DC" w14:textId="6A0B493C" w:rsidR="00003E33" w:rsidRDefault="00003E33">
      <w:pPr>
        <w:numPr>
          <w:ilvl w:val="0"/>
          <w:numId w:val="107"/>
        </w:numPr>
        <w:ind w:left="0" w:firstLine="0"/>
        <w:rPr>
          <w:rFonts w:eastAsia="等线" w:hint="eastAsia"/>
        </w:rPr>
      </w:pPr>
      <w:r w:rsidRPr="00880FE9">
        <w:rPr>
          <w:rFonts w:eastAsia="等线"/>
        </w:rPr>
        <w:t>云资源可用区：提供报价的云资源及实际交付的所有云资源在同一可用区；云资源可用区距离</w:t>
      </w:r>
      <w:proofErr w:type="spellStart"/>
      <w:r w:rsidRPr="00880FE9">
        <w:rPr>
          <w:rFonts w:eastAsia="等线"/>
        </w:rPr>
        <w:t>Ameco</w:t>
      </w:r>
      <w:proofErr w:type="spellEnd"/>
      <w:r w:rsidRPr="00880FE9">
        <w:rPr>
          <w:rFonts w:eastAsia="等线"/>
        </w:rPr>
        <w:t>本地机房直线距离至少为500公里；</w:t>
      </w:r>
    </w:p>
    <w:p w14:paraId="4E056C12" w14:textId="410FD03F" w:rsidR="00A31C8F" w:rsidRDefault="00A31C8F" w:rsidP="00A31C8F">
      <w:pPr>
        <w:rPr>
          <w:rFonts w:eastAsia="等线" w:hint="eastAsia"/>
        </w:rPr>
      </w:pPr>
    </w:p>
    <w:p w14:paraId="4BC82E8C" w14:textId="1C36B0A1"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6B4D555" w14:textId="3268EC8E" w:rsidR="00A31C8F" w:rsidRDefault="00A31C8F" w:rsidP="00A31C8F">
      <w:pPr>
        <w:rPr>
          <w:rFonts w:eastAsia="等线" w:hint="eastAsia"/>
        </w:rPr>
      </w:pPr>
    </w:p>
    <w:p w14:paraId="6532E4B8" w14:textId="555985E8" w:rsidR="00003E33" w:rsidRPr="00003E33" w:rsidRDefault="00EA2CFE" w:rsidP="00EA2CFE">
      <w:pPr>
        <w:ind w:firstLine="420"/>
        <w:rPr>
          <w:rFonts w:hint="eastAsia"/>
        </w:rPr>
      </w:pPr>
      <w:r w:rsidRPr="00EA2CFE">
        <w:rPr>
          <w:rFonts w:hint="eastAsia"/>
        </w:rPr>
        <w:t>在云资源可用区方面，我司提供报价及实际交付的所有云资源均位于同一可用区，确保资源间的高效协同与数据一致性。同时，结合</w:t>
      </w:r>
      <w:proofErr w:type="spellStart"/>
      <w:r w:rsidRPr="00EA2CFE">
        <w:t>Ameco</w:t>
      </w:r>
      <w:proofErr w:type="spellEnd"/>
      <w:r w:rsidRPr="00EA2CFE">
        <w:t>本地机房位置，优先选择直线距离超过500公里的华为云优质可用区，如华北-北京四、华南-广州等区域，通过华为云高速网络架构，保障数据传输的低延迟、高可靠性，满足业务对容灾及性能的双重需求。</w:t>
      </w:r>
    </w:p>
    <w:p w14:paraId="1ED8AB3E" w14:textId="31C6CFA2" w:rsidR="00BE572F" w:rsidRDefault="00BE572F" w:rsidP="00BE572F">
      <w:pPr>
        <w:pStyle w:val="1"/>
        <w:rPr>
          <w:rFonts w:hint="eastAsia"/>
        </w:rPr>
      </w:pPr>
      <w:r>
        <w:lastRenderedPageBreak/>
        <w:tab/>
        <w:t>★云专线</w:t>
      </w:r>
      <w:r w:rsidR="006C6F6D" w:rsidRPr="006C6F6D">
        <w:t>招标文件要求</w:t>
      </w:r>
      <w:r>
        <w:t>（郭柱）</w:t>
      </w:r>
      <w:r>
        <w:tab/>
      </w:r>
    </w:p>
    <w:p w14:paraId="3B1439F0" w14:textId="46190CF1" w:rsidR="00A31C8F" w:rsidRPr="00A31C8F" w:rsidRDefault="006C6F6D" w:rsidP="006C6F6D">
      <w:pPr>
        <w:rPr>
          <w:rFonts w:hint="eastAsia"/>
        </w:rPr>
      </w:pPr>
      <w:r w:rsidRPr="006C6F6D">
        <w:rPr>
          <w:rFonts w:hint="eastAsia"/>
          <w:b/>
        </w:rPr>
        <w:t>招标文件要求</w:t>
      </w:r>
    </w:p>
    <w:p w14:paraId="34FF23FC" w14:textId="77777777" w:rsidR="00A31C8F" w:rsidRPr="00A31C8F" w:rsidRDefault="00A31C8F" w:rsidP="00A31C8F">
      <w:pPr>
        <w:rPr>
          <w:rFonts w:hint="eastAsia"/>
        </w:rPr>
      </w:pPr>
    </w:p>
    <w:p w14:paraId="0127428C" w14:textId="5E5A06F9" w:rsidR="00EA2CFE" w:rsidRDefault="00EA2CFE" w:rsidP="00EA2CFE">
      <w:pPr>
        <w:ind w:firstLine="420"/>
        <w:rPr>
          <w:rFonts w:eastAsia="等线" w:hint="eastAsia"/>
        </w:rPr>
      </w:pPr>
      <w:r w:rsidRPr="00880FE9">
        <w:rPr>
          <w:rFonts w:eastAsia="等线"/>
        </w:rPr>
        <w:t>在公有云数据中心到</w:t>
      </w:r>
      <w:proofErr w:type="spellStart"/>
      <w:r w:rsidRPr="00880FE9">
        <w:rPr>
          <w:rFonts w:eastAsia="等线"/>
        </w:rPr>
        <w:t>Ameco</w:t>
      </w:r>
      <w:proofErr w:type="spellEnd"/>
      <w:r w:rsidRPr="00880FE9">
        <w:rPr>
          <w:rFonts w:eastAsia="等线"/>
        </w:rPr>
        <w:t>的NCS和</w:t>
      </w:r>
      <w:r w:rsidR="00152F2A">
        <w:rPr>
          <w:rFonts w:eastAsia="等线"/>
        </w:rPr>
        <w:t>A380</w:t>
      </w:r>
      <w:r w:rsidRPr="00880FE9">
        <w:rPr>
          <w:rFonts w:eastAsia="等线"/>
        </w:rPr>
        <w:t>数据中心之间分别部署主、备两条公有云专线，从而实现公有云和私有云的数据传输和生产办公的使用需求，满足传输高可用性和业务使用连续性的</w:t>
      </w:r>
      <w:r w:rsidR="006C6F6D" w:rsidRPr="006C6F6D">
        <w:rPr>
          <w:rFonts w:eastAsia="等线"/>
          <w:b/>
        </w:rPr>
        <w:t>招标文件要求</w:t>
      </w:r>
      <w:r w:rsidRPr="00880FE9">
        <w:rPr>
          <w:rFonts w:eastAsia="等线"/>
        </w:rPr>
        <w:t>。</w:t>
      </w:r>
    </w:p>
    <w:p w14:paraId="27EF8AD7" w14:textId="45463218"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06379C6" w14:textId="53436484" w:rsidR="00EA2CFE" w:rsidRDefault="00EA2CFE" w:rsidP="00EA2CFE">
      <w:pPr>
        <w:ind w:firstLine="420"/>
        <w:rPr>
          <w:rFonts w:eastAsia="等线" w:hint="eastAsia"/>
        </w:rPr>
      </w:pPr>
    </w:p>
    <w:p w14:paraId="5B73EFA6" w14:textId="7470845B" w:rsidR="00EA2CFE" w:rsidRDefault="00EA2CFE" w:rsidP="00EA2CFE">
      <w:pPr>
        <w:ind w:firstLine="420"/>
        <w:rPr>
          <w:rFonts w:eastAsia="等线" w:hint="eastAsia"/>
        </w:rPr>
      </w:pPr>
      <w:r w:rsidRPr="00EA2CFE">
        <w:rPr>
          <w:rFonts w:eastAsia="等线" w:hint="eastAsia"/>
        </w:rPr>
        <w:t>针对在华为云数据中心与</w:t>
      </w:r>
      <w:proofErr w:type="spellStart"/>
      <w:r w:rsidRPr="00EA2CFE">
        <w:rPr>
          <w:rFonts w:eastAsia="等线"/>
        </w:rPr>
        <w:t>Ameco</w:t>
      </w:r>
      <w:proofErr w:type="spellEnd"/>
      <w:r w:rsidRPr="00EA2CFE">
        <w:rPr>
          <w:rFonts w:eastAsia="等线"/>
        </w:rPr>
        <w:t>的NCS和</w:t>
      </w:r>
      <w:r w:rsidR="00152F2A">
        <w:rPr>
          <w:rFonts w:eastAsia="等线"/>
        </w:rPr>
        <w:t>A380</w:t>
      </w:r>
      <w:r w:rsidRPr="00EA2CFE">
        <w:rPr>
          <w:rFonts w:eastAsia="等线"/>
        </w:rPr>
        <w:t>数据中心间部署主、备云专线的需求，我司将采用华为云智能云专线（DC）解决方案，分别规划两条独立的物理专线链路。主专线基于MPLSVPN或裸光纤技术，保障稳定的高速数据传输；备专线则作为冗余链路，通过智能流量切换技术，在主线路出现故障时，毫秒级自动接管业务流量，确保数据传输的高可用性与业务连续性。同时，通过华为云专线网关设备实现多线路负载均衡与动态路由优化，保障公有云与私有云间数据高效、安全交互，满足生产办公系统的实时使用需求。</w:t>
      </w:r>
    </w:p>
    <w:p w14:paraId="27FB6711" w14:textId="6F6E8E57" w:rsidR="00EA2CFE" w:rsidRDefault="00EA2CFE" w:rsidP="00EA2CFE">
      <w:pPr>
        <w:ind w:firstLine="420"/>
        <w:rPr>
          <w:rFonts w:eastAsia="等线" w:hint="eastAsia"/>
        </w:rPr>
      </w:pPr>
    </w:p>
    <w:p w14:paraId="7F579012" w14:textId="5D3EF51A" w:rsidR="00A31C8F" w:rsidRDefault="00A31C8F" w:rsidP="00EA2CFE">
      <w:pPr>
        <w:ind w:firstLine="420"/>
        <w:rPr>
          <w:rFonts w:eastAsia="等线" w:hint="eastAsia"/>
        </w:rPr>
      </w:pPr>
    </w:p>
    <w:p w14:paraId="6D0991D2" w14:textId="508131F9" w:rsidR="00A31C8F" w:rsidRPr="00A31C8F" w:rsidRDefault="006C6F6D" w:rsidP="006C6F6D">
      <w:pPr>
        <w:rPr>
          <w:rFonts w:hint="eastAsia"/>
        </w:rPr>
      </w:pPr>
      <w:r w:rsidRPr="006C6F6D">
        <w:rPr>
          <w:rFonts w:hint="eastAsia"/>
          <w:b/>
        </w:rPr>
        <w:t>招标文件要求</w:t>
      </w:r>
    </w:p>
    <w:p w14:paraId="534DDC4F" w14:textId="77777777" w:rsidR="00A31C8F" w:rsidRPr="00880FE9" w:rsidRDefault="00A31C8F" w:rsidP="00EA2CFE">
      <w:pPr>
        <w:ind w:firstLine="420"/>
        <w:rPr>
          <w:rFonts w:eastAsia="等线" w:hint="eastAsia"/>
        </w:rPr>
      </w:pPr>
    </w:p>
    <w:p w14:paraId="5A309D9E" w14:textId="5F51F339" w:rsidR="00EA2CFE" w:rsidRDefault="00EA2CFE" w:rsidP="00EA2CFE">
      <w:pPr>
        <w:ind w:firstLine="420"/>
        <w:rPr>
          <w:rFonts w:eastAsia="等线" w:hint="eastAsia"/>
        </w:rPr>
      </w:pPr>
      <w:r w:rsidRPr="00880FE9">
        <w:rPr>
          <w:rFonts w:eastAsia="等线"/>
        </w:rPr>
        <w:t>为了满足后期应用系统云端部署数量和访问业务量的增加需求，需要实现云专线的快速部署和云专线带宽的灵活调整需求，所以此次采购公有云到AmecoNCS数据中心和</w:t>
      </w:r>
      <w:r w:rsidR="00152F2A">
        <w:rPr>
          <w:rFonts w:eastAsia="等线"/>
        </w:rPr>
        <w:t>A380</w:t>
      </w:r>
      <w:r w:rsidRPr="00880FE9">
        <w:rPr>
          <w:rFonts w:eastAsia="等线"/>
        </w:rPr>
        <w:t>数据中心的云专线链路的框架协议。</w:t>
      </w:r>
    </w:p>
    <w:p w14:paraId="2CDD55A1" w14:textId="77777777" w:rsidR="006C6F6D" w:rsidRDefault="006C6F6D" w:rsidP="00EA2CFE">
      <w:pPr>
        <w:ind w:firstLine="420"/>
        <w:rPr>
          <w:rFonts w:eastAsia="等线" w:hint="eastAsia"/>
        </w:rPr>
      </w:pPr>
    </w:p>
    <w:p w14:paraId="27228C45" w14:textId="6470FE3E"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0975F5F" w14:textId="1A32734A" w:rsidR="00EA2CFE" w:rsidRDefault="00EA2CFE" w:rsidP="00EA2CFE">
      <w:pPr>
        <w:ind w:firstLine="420"/>
        <w:rPr>
          <w:rFonts w:eastAsia="等线" w:hint="eastAsia"/>
        </w:rPr>
      </w:pPr>
    </w:p>
    <w:p w14:paraId="1C7DA511" w14:textId="474C5FB1" w:rsidR="00EA2CFE" w:rsidRDefault="00EA2CFE" w:rsidP="00EA2CFE">
      <w:pPr>
        <w:ind w:firstLine="420"/>
        <w:rPr>
          <w:rFonts w:eastAsia="等线" w:hint="eastAsia"/>
        </w:rPr>
      </w:pPr>
      <w:r w:rsidRPr="00EA2CFE">
        <w:rPr>
          <w:rFonts w:eastAsia="等线" w:hint="eastAsia"/>
        </w:rPr>
        <w:t>为实现云专线的快速部署与带宽灵活调整，满足未来业务扩展需求，我司将与</w:t>
      </w:r>
      <w:proofErr w:type="spellStart"/>
      <w:r w:rsidRPr="00EA2CFE">
        <w:rPr>
          <w:rFonts w:eastAsia="等线"/>
        </w:rPr>
        <w:t>Ameco</w:t>
      </w:r>
      <w:proofErr w:type="spellEnd"/>
      <w:r w:rsidRPr="00EA2CFE">
        <w:rPr>
          <w:rFonts w:eastAsia="等线"/>
        </w:rPr>
        <w:t>签订公有云到NCS和</w:t>
      </w:r>
      <w:r w:rsidR="00152F2A">
        <w:rPr>
          <w:rFonts w:eastAsia="等线"/>
        </w:rPr>
        <w:t>A380</w:t>
      </w:r>
      <w:r w:rsidRPr="00EA2CFE">
        <w:rPr>
          <w:rFonts w:eastAsia="等线"/>
        </w:rPr>
        <w:t>数据中心云专线链路的框架协议。协议中将明确约定专线部署的标准流程、响应时效（如接到需求后7个工作日内启动部署），以及带宽调整的规则与操作方式。依托华为云弹性带宽服务能力，支持云专线带宽实时弹性升降配，</w:t>
      </w:r>
      <w:proofErr w:type="spellStart"/>
      <w:r w:rsidRPr="00EA2CFE">
        <w:rPr>
          <w:rFonts w:eastAsia="等线"/>
        </w:rPr>
        <w:t>Ameco</w:t>
      </w:r>
      <w:proofErr w:type="spellEnd"/>
      <w:r w:rsidRPr="00EA2CFE">
        <w:rPr>
          <w:rFonts w:eastAsia="等线"/>
        </w:rPr>
        <w:t>可通过华为云控制台或API接口自主调整带宽，无需重新铺设物理线路，快速响应业务变化，降低运维成本与时间成本。</w:t>
      </w:r>
    </w:p>
    <w:p w14:paraId="178A7B52" w14:textId="009527A8" w:rsidR="00EA2CFE" w:rsidRDefault="00EA2CFE" w:rsidP="00EA2CFE">
      <w:pPr>
        <w:ind w:firstLine="420"/>
        <w:rPr>
          <w:rFonts w:eastAsia="等线" w:hint="eastAsia"/>
        </w:rPr>
      </w:pPr>
    </w:p>
    <w:p w14:paraId="728EF072" w14:textId="13A5B63C" w:rsidR="00A31C8F" w:rsidRPr="00A31C8F" w:rsidRDefault="006C6F6D" w:rsidP="006C6F6D">
      <w:pPr>
        <w:rPr>
          <w:rFonts w:hint="eastAsia"/>
        </w:rPr>
      </w:pPr>
      <w:r w:rsidRPr="006C6F6D">
        <w:rPr>
          <w:rFonts w:hint="eastAsia"/>
          <w:b/>
        </w:rPr>
        <w:t>招标文件要求</w:t>
      </w:r>
    </w:p>
    <w:p w14:paraId="2D0D4EA6" w14:textId="77777777" w:rsidR="00A31C8F" w:rsidRPr="00A31C8F" w:rsidRDefault="00A31C8F" w:rsidP="00EA2CFE">
      <w:pPr>
        <w:ind w:firstLine="420"/>
        <w:rPr>
          <w:rFonts w:eastAsia="等线" w:hint="eastAsia"/>
        </w:rPr>
      </w:pPr>
    </w:p>
    <w:p w14:paraId="161BAF69" w14:textId="4118F2EE" w:rsidR="00EA2CFE" w:rsidRDefault="00EA2CFE" w:rsidP="00EA2CFE">
      <w:pPr>
        <w:ind w:firstLine="420"/>
        <w:rPr>
          <w:rFonts w:eastAsia="等线" w:hint="eastAsia"/>
        </w:rPr>
      </w:pPr>
      <w:proofErr w:type="spellStart"/>
      <w:r w:rsidRPr="00880FE9">
        <w:rPr>
          <w:rFonts w:eastAsia="等线"/>
        </w:rPr>
        <w:t>Ameco</w:t>
      </w:r>
      <w:proofErr w:type="spellEnd"/>
      <w:r w:rsidRPr="00880FE9">
        <w:rPr>
          <w:rFonts w:eastAsia="等线"/>
        </w:rPr>
        <w:t>每季度后按实际使用云专线带宽及时长付费。</w:t>
      </w:r>
    </w:p>
    <w:p w14:paraId="752C61EF" w14:textId="77777777" w:rsidR="006C6F6D" w:rsidRDefault="006C6F6D" w:rsidP="00EA2CFE">
      <w:pPr>
        <w:ind w:firstLine="420"/>
        <w:rPr>
          <w:rFonts w:eastAsia="等线" w:hint="eastAsia"/>
        </w:rPr>
      </w:pPr>
    </w:p>
    <w:p w14:paraId="037D8116" w14:textId="085BE533"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86A658C" w14:textId="14C66D46" w:rsidR="00EA2CFE" w:rsidRDefault="00EA2CFE" w:rsidP="00EA2CFE">
      <w:pPr>
        <w:ind w:firstLine="420"/>
        <w:rPr>
          <w:rFonts w:eastAsia="等线" w:hint="eastAsia"/>
        </w:rPr>
      </w:pPr>
    </w:p>
    <w:p w14:paraId="1B5ADFDD" w14:textId="7D4295BF" w:rsidR="00EA2CFE" w:rsidRPr="00880FE9" w:rsidRDefault="00EA2CFE" w:rsidP="00EA2CFE">
      <w:pPr>
        <w:ind w:firstLine="420"/>
        <w:rPr>
          <w:rFonts w:eastAsia="等线" w:hint="eastAsia"/>
        </w:rPr>
      </w:pPr>
      <w:r w:rsidRPr="00EA2CFE">
        <w:rPr>
          <w:rFonts w:eastAsia="等线" w:hint="eastAsia"/>
        </w:rPr>
        <w:t>在付费模式上，我司支持</w:t>
      </w:r>
      <w:proofErr w:type="spellStart"/>
      <w:r w:rsidRPr="00EA2CFE">
        <w:rPr>
          <w:rFonts w:eastAsia="等线"/>
        </w:rPr>
        <w:t>Ameco</w:t>
      </w:r>
      <w:proofErr w:type="spellEnd"/>
      <w:r w:rsidRPr="00EA2CFE">
        <w:rPr>
          <w:rFonts w:eastAsia="等线"/>
        </w:rPr>
        <w:t>按季度后付费，根据实际使用的云专线带宽及时长结算费用。每季度结束后5个工作日内，我司将向</w:t>
      </w:r>
      <w:proofErr w:type="spellStart"/>
      <w:r w:rsidRPr="00EA2CFE">
        <w:rPr>
          <w:rFonts w:eastAsia="等线"/>
        </w:rPr>
        <w:t>Ameco</w:t>
      </w:r>
      <w:proofErr w:type="spellEnd"/>
      <w:r w:rsidRPr="00EA2CFE">
        <w:rPr>
          <w:rFonts w:eastAsia="等线"/>
        </w:rPr>
        <w:t>提供详细的云专线使用账单，包含各时间段的带宽使用峰值、平均值、使用时长及费用计算明细，并开具合规发票。账单数据可通过华为云费用中心实时查询，确保费用透明、清晰，同时为</w:t>
      </w:r>
      <w:proofErr w:type="spellStart"/>
      <w:r w:rsidRPr="00EA2CFE">
        <w:rPr>
          <w:rFonts w:eastAsia="等线"/>
        </w:rPr>
        <w:t>Ameco</w:t>
      </w:r>
      <w:proofErr w:type="spellEnd"/>
      <w:r w:rsidRPr="00EA2CFE">
        <w:rPr>
          <w:rFonts w:eastAsia="等线"/>
        </w:rPr>
        <w:t>提供灵活的成本管控方案，助力其优化资源使用与财务规划。</w:t>
      </w:r>
    </w:p>
    <w:p w14:paraId="3A4B9887" w14:textId="7EF501DB" w:rsidR="00EA2CFE" w:rsidRDefault="00EA2CFE" w:rsidP="00EA2CFE">
      <w:pPr>
        <w:rPr>
          <w:rFonts w:hint="eastAsia"/>
        </w:rPr>
      </w:pPr>
    </w:p>
    <w:p w14:paraId="18552878" w14:textId="77777777" w:rsidR="00EA2CFE" w:rsidRPr="00EA2CFE" w:rsidRDefault="00EA2CFE" w:rsidP="00EA2CFE">
      <w:pPr>
        <w:rPr>
          <w:rFonts w:hint="eastAsia"/>
        </w:rPr>
      </w:pPr>
    </w:p>
    <w:p w14:paraId="792E37D2" w14:textId="385106C2" w:rsidR="00BE572F" w:rsidRDefault="00BE572F" w:rsidP="00BE572F">
      <w:pPr>
        <w:pStyle w:val="2"/>
        <w:rPr>
          <w:rFonts w:hint="eastAsia"/>
        </w:rPr>
      </w:pPr>
      <w:r>
        <w:tab/>
      </w:r>
      <w:bookmarkStart w:id="1" w:name="OLE_LINK15"/>
      <w:r>
        <w:t>链路部署</w:t>
      </w:r>
      <w:r w:rsidR="006C6F6D" w:rsidRPr="006C6F6D">
        <w:t>招标文件要求</w:t>
      </w:r>
      <w:bookmarkEnd w:id="1"/>
      <w:r>
        <w:t>（商务出盖章的保障-总集）</w:t>
      </w:r>
      <w:r>
        <w:tab/>
      </w:r>
    </w:p>
    <w:p w14:paraId="71E467E4" w14:textId="62728CE3" w:rsidR="00A31C8F" w:rsidRDefault="00A31C8F" w:rsidP="00A31C8F">
      <w:pPr>
        <w:rPr>
          <w:rFonts w:hint="eastAsia"/>
        </w:rPr>
      </w:pPr>
    </w:p>
    <w:p w14:paraId="5F93D26E" w14:textId="77777777" w:rsidR="00A31C8F" w:rsidRPr="00A31C8F" w:rsidRDefault="00A31C8F" w:rsidP="00A31C8F">
      <w:pPr>
        <w:rPr>
          <w:rFonts w:hint="eastAsia"/>
        </w:rPr>
      </w:pPr>
    </w:p>
    <w:p w14:paraId="3A2C82F2" w14:textId="77777777" w:rsidR="00EA2CFE" w:rsidRPr="00880FE9" w:rsidRDefault="00EA2CFE" w:rsidP="00EA2CFE">
      <w:pPr>
        <w:spacing w:line="440" w:lineRule="exact"/>
        <w:rPr>
          <w:rFonts w:eastAsia="等线" w:hint="eastAsia"/>
          <w:color w:val="000000"/>
        </w:rPr>
      </w:pPr>
      <w:r w:rsidRPr="00880FE9">
        <w:rPr>
          <w:rFonts w:eastAsia="等线"/>
          <w:color w:val="000000"/>
        </w:rPr>
        <w:t>上述提到的数据中心的具体位置如下表：</w:t>
      </w:r>
    </w:p>
    <w:p w14:paraId="58A8410C" w14:textId="77777777" w:rsidR="00EA2CFE" w:rsidRPr="00880FE9" w:rsidRDefault="00EA2CFE" w:rsidP="00EA2CFE">
      <w:pPr>
        <w:spacing w:line="440" w:lineRule="exact"/>
        <w:rPr>
          <w:rFonts w:eastAsia="等线" w:hint="eastAsia"/>
          <w:color w:val="000000"/>
        </w:rPr>
      </w:pPr>
    </w:p>
    <w:tbl>
      <w:tblPr>
        <w:tblW w:w="7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552"/>
        <w:gridCol w:w="4394"/>
      </w:tblGrid>
      <w:tr w:rsidR="00EA2CFE" w:rsidRPr="00880FE9" w14:paraId="5553B188" w14:textId="77777777" w:rsidTr="008A39BD">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808080"/>
            <w:hideMark/>
          </w:tcPr>
          <w:p w14:paraId="49D45FF8" w14:textId="77777777" w:rsidR="00EA2CFE" w:rsidRPr="00880FE9" w:rsidRDefault="00EA2CFE" w:rsidP="008A39BD">
            <w:pPr>
              <w:spacing w:line="320" w:lineRule="exact"/>
              <w:jc w:val="center"/>
              <w:rPr>
                <w:rFonts w:eastAsia="等线" w:hint="eastAsia"/>
                <w:b/>
                <w:color w:val="FFFFFF"/>
              </w:rPr>
            </w:pPr>
            <w:r w:rsidRPr="00880FE9">
              <w:rPr>
                <w:rFonts w:eastAsia="等线"/>
                <w:b/>
                <w:color w:val="FFFFFF"/>
              </w:rPr>
              <w:t>序号</w:t>
            </w:r>
          </w:p>
        </w:tc>
        <w:tc>
          <w:tcPr>
            <w:tcW w:w="2552" w:type="dxa"/>
            <w:tcBorders>
              <w:top w:val="single" w:sz="4" w:space="0" w:color="000000"/>
              <w:left w:val="single" w:sz="4" w:space="0" w:color="000000"/>
              <w:bottom w:val="single" w:sz="4" w:space="0" w:color="000000"/>
              <w:right w:val="single" w:sz="4" w:space="0" w:color="000000"/>
            </w:tcBorders>
            <w:shd w:val="clear" w:color="auto" w:fill="808080"/>
            <w:hideMark/>
          </w:tcPr>
          <w:p w14:paraId="73729B89" w14:textId="77777777" w:rsidR="00EA2CFE" w:rsidRPr="00880FE9" w:rsidRDefault="00EA2CFE" w:rsidP="008A39BD">
            <w:pPr>
              <w:spacing w:line="320" w:lineRule="exact"/>
              <w:jc w:val="center"/>
              <w:rPr>
                <w:rFonts w:eastAsia="等线" w:hint="eastAsia"/>
                <w:b/>
                <w:color w:val="FFFFFF"/>
              </w:rPr>
            </w:pPr>
            <w:r w:rsidRPr="00880FE9">
              <w:rPr>
                <w:rFonts w:eastAsia="等线"/>
                <w:b/>
                <w:color w:val="FFFFFF"/>
              </w:rPr>
              <w:t>区域</w:t>
            </w:r>
          </w:p>
        </w:tc>
        <w:tc>
          <w:tcPr>
            <w:tcW w:w="4394" w:type="dxa"/>
            <w:tcBorders>
              <w:top w:val="single" w:sz="4" w:space="0" w:color="000000"/>
              <w:left w:val="single" w:sz="4" w:space="0" w:color="000000"/>
              <w:bottom w:val="single" w:sz="4" w:space="0" w:color="000000"/>
              <w:right w:val="single" w:sz="4" w:space="0" w:color="000000"/>
            </w:tcBorders>
            <w:shd w:val="clear" w:color="auto" w:fill="808080"/>
            <w:hideMark/>
          </w:tcPr>
          <w:p w14:paraId="0EC5CCEF" w14:textId="77777777" w:rsidR="00EA2CFE" w:rsidRPr="00880FE9" w:rsidRDefault="00EA2CFE" w:rsidP="008A39BD">
            <w:pPr>
              <w:spacing w:line="320" w:lineRule="exact"/>
              <w:jc w:val="center"/>
              <w:rPr>
                <w:rFonts w:eastAsia="等线" w:hint="eastAsia"/>
                <w:b/>
                <w:color w:val="FFFFFF"/>
              </w:rPr>
            </w:pPr>
            <w:r w:rsidRPr="00880FE9">
              <w:rPr>
                <w:rFonts w:eastAsia="等线"/>
                <w:b/>
                <w:color w:val="FFFFFF"/>
              </w:rPr>
              <w:t>链路接入机房具体位置</w:t>
            </w:r>
          </w:p>
        </w:tc>
      </w:tr>
      <w:tr w:rsidR="00EA2CFE" w:rsidRPr="00880FE9" w14:paraId="4BBAA76E" w14:textId="77777777" w:rsidTr="008A39BD">
        <w:trPr>
          <w:trHeight w:val="574"/>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6CE9DE7" w14:textId="77777777" w:rsidR="00EA2CFE" w:rsidRPr="00880FE9" w:rsidRDefault="00EA2CFE" w:rsidP="008A39BD">
            <w:pPr>
              <w:spacing w:line="320" w:lineRule="exact"/>
              <w:jc w:val="center"/>
              <w:rPr>
                <w:rFonts w:eastAsia="等线" w:hint="eastAsia"/>
                <w:color w:val="000000"/>
              </w:rPr>
            </w:pPr>
            <w:bookmarkStart w:id="2" w:name="OLE_LINK14"/>
            <w:r w:rsidRPr="00880FE9">
              <w:rPr>
                <w:rFonts w:eastAsia="等线"/>
                <w:color w:val="000000"/>
              </w:rPr>
              <w:t>1</w:t>
            </w:r>
          </w:p>
        </w:tc>
        <w:tc>
          <w:tcPr>
            <w:tcW w:w="2552" w:type="dxa"/>
            <w:tcBorders>
              <w:top w:val="single" w:sz="4" w:space="0" w:color="000000"/>
              <w:left w:val="single" w:sz="4" w:space="0" w:color="000000"/>
              <w:bottom w:val="single" w:sz="4" w:space="0" w:color="000000"/>
              <w:right w:val="single" w:sz="4" w:space="0" w:color="000000"/>
            </w:tcBorders>
            <w:vAlign w:val="center"/>
          </w:tcPr>
          <w:p w14:paraId="3F8C652F" w14:textId="7E77BA4B" w:rsidR="00EA2CFE" w:rsidRPr="00880FE9" w:rsidRDefault="00EA2CFE" w:rsidP="008A39BD">
            <w:pPr>
              <w:spacing w:line="320" w:lineRule="exact"/>
              <w:jc w:val="center"/>
              <w:rPr>
                <w:rFonts w:eastAsia="等线" w:hint="eastAsia"/>
                <w:color w:val="000000"/>
              </w:rPr>
            </w:pPr>
            <w:r w:rsidRPr="00880FE9">
              <w:rPr>
                <w:rFonts w:eastAsia="等线"/>
                <w:color w:val="000000"/>
              </w:rPr>
              <w:t>AmecoNCS数据中心</w:t>
            </w:r>
          </w:p>
        </w:tc>
        <w:tc>
          <w:tcPr>
            <w:tcW w:w="4394" w:type="dxa"/>
            <w:tcBorders>
              <w:top w:val="single" w:sz="4" w:space="0" w:color="000000"/>
              <w:left w:val="single" w:sz="4" w:space="0" w:color="000000"/>
              <w:bottom w:val="single" w:sz="4" w:space="0" w:color="000000"/>
              <w:right w:val="single" w:sz="4" w:space="0" w:color="000000"/>
            </w:tcBorders>
            <w:vAlign w:val="center"/>
          </w:tcPr>
          <w:p w14:paraId="081293BE" w14:textId="77777777" w:rsidR="00EA2CFE" w:rsidRPr="00880FE9" w:rsidRDefault="00EA2CFE" w:rsidP="008A39BD">
            <w:pPr>
              <w:spacing w:line="320" w:lineRule="exact"/>
              <w:rPr>
                <w:rFonts w:eastAsia="等线" w:hint="eastAsia"/>
                <w:color w:val="000000"/>
              </w:rPr>
            </w:pPr>
            <w:r w:rsidRPr="00880FE9">
              <w:rPr>
                <w:rFonts w:eastAsia="等线"/>
                <w:color w:val="000000"/>
              </w:rPr>
              <w:t>北京市朝阳区首都机场路2号</w:t>
            </w:r>
          </w:p>
        </w:tc>
      </w:tr>
      <w:tr w:rsidR="00EA2CFE" w:rsidRPr="00880FE9" w14:paraId="181F025A" w14:textId="77777777" w:rsidTr="008A39BD">
        <w:trPr>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52B604C5" w14:textId="77777777" w:rsidR="00EA2CFE" w:rsidRPr="00880FE9" w:rsidRDefault="00EA2CFE" w:rsidP="008A39BD">
            <w:pPr>
              <w:spacing w:line="320" w:lineRule="exact"/>
              <w:jc w:val="center"/>
              <w:rPr>
                <w:rFonts w:eastAsia="等线" w:hint="eastAsia"/>
                <w:color w:val="000000"/>
              </w:rPr>
            </w:pPr>
            <w:r w:rsidRPr="00880FE9">
              <w:rPr>
                <w:rFonts w:eastAsia="等线"/>
                <w:color w:val="000000"/>
              </w:rPr>
              <w:t>2</w:t>
            </w:r>
          </w:p>
        </w:tc>
        <w:tc>
          <w:tcPr>
            <w:tcW w:w="2552" w:type="dxa"/>
            <w:tcBorders>
              <w:top w:val="single" w:sz="4" w:space="0" w:color="000000"/>
              <w:left w:val="single" w:sz="4" w:space="0" w:color="000000"/>
              <w:bottom w:val="single" w:sz="4" w:space="0" w:color="000000"/>
              <w:right w:val="single" w:sz="4" w:space="0" w:color="000000"/>
            </w:tcBorders>
            <w:vAlign w:val="center"/>
          </w:tcPr>
          <w:p w14:paraId="2BE1E34B" w14:textId="0C442A13" w:rsidR="00EA2CFE" w:rsidRPr="00880FE9" w:rsidRDefault="00EA2CFE" w:rsidP="008A39BD">
            <w:pPr>
              <w:spacing w:line="320" w:lineRule="exact"/>
              <w:jc w:val="center"/>
              <w:rPr>
                <w:rFonts w:eastAsia="等线" w:hint="eastAsia"/>
                <w:color w:val="000000"/>
              </w:rPr>
            </w:pPr>
            <w:r w:rsidRPr="00880FE9">
              <w:rPr>
                <w:rFonts w:eastAsia="等线"/>
                <w:color w:val="000000"/>
              </w:rPr>
              <w:t>Ameco</w:t>
            </w:r>
            <w:r w:rsidR="00152F2A">
              <w:rPr>
                <w:rFonts w:eastAsia="等线"/>
                <w:color w:val="000000"/>
              </w:rPr>
              <w:t>A380</w:t>
            </w:r>
            <w:r w:rsidRPr="00880FE9">
              <w:rPr>
                <w:rFonts w:eastAsia="等线"/>
                <w:color w:val="000000"/>
              </w:rPr>
              <w:t>数据中心</w:t>
            </w:r>
          </w:p>
        </w:tc>
        <w:tc>
          <w:tcPr>
            <w:tcW w:w="4394" w:type="dxa"/>
            <w:tcBorders>
              <w:top w:val="single" w:sz="4" w:space="0" w:color="000000"/>
              <w:left w:val="single" w:sz="4" w:space="0" w:color="000000"/>
              <w:bottom w:val="single" w:sz="4" w:space="0" w:color="000000"/>
              <w:right w:val="single" w:sz="4" w:space="0" w:color="000000"/>
            </w:tcBorders>
            <w:vAlign w:val="center"/>
          </w:tcPr>
          <w:p w14:paraId="13D9730A" w14:textId="77777777" w:rsidR="00EA2CFE" w:rsidRPr="00880FE9" w:rsidRDefault="00EA2CFE" w:rsidP="008A39BD">
            <w:pPr>
              <w:spacing w:line="320" w:lineRule="exact"/>
              <w:rPr>
                <w:rFonts w:eastAsia="等线" w:hint="eastAsia"/>
                <w:color w:val="000000"/>
              </w:rPr>
            </w:pPr>
            <w:r w:rsidRPr="00880FE9">
              <w:rPr>
                <w:rFonts w:eastAsia="等线"/>
                <w:color w:val="000000"/>
              </w:rPr>
              <w:t>北京市顺义区航港2路</w:t>
            </w:r>
          </w:p>
        </w:tc>
      </w:tr>
    </w:tbl>
    <w:p w14:paraId="2C209AE9" w14:textId="77777777" w:rsidR="00A31C8F" w:rsidRDefault="00A31C8F" w:rsidP="00EA2CFE">
      <w:pPr>
        <w:ind w:firstLine="420"/>
        <w:rPr>
          <w:rFonts w:eastAsia="等线" w:hint="eastAsia"/>
        </w:rPr>
      </w:pPr>
    </w:p>
    <w:p w14:paraId="5594DF2A" w14:textId="3492B0AB" w:rsidR="00A31C8F" w:rsidRPr="00A31C8F" w:rsidRDefault="006C6F6D" w:rsidP="006C6F6D">
      <w:pPr>
        <w:rPr>
          <w:rFonts w:hint="eastAsia"/>
        </w:rPr>
      </w:pPr>
      <w:r w:rsidRPr="006C6F6D">
        <w:rPr>
          <w:rFonts w:hint="eastAsia"/>
          <w:b/>
        </w:rPr>
        <w:t>招标文件要求</w:t>
      </w:r>
    </w:p>
    <w:p w14:paraId="2EF3AF32" w14:textId="77777777" w:rsidR="00A31C8F" w:rsidRDefault="00A31C8F" w:rsidP="00EA2CFE">
      <w:pPr>
        <w:ind w:firstLine="420"/>
        <w:rPr>
          <w:rFonts w:eastAsia="等线" w:hint="eastAsia"/>
        </w:rPr>
      </w:pPr>
    </w:p>
    <w:p w14:paraId="78AA079D" w14:textId="142AD963" w:rsidR="00EA2CFE" w:rsidRDefault="00EA2CFE" w:rsidP="00EA2CFE">
      <w:pPr>
        <w:ind w:firstLine="420"/>
        <w:rPr>
          <w:rFonts w:eastAsia="等线" w:hint="eastAsia"/>
        </w:rPr>
      </w:pPr>
      <w:r w:rsidRPr="00880FE9">
        <w:rPr>
          <w:rFonts w:eastAsia="等线"/>
        </w:rPr>
        <w:t>上述所提到数据链路都需要供应商保证区域之间，有实际可用的公有云专线资源且带宽满足需求。</w:t>
      </w:r>
    </w:p>
    <w:p w14:paraId="4AE26795" w14:textId="77777777" w:rsidR="006C6F6D" w:rsidRDefault="006C6F6D" w:rsidP="00EA2CFE">
      <w:pPr>
        <w:ind w:firstLine="420"/>
        <w:rPr>
          <w:rFonts w:eastAsia="等线" w:hint="eastAsia"/>
        </w:rPr>
      </w:pPr>
    </w:p>
    <w:p w14:paraId="60B43BBE" w14:textId="38DE46DD"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3BF7EC2" w14:textId="5C55D112" w:rsidR="00EA2CFE" w:rsidRDefault="00EA2CFE" w:rsidP="00EA2CFE">
      <w:pPr>
        <w:ind w:firstLine="420"/>
        <w:rPr>
          <w:rFonts w:eastAsia="等线" w:hint="eastAsia"/>
        </w:rPr>
      </w:pPr>
    </w:p>
    <w:p w14:paraId="63427495" w14:textId="0C042EE7" w:rsidR="00EA2CFE" w:rsidRDefault="00EA2CFE" w:rsidP="00EA2CFE">
      <w:pPr>
        <w:ind w:firstLine="420"/>
        <w:rPr>
          <w:rFonts w:eastAsia="等线" w:hint="eastAsia"/>
        </w:rPr>
      </w:pPr>
      <w:r w:rsidRPr="00EA2CFE">
        <w:rPr>
          <w:rFonts w:eastAsia="等线" w:hint="eastAsia"/>
        </w:rPr>
        <w:t>针对</w:t>
      </w:r>
      <w:r w:rsidRPr="00EA2CFE">
        <w:rPr>
          <w:rFonts w:eastAsia="等线"/>
        </w:rPr>
        <w:t>AmecoNCS数据中心（北京市朝阳区首都机场路2号）和</w:t>
      </w:r>
      <w:r w:rsidR="00152F2A">
        <w:rPr>
          <w:rFonts w:eastAsia="等线"/>
        </w:rPr>
        <w:t>A380</w:t>
      </w:r>
      <w:r w:rsidRPr="00EA2CFE">
        <w:rPr>
          <w:rFonts w:eastAsia="等线"/>
        </w:rPr>
        <w:t>数据中心（北京市顺义区航港2路）的链路需求，我司依托华为云在京津冀区域丰富的网络基础设施与专线资源储备，确保在华为云数据中心与这两个数据中心之间拥有实际可用的公有云专线资源。我司将根据附件2中的带宽需求，优先调配高规格、低延迟的专线线路，通过MPLSVPN或裸光纤技术保障带宽稳定且满足业务传输</w:t>
      </w:r>
      <w:r w:rsidR="006C6F6D" w:rsidRPr="006C6F6D">
        <w:rPr>
          <w:rFonts w:eastAsia="等线"/>
          <w:b/>
        </w:rPr>
        <w:t>招标文件要求</w:t>
      </w:r>
      <w:r w:rsidRPr="00EA2CFE">
        <w:rPr>
          <w:rFonts w:eastAsia="等线"/>
        </w:rPr>
        <w:t>，同时提供冗余资源保障，避免因突发流量导致网络拥塞。</w:t>
      </w:r>
    </w:p>
    <w:p w14:paraId="59D9D1D9" w14:textId="314788A9" w:rsidR="00EA2CFE" w:rsidRDefault="00EA2CFE" w:rsidP="00EA2CFE">
      <w:pPr>
        <w:ind w:firstLine="420"/>
        <w:rPr>
          <w:rFonts w:eastAsia="等线" w:hint="eastAsia"/>
        </w:rPr>
      </w:pPr>
    </w:p>
    <w:p w14:paraId="1B704DC1" w14:textId="020536A9" w:rsidR="00A31C8F" w:rsidRPr="00A31C8F" w:rsidRDefault="006C6F6D" w:rsidP="006C6F6D">
      <w:pPr>
        <w:rPr>
          <w:rFonts w:hint="eastAsia"/>
        </w:rPr>
      </w:pPr>
      <w:r w:rsidRPr="006C6F6D">
        <w:rPr>
          <w:rFonts w:hint="eastAsia"/>
          <w:b/>
        </w:rPr>
        <w:t>招标文件要求</w:t>
      </w:r>
    </w:p>
    <w:p w14:paraId="205296CF" w14:textId="77777777" w:rsidR="00A31C8F" w:rsidRPr="00880FE9" w:rsidRDefault="00A31C8F" w:rsidP="00EA2CFE">
      <w:pPr>
        <w:ind w:firstLine="420"/>
        <w:rPr>
          <w:rFonts w:eastAsia="等线" w:hint="eastAsia"/>
        </w:rPr>
      </w:pPr>
    </w:p>
    <w:p w14:paraId="2DF318D5" w14:textId="306093EF" w:rsidR="00EA2CFE" w:rsidRDefault="00EA2CFE" w:rsidP="00EA2CFE">
      <w:pPr>
        <w:ind w:firstLine="420"/>
        <w:rPr>
          <w:rFonts w:eastAsia="等线" w:hint="eastAsia"/>
        </w:rPr>
      </w:pPr>
      <w:r w:rsidRPr="00880FE9">
        <w:rPr>
          <w:rFonts w:eastAsia="等线"/>
        </w:rPr>
        <w:t>上述所提到链路都需要供应商完成实施和部署，可以实现从公有云数据中心到</w:t>
      </w:r>
      <w:proofErr w:type="spellStart"/>
      <w:r w:rsidRPr="00880FE9">
        <w:rPr>
          <w:rFonts w:eastAsia="等线"/>
        </w:rPr>
        <w:t>Ameco</w:t>
      </w:r>
      <w:proofErr w:type="spellEnd"/>
      <w:r w:rsidRPr="00880FE9">
        <w:rPr>
          <w:rFonts w:eastAsia="等线"/>
        </w:rPr>
        <w:t>数据中心之间链路的部署、调试、开通和运行维护工作，保证公有云数据中心和</w:t>
      </w:r>
      <w:proofErr w:type="spellStart"/>
      <w:r w:rsidRPr="00880FE9">
        <w:rPr>
          <w:rFonts w:eastAsia="等线"/>
        </w:rPr>
        <w:t>Ameco</w:t>
      </w:r>
      <w:proofErr w:type="spellEnd"/>
      <w:r w:rsidRPr="00880FE9">
        <w:rPr>
          <w:rFonts w:eastAsia="等线"/>
        </w:rPr>
        <w:t>数据中心的线缆接入的部署和调试工作，保证链路所使用的接入设备免费部署，保证链路接入设备可提供多种接口选择，保证链路具有可管理和可监控的特性。</w:t>
      </w:r>
    </w:p>
    <w:p w14:paraId="02DC1E6B" w14:textId="77777777" w:rsidR="006C6F6D" w:rsidRDefault="006C6F6D" w:rsidP="00EA2CFE">
      <w:pPr>
        <w:ind w:firstLine="420"/>
        <w:rPr>
          <w:rFonts w:eastAsia="等线" w:hint="eastAsia"/>
        </w:rPr>
      </w:pPr>
    </w:p>
    <w:p w14:paraId="79D8AE55" w14:textId="48A7E136"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049BE46" w14:textId="281532F0" w:rsidR="00EA2CFE" w:rsidRDefault="00EA2CFE" w:rsidP="00EA2CFE">
      <w:pPr>
        <w:ind w:firstLine="420"/>
        <w:rPr>
          <w:rFonts w:eastAsia="等线" w:hint="eastAsia"/>
        </w:rPr>
      </w:pPr>
    </w:p>
    <w:p w14:paraId="504FDACF" w14:textId="6DE4DC67" w:rsidR="00EA2CFE" w:rsidRDefault="00EA2CFE" w:rsidP="00EA2CFE">
      <w:pPr>
        <w:ind w:firstLine="420"/>
        <w:rPr>
          <w:rFonts w:eastAsia="等线" w:hint="eastAsia"/>
        </w:rPr>
      </w:pPr>
      <w:r w:rsidRPr="00EA2CFE">
        <w:rPr>
          <w:rFonts w:eastAsia="等线" w:hint="eastAsia"/>
        </w:rPr>
        <w:t>我司将全面负责从华为云数据中心到</w:t>
      </w:r>
      <w:proofErr w:type="spellStart"/>
      <w:r w:rsidRPr="00EA2CFE">
        <w:rPr>
          <w:rFonts w:eastAsia="等线"/>
        </w:rPr>
        <w:t>Ameco</w:t>
      </w:r>
      <w:proofErr w:type="spellEnd"/>
      <w:r w:rsidRPr="00EA2CFE">
        <w:rPr>
          <w:rFonts w:eastAsia="等线"/>
        </w:rPr>
        <w:t>两个数据中心之间链路的全流程实施与部署工作，包括链路规划、线缆铺设、设备安装、系统调试、开通上线及后续运行维护。在实施阶段，我司专业技术团队将严格遵循行业标准与华为云部署规范，完成公有云数据中心和</w:t>
      </w:r>
      <w:proofErr w:type="spellStart"/>
      <w:r w:rsidRPr="00EA2CFE">
        <w:rPr>
          <w:rFonts w:eastAsia="等线"/>
        </w:rPr>
        <w:t>Ameco</w:t>
      </w:r>
      <w:proofErr w:type="spellEnd"/>
      <w:r w:rsidRPr="00EA2CFE">
        <w:rPr>
          <w:rFonts w:eastAsia="等线"/>
        </w:rPr>
        <w:t>数据中心的线缆接入部署与调试，确保物理连接与网络配置的准确性；在运维阶段，提供7×24小时监控与技术支持，实时监测链路状态，快速响应并解决故障问题，保障链路持续稳定运行。</w:t>
      </w:r>
    </w:p>
    <w:p w14:paraId="125D65C4" w14:textId="626336DD" w:rsidR="00EA2CFE" w:rsidRDefault="00EA2CFE" w:rsidP="00EA2CFE">
      <w:pPr>
        <w:ind w:firstLine="420"/>
        <w:rPr>
          <w:rFonts w:eastAsia="等线" w:hint="eastAsia"/>
        </w:rPr>
      </w:pPr>
    </w:p>
    <w:p w14:paraId="185AA426" w14:textId="3639038F" w:rsidR="00EA2CFE" w:rsidRDefault="00EA2CFE" w:rsidP="00EA2CFE">
      <w:pPr>
        <w:ind w:firstLine="420"/>
        <w:rPr>
          <w:rFonts w:ascii="Segoe UI" w:hAnsi="Segoe UI" w:cs="Segoe UI"/>
          <w:color w:val="1F2329"/>
          <w:shd w:val="clear" w:color="auto" w:fill="EFF0F1"/>
        </w:rPr>
      </w:pPr>
      <w:r>
        <w:rPr>
          <w:rFonts w:ascii="Segoe UI" w:hAnsi="Segoe UI" w:cs="Segoe UI"/>
          <w:color w:val="1F2329"/>
          <w:shd w:val="clear" w:color="auto" w:fill="EFF0F1"/>
        </w:rPr>
        <w:lastRenderedPageBreak/>
        <w:t>我司承诺链路所使用的接入设备免费部署，包括华为云专线网关、路由器等核心设备。这些设备支持多种接口类型，如</w:t>
      </w:r>
      <w:r>
        <w:rPr>
          <w:rFonts w:ascii="Segoe UI" w:hAnsi="Segoe UI" w:cs="Segoe UI"/>
          <w:color w:val="1F2329"/>
          <w:shd w:val="clear" w:color="auto" w:fill="EFF0F1"/>
        </w:rPr>
        <w:t>GE</w:t>
      </w:r>
      <w:r>
        <w:rPr>
          <w:rFonts w:ascii="Segoe UI" w:hAnsi="Segoe UI" w:cs="Segoe UI"/>
          <w:color w:val="1F2329"/>
          <w:shd w:val="clear" w:color="auto" w:fill="EFF0F1"/>
        </w:rPr>
        <w:t>（千兆以太网）、</w:t>
      </w:r>
      <w:r>
        <w:rPr>
          <w:rFonts w:ascii="Segoe UI" w:hAnsi="Segoe UI" w:cs="Segoe UI"/>
          <w:color w:val="1F2329"/>
          <w:shd w:val="clear" w:color="auto" w:fill="EFF0F1"/>
        </w:rPr>
        <w:t>10GE</w:t>
      </w:r>
      <w:r>
        <w:rPr>
          <w:rFonts w:ascii="Segoe UI" w:hAnsi="Segoe UI" w:cs="Segoe UI"/>
          <w:color w:val="1F2329"/>
          <w:shd w:val="clear" w:color="auto" w:fill="EFF0F1"/>
        </w:rPr>
        <w:t>（万兆以太网）、</w:t>
      </w:r>
      <w:r>
        <w:rPr>
          <w:rFonts w:ascii="Segoe UI" w:hAnsi="Segoe UI" w:cs="Segoe UI"/>
          <w:color w:val="1F2329"/>
          <w:shd w:val="clear" w:color="auto" w:fill="EFF0F1"/>
        </w:rPr>
        <w:t>POS</w:t>
      </w:r>
      <w:r>
        <w:rPr>
          <w:rFonts w:ascii="Segoe UI" w:hAnsi="Segoe UI" w:cs="Segoe UI"/>
          <w:color w:val="1F2329"/>
          <w:shd w:val="clear" w:color="auto" w:fill="EFF0F1"/>
        </w:rPr>
        <w:t>（</w:t>
      </w:r>
      <w:proofErr w:type="spellStart"/>
      <w:r>
        <w:rPr>
          <w:rFonts w:ascii="Segoe UI" w:hAnsi="Segoe UI" w:cs="Segoe UI"/>
          <w:color w:val="1F2329"/>
          <w:shd w:val="clear" w:color="auto" w:fill="EFF0F1"/>
        </w:rPr>
        <w:t>PacketoverSONET</w:t>
      </w:r>
      <w:proofErr w:type="spellEnd"/>
      <w:r>
        <w:rPr>
          <w:rFonts w:ascii="Segoe UI" w:hAnsi="Segoe UI" w:cs="Segoe UI"/>
          <w:color w:val="1F2329"/>
          <w:shd w:val="clear" w:color="auto" w:fill="EFF0F1"/>
        </w:rPr>
        <w:t>/SDH</w:t>
      </w:r>
      <w:r>
        <w:rPr>
          <w:rFonts w:ascii="Segoe UI" w:hAnsi="Segoe UI" w:cs="Segoe UI"/>
          <w:color w:val="1F2329"/>
          <w:shd w:val="clear" w:color="auto" w:fill="EFF0F1"/>
        </w:rPr>
        <w:t>）等，可灵活适配</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现有网络设备与未来业务扩展需求，确保不同网络环境下的兼容性与高效连接。同时，接入设备支持统一的可视化管理平台，便于</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实时查看设备运行状态、配置参数及链路流量情况，实现对链路的精细化管理与监控。</w:t>
      </w:r>
    </w:p>
    <w:p w14:paraId="133CA38A" w14:textId="5E8B1944" w:rsidR="00EA2CFE" w:rsidRDefault="00EA2CFE" w:rsidP="00EA2CFE">
      <w:pPr>
        <w:ind w:firstLine="420"/>
        <w:rPr>
          <w:rFonts w:eastAsia="等线" w:hint="eastAsia"/>
        </w:rPr>
      </w:pPr>
    </w:p>
    <w:p w14:paraId="717CCB1B" w14:textId="57E2F926" w:rsidR="00A31C8F" w:rsidRPr="00A31C8F" w:rsidRDefault="006C6F6D" w:rsidP="006C6F6D">
      <w:pPr>
        <w:rPr>
          <w:rFonts w:hint="eastAsia"/>
        </w:rPr>
      </w:pPr>
      <w:r w:rsidRPr="006C6F6D">
        <w:rPr>
          <w:rFonts w:hint="eastAsia"/>
          <w:b/>
        </w:rPr>
        <w:t>招标文件要求</w:t>
      </w:r>
    </w:p>
    <w:p w14:paraId="19551E6C" w14:textId="77777777" w:rsidR="00A31C8F" w:rsidRPr="00EA2CFE" w:rsidRDefault="00A31C8F" w:rsidP="00EA2CFE">
      <w:pPr>
        <w:ind w:firstLine="420"/>
        <w:rPr>
          <w:rFonts w:eastAsia="等线" w:hint="eastAsia"/>
        </w:rPr>
      </w:pPr>
    </w:p>
    <w:p w14:paraId="620C7486" w14:textId="00D9E659" w:rsidR="00EA2CFE" w:rsidRDefault="00EA2CFE" w:rsidP="00EA2CFE">
      <w:pPr>
        <w:ind w:firstLine="420"/>
        <w:rPr>
          <w:rFonts w:eastAsia="等线" w:hint="eastAsia"/>
        </w:rPr>
      </w:pPr>
      <w:r w:rsidRPr="00880FE9">
        <w:rPr>
          <w:rFonts w:eastAsia="等线"/>
        </w:rPr>
        <w:t>上述所提到的链路都需要供应商保证，在后期使用过程中可以提供快速的带宽扩容和专线部署操作。</w:t>
      </w:r>
    </w:p>
    <w:p w14:paraId="4266A692" w14:textId="77777777" w:rsidR="006C6F6D" w:rsidRDefault="006C6F6D" w:rsidP="00EA2CFE">
      <w:pPr>
        <w:ind w:firstLine="420"/>
        <w:rPr>
          <w:rFonts w:eastAsia="等线" w:hint="eastAsia"/>
        </w:rPr>
      </w:pPr>
    </w:p>
    <w:p w14:paraId="493F7215" w14:textId="672DAA0A"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FE412DD" w14:textId="5BB46D98" w:rsidR="00EA2CFE" w:rsidRDefault="00EA2CFE" w:rsidP="00EA2CFE">
      <w:pPr>
        <w:ind w:firstLine="420"/>
        <w:rPr>
          <w:rFonts w:ascii="Segoe UI" w:hAnsi="Segoe UI" w:cs="Segoe UI"/>
          <w:color w:val="1F2329"/>
          <w:shd w:val="clear" w:color="auto" w:fill="EFF0F1"/>
        </w:rPr>
      </w:pPr>
    </w:p>
    <w:p w14:paraId="33DD3ABC" w14:textId="617340FC" w:rsidR="00EA2CFE" w:rsidRDefault="00EA2CFE" w:rsidP="00EA2CFE">
      <w:pPr>
        <w:ind w:firstLine="420"/>
        <w:rPr>
          <w:rFonts w:ascii="Segoe UI" w:hAnsi="Segoe UI" w:cs="Segoe UI"/>
          <w:color w:val="1F2329"/>
          <w:shd w:val="clear" w:color="auto" w:fill="EFF0F1"/>
        </w:rPr>
      </w:pPr>
      <w:r>
        <w:rPr>
          <w:rFonts w:ascii="Segoe UI" w:hAnsi="Segoe UI" w:cs="Segoe UI"/>
          <w:color w:val="1F2329"/>
          <w:shd w:val="clear" w:color="auto" w:fill="EFF0F1"/>
        </w:rPr>
        <w:t>基于华为云智能弹性带宽与敏捷专线部署能力，我司确保在后期使用过程中，能够为</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提供快速的带宽扩容与专线部署服务。当</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提出带宽扩容需求时，可通过华为云控制台或</w:t>
      </w:r>
      <w:r>
        <w:rPr>
          <w:rFonts w:ascii="Segoe UI" w:hAnsi="Segoe UI" w:cs="Segoe UI"/>
          <w:color w:val="1F2329"/>
          <w:shd w:val="clear" w:color="auto" w:fill="EFF0F1"/>
        </w:rPr>
        <w:t>API</w:t>
      </w:r>
      <w:r>
        <w:rPr>
          <w:rFonts w:ascii="Segoe UI" w:hAnsi="Segoe UI" w:cs="Segoe UI"/>
          <w:color w:val="1F2329"/>
          <w:shd w:val="clear" w:color="auto" w:fill="EFF0F1"/>
        </w:rPr>
        <w:t>接口自助发起申请，我司技术团队将在</w:t>
      </w:r>
      <w:r>
        <w:rPr>
          <w:rFonts w:ascii="Segoe UI" w:hAnsi="Segoe UI" w:cs="Segoe UI"/>
          <w:color w:val="1F2329"/>
          <w:shd w:val="clear" w:color="auto" w:fill="EFF0F1"/>
        </w:rPr>
        <w:t>24</w:t>
      </w:r>
      <w:r>
        <w:rPr>
          <w:rFonts w:ascii="Segoe UI" w:hAnsi="Segoe UI" w:cs="Segoe UI"/>
          <w:color w:val="1F2329"/>
          <w:shd w:val="clear" w:color="auto" w:fill="EFF0F1"/>
        </w:rPr>
        <w:t>小时内完成配置调整与资源调配，实现带宽的即时扩容；若有新的专线部署需求，我司将遵循框架协议约定的标准流程，在</w:t>
      </w:r>
      <w:r>
        <w:rPr>
          <w:rFonts w:ascii="Segoe UI" w:hAnsi="Segoe UI" w:cs="Segoe UI"/>
          <w:color w:val="1F2329"/>
          <w:shd w:val="clear" w:color="auto" w:fill="EFF0F1"/>
        </w:rPr>
        <w:t>7</w:t>
      </w:r>
      <w:r>
        <w:rPr>
          <w:rFonts w:ascii="Segoe UI" w:hAnsi="Segoe UI" w:cs="Segoe UI"/>
          <w:color w:val="1F2329"/>
          <w:shd w:val="clear" w:color="auto" w:fill="EFF0F1"/>
        </w:rPr>
        <w:t>个工作日内启动部署工作，并在</w:t>
      </w:r>
      <w:r>
        <w:rPr>
          <w:rFonts w:ascii="Segoe UI" w:hAnsi="Segoe UI" w:cs="Segoe UI"/>
          <w:color w:val="1F2329"/>
          <w:shd w:val="clear" w:color="auto" w:fill="EFF0F1"/>
        </w:rPr>
        <w:t>15</w:t>
      </w:r>
      <w:r>
        <w:rPr>
          <w:rFonts w:ascii="Segoe UI" w:hAnsi="Segoe UI" w:cs="Segoe UI"/>
          <w:color w:val="1F2329"/>
          <w:shd w:val="clear" w:color="auto" w:fill="EFF0F1"/>
        </w:rPr>
        <w:t>个工作日内完成新专线的开通，满足业务快速发展的需求。</w:t>
      </w:r>
    </w:p>
    <w:p w14:paraId="4BB4D54F" w14:textId="53059591" w:rsidR="00EA2CFE" w:rsidRDefault="00EA2CFE" w:rsidP="00EA2CFE">
      <w:pPr>
        <w:ind w:firstLine="420"/>
        <w:rPr>
          <w:rFonts w:eastAsia="等线" w:hint="eastAsia"/>
        </w:rPr>
      </w:pPr>
    </w:p>
    <w:p w14:paraId="1502387C" w14:textId="0BC52929" w:rsidR="00A31C8F" w:rsidRPr="00A31C8F" w:rsidRDefault="006C6F6D" w:rsidP="006C6F6D">
      <w:pPr>
        <w:rPr>
          <w:rFonts w:hint="eastAsia"/>
        </w:rPr>
      </w:pPr>
      <w:r w:rsidRPr="006C6F6D">
        <w:rPr>
          <w:rFonts w:hint="eastAsia"/>
          <w:b/>
        </w:rPr>
        <w:t>招标文件要求</w:t>
      </w:r>
    </w:p>
    <w:p w14:paraId="1847C94C" w14:textId="77777777" w:rsidR="00A31C8F" w:rsidRPr="00880FE9" w:rsidRDefault="00A31C8F" w:rsidP="00EA2CFE">
      <w:pPr>
        <w:ind w:firstLine="420"/>
        <w:rPr>
          <w:rFonts w:eastAsia="等线" w:hint="eastAsia"/>
        </w:rPr>
      </w:pPr>
    </w:p>
    <w:p w14:paraId="12DF2E05" w14:textId="7745D974" w:rsidR="00EA2CFE" w:rsidRDefault="00EA2CFE" w:rsidP="00EA2CFE">
      <w:pPr>
        <w:ind w:firstLine="420"/>
        <w:rPr>
          <w:rFonts w:eastAsia="等线" w:hint="eastAsia"/>
        </w:rPr>
      </w:pPr>
      <w:r w:rsidRPr="00880FE9">
        <w:rPr>
          <w:rFonts w:eastAsia="等线"/>
        </w:rPr>
        <w:t>上述需求需要在投标文件中由供应商提供能证明上述内容加盖公章的说明文件。</w:t>
      </w:r>
    </w:p>
    <w:p w14:paraId="4DB4329F" w14:textId="77777777" w:rsidR="006C6F6D" w:rsidRDefault="006C6F6D" w:rsidP="00EA2CFE">
      <w:pPr>
        <w:ind w:firstLine="420"/>
        <w:rPr>
          <w:rFonts w:eastAsia="等线" w:hint="eastAsia"/>
        </w:rPr>
      </w:pPr>
    </w:p>
    <w:p w14:paraId="2DF71F60" w14:textId="22A52313"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A532E5A" w14:textId="64263DAF" w:rsidR="00EA2CFE" w:rsidRDefault="00EA2CFE" w:rsidP="00EA2CFE">
      <w:pPr>
        <w:ind w:firstLine="420"/>
        <w:rPr>
          <w:rFonts w:eastAsia="等线" w:hint="eastAsia"/>
        </w:rPr>
      </w:pPr>
    </w:p>
    <w:p w14:paraId="2A1960AE" w14:textId="5E2FFB18" w:rsidR="00EA2CFE" w:rsidRDefault="00EA2CFE" w:rsidP="00EA2CFE">
      <w:pPr>
        <w:ind w:firstLine="420"/>
        <w:rPr>
          <w:rFonts w:ascii="Segoe UI" w:hAnsi="Segoe UI" w:cs="Segoe UI"/>
          <w:color w:val="1F2329"/>
          <w:shd w:val="clear" w:color="auto" w:fill="EFF0F1"/>
        </w:rPr>
      </w:pPr>
      <w:r>
        <w:rPr>
          <w:rFonts w:ascii="Segoe UI" w:hAnsi="Segoe UI" w:cs="Segoe UI"/>
          <w:color w:val="1F2329"/>
          <w:shd w:val="clear" w:color="auto" w:fill="EFF0F1"/>
        </w:rPr>
        <w:t>在投标文件中，我司将提供加盖公章的详细说明文件，包含华为云专线资源覆盖证明、链路部署实施方案、设备接口规格清单、运维服务承诺、带宽扩容与专线部署响应时效承诺等内容，以充分证明我司具备满足上述链路部署</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的能力与资源，确保投标文件内容真实、有效，为</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提供可靠的服务保障。</w:t>
      </w:r>
    </w:p>
    <w:p w14:paraId="171CC0E6" w14:textId="77777777" w:rsidR="00EA2CFE" w:rsidRPr="00880FE9" w:rsidRDefault="00EA2CFE" w:rsidP="00EA2CFE">
      <w:pPr>
        <w:ind w:firstLine="420"/>
        <w:rPr>
          <w:rFonts w:eastAsia="等线" w:hint="eastAsia"/>
        </w:rPr>
      </w:pPr>
    </w:p>
    <w:p w14:paraId="16F53A87" w14:textId="77777777" w:rsidR="00EA2CFE" w:rsidRPr="00880FE9" w:rsidRDefault="00EA2CFE" w:rsidP="00EA2CFE">
      <w:pPr>
        <w:ind w:firstLine="420"/>
        <w:rPr>
          <w:rFonts w:eastAsia="等线" w:hint="eastAsia"/>
        </w:rPr>
      </w:pPr>
      <w:r w:rsidRPr="00880FE9">
        <w:rPr>
          <w:rFonts w:eastAsia="等线"/>
        </w:rPr>
        <w:t>云专线带宽需求见附件2。</w:t>
      </w:r>
    </w:p>
    <w:bookmarkEnd w:id="2"/>
    <w:p w14:paraId="3826A70E" w14:textId="77777777" w:rsidR="00EA2CFE" w:rsidRPr="00EA2CFE" w:rsidRDefault="00EA2CFE" w:rsidP="00EA2CFE">
      <w:pPr>
        <w:rPr>
          <w:rFonts w:hint="eastAsia"/>
        </w:rPr>
      </w:pPr>
    </w:p>
    <w:p w14:paraId="7D206C5F" w14:textId="174BB0FC" w:rsidR="00BE572F" w:rsidRDefault="00BE572F" w:rsidP="00BE572F">
      <w:pPr>
        <w:pStyle w:val="2"/>
        <w:rPr>
          <w:rFonts w:hint="eastAsia"/>
        </w:rPr>
      </w:pPr>
      <w:r>
        <w:tab/>
        <w:t>链路部署具体</w:t>
      </w:r>
      <w:r w:rsidR="006C6F6D" w:rsidRPr="006C6F6D">
        <w:t>招标文件要求</w:t>
      </w:r>
      <w:r>
        <w:tab/>
      </w:r>
    </w:p>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1A405032"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42534990" w14:textId="760DFB7A"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方案设计</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1039F388"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对</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现有业务需求进行综合分析，并根据</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现有业务需求提供组网方案，方案中应包含组网拓扑，技术架构，以及各区域之间的网络连接方案的具体说明。</w:t>
            </w:r>
          </w:p>
        </w:tc>
      </w:tr>
      <w:tr w:rsidR="00EA2CFE" w:rsidRPr="00880FE9" w14:paraId="71FCB761"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05152F3"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3AE80460"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方案设计中应详细说明线路实施工程的具体流程：包括但不限于线路实施工程中各区域间、室外、楼宇内的施工计划，线路调试计划，业务质量测试计划、验收计划等</w:t>
            </w:r>
          </w:p>
        </w:tc>
      </w:tr>
      <w:tr w:rsidR="00EA2CFE" w:rsidRPr="00880FE9" w14:paraId="5A8B6917"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071402A5" w14:textId="61B0CA6C"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链路运行</w:t>
            </w:r>
            <w:r w:rsidR="006C6F6D" w:rsidRPr="006C6F6D">
              <w:rPr>
                <w:rFonts w:ascii="Arial" w:eastAsia="等线" w:hAnsi="Arial" w:cs="Arial"/>
                <w:b/>
                <w:color w:val="000000"/>
                <w:sz w:val="24"/>
              </w:rPr>
              <w:t>招</w:t>
            </w:r>
            <w:r w:rsidR="006C6F6D" w:rsidRPr="006C6F6D">
              <w:rPr>
                <w:rFonts w:ascii="Arial" w:eastAsia="等线" w:hAnsi="Arial" w:cs="Arial"/>
                <w:b/>
                <w:color w:val="000000"/>
                <w:sz w:val="24"/>
              </w:rPr>
              <w:lastRenderedPageBreak/>
              <w:t>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25B637E7"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lastRenderedPageBreak/>
              <w:t>按照链路需求中提到的内容，由供应商提供各区域间的云专线资</w:t>
            </w:r>
            <w:r w:rsidRPr="00880FE9">
              <w:rPr>
                <w:rFonts w:ascii="Arial" w:eastAsia="等线" w:hAnsi="Arial" w:cs="Arial"/>
                <w:color w:val="000000"/>
                <w:sz w:val="24"/>
              </w:rPr>
              <w:lastRenderedPageBreak/>
              <w:t>源，并需明确说明提供的专线资源性质。</w:t>
            </w:r>
          </w:p>
        </w:tc>
      </w:tr>
      <w:tr w:rsidR="00EA2CFE" w:rsidRPr="00880FE9" w14:paraId="10FF9F3C"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14B7ED5"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384D854D" w14:textId="37467702"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由供应商负责进行链路需求中数据中心内的专线资源，接入、安装、调试、开通、协调等工作，并</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30</w:t>
            </w:r>
            <w:r w:rsidRPr="00880FE9">
              <w:rPr>
                <w:rFonts w:ascii="Arial" w:eastAsia="等线" w:hAnsi="Arial" w:cs="Arial"/>
                <w:color w:val="000000"/>
                <w:sz w:val="24"/>
              </w:rPr>
              <w:t>天内完成专线链路的开通工作。</w:t>
            </w:r>
          </w:p>
        </w:tc>
      </w:tr>
      <w:tr w:rsidR="00EA2CFE" w:rsidRPr="00880FE9" w14:paraId="02040945"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98C867B"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F0FF3AC" w14:textId="50BD90AA"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提供的专线资源应具有</w:t>
            </w:r>
            <w:r w:rsidRPr="00880FE9">
              <w:rPr>
                <w:rFonts w:ascii="Arial" w:eastAsia="等线" w:hAnsi="Arial" w:cs="Arial"/>
                <w:color w:val="000000"/>
                <w:sz w:val="24"/>
              </w:rPr>
              <w:t>7*24</w:t>
            </w:r>
            <w:r w:rsidRPr="00880FE9">
              <w:rPr>
                <w:rFonts w:ascii="Arial" w:eastAsia="等线" w:hAnsi="Arial" w:cs="Arial"/>
                <w:color w:val="000000"/>
                <w:sz w:val="24"/>
              </w:rPr>
              <w:t>的主动网管监测功能</w:t>
            </w:r>
          </w:p>
        </w:tc>
      </w:tr>
      <w:tr w:rsidR="00EA2CFE" w:rsidRPr="00880FE9" w14:paraId="506C9B27"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6FE4523D" w14:textId="17A7AA41"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链路质量</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2533D484"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网络可用性不低于</w:t>
            </w:r>
            <w:r w:rsidRPr="00880FE9">
              <w:rPr>
                <w:rFonts w:ascii="Arial" w:eastAsia="等线" w:hAnsi="Arial" w:cs="Arial"/>
                <w:color w:val="000000"/>
                <w:sz w:val="24"/>
              </w:rPr>
              <w:t>99.9%</w:t>
            </w:r>
            <w:r w:rsidRPr="00880FE9">
              <w:rPr>
                <w:rFonts w:ascii="Arial" w:eastAsia="等线" w:hAnsi="Arial" w:cs="Arial"/>
                <w:color w:val="000000"/>
                <w:sz w:val="24"/>
              </w:rPr>
              <w:t>，并需要供应商在投标文件中提供盖公章的证明文件</w:t>
            </w:r>
          </w:p>
        </w:tc>
      </w:tr>
      <w:tr w:rsidR="00EA2CFE" w:rsidRPr="00880FE9" w14:paraId="1FCF93D9"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718900C8"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2FEFDBCA"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网络抖动不高于</w:t>
            </w:r>
            <w:r w:rsidRPr="00880FE9">
              <w:rPr>
                <w:rFonts w:ascii="Arial" w:eastAsia="等线" w:hAnsi="Arial" w:cs="Arial"/>
                <w:color w:val="000000"/>
                <w:sz w:val="24"/>
              </w:rPr>
              <w:t>10ms</w:t>
            </w:r>
            <w:r w:rsidRPr="00880FE9">
              <w:rPr>
                <w:rFonts w:ascii="Arial" w:eastAsia="等线" w:hAnsi="Arial" w:cs="Arial"/>
                <w:color w:val="000000"/>
                <w:sz w:val="24"/>
              </w:rPr>
              <w:t>，并需要供应商在投标文件中提供盖公章的证明文件</w:t>
            </w:r>
          </w:p>
        </w:tc>
      </w:tr>
      <w:tr w:rsidR="00EA2CFE" w:rsidRPr="00880FE9" w14:paraId="7164E369"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7967BFE6"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1C39D31E"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丢包率：链路数据丢包率不高于</w:t>
            </w:r>
            <w:r w:rsidRPr="00880FE9">
              <w:rPr>
                <w:rFonts w:ascii="Arial" w:eastAsia="等线" w:hAnsi="Arial" w:cs="Arial"/>
                <w:color w:val="000000"/>
                <w:sz w:val="24"/>
              </w:rPr>
              <w:t>0.5%</w:t>
            </w:r>
            <w:r w:rsidRPr="00880FE9">
              <w:rPr>
                <w:rFonts w:ascii="Arial" w:eastAsia="等线" w:hAnsi="Arial" w:cs="Arial"/>
                <w:color w:val="000000"/>
                <w:sz w:val="24"/>
              </w:rPr>
              <w:t>，并需要供应商在投标文件中提供盖公章的证明文件</w:t>
            </w:r>
          </w:p>
        </w:tc>
      </w:tr>
      <w:tr w:rsidR="00EA2CFE" w:rsidRPr="00880FE9" w14:paraId="3B0A75A5"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46753838"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19FA869A" w14:textId="1363AAA5"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POP-to-POPMTTR</w:t>
            </w:r>
            <w:r w:rsidRPr="00880FE9">
              <w:rPr>
                <w:rFonts w:ascii="Arial" w:eastAsia="等线" w:hAnsi="Arial" w:cs="Arial"/>
                <w:color w:val="000000"/>
                <w:sz w:val="24"/>
              </w:rPr>
              <w:t>（平均恢复时间）小于</w:t>
            </w:r>
            <w:r w:rsidRPr="00880FE9">
              <w:rPr>
                <w:rFonts w:ascii="Arial" w:eastAsia="等线" w:hAnsi="Arial" w:cs="Arial"/>
                <w:color w:val="000000"/>
                <w:sz w:val="24"/>
              </w:rPr>
              <w:t>8</w:t>
            </w:r>
            <w:r w:rsidRPr="00880FE9">
              <w:rPr>
                <w:rFonts w:ascii="Arial" w:eastAsia="等线" w:hAnsi="Arial" w:cs="Arial"/>
                <w:color w:val="000000"/>
                <w:sz w:val="24"/>
              </w:rPr>
              <w:t>小时，并需要供应商在投标文件中提供盖公章的证明文件</w:t>
            </w:r>
          </w:p>
        </w:tc>
      </w:tr>
      <w:tr w:rsidR="00EA2CFE" w:rsidRPr="00880FE9" w14:paraId="0B06D752"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1B502185"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6C22B857"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Pr>
                <w:rFonts w:ascii="Arial" w:eastAsia="等线" w:hAnsi="Arial" w:cs="Arial" w:hint="eastAsia"/>
                <w:color w:val="000000"/>
                <w:sz w:val="24"/>
              </w:rPr>
              <w:t>延迟</w:t>
            </w:r>
            <w:r w:rsidRPr="00880FE9">
              <w:rPr>
                <w:rFonts w:ascii="Arial" w:eastAsia="等线" w:hAnsi="Arial" w:cs="Arial"/>
                <w:color w:val="000000"/>
                <w:sz w:val="24"/>
              </w:rPr>
              <w:t>：各区域之间链路</w:t>
            </w:r>
            <w:r>
              <w:rPr>
                <w:rFonts w:ascii="Arial" w:eastAsia="等线" w:hAnsi="Arial" w:cs="Arial" w:hint="eastAsia"/>
                <w:color w:val="000000"/>
                <w:sz w:val="24"/>
              </w:rPr>
              <w:t>延迟</w:t>
            </w:r>
            <w:r w:rsidRPr="00880FE9">
              <w:rPr>
                <w:rFonts w:ascii="Arial" w:eastAsia="等线" w:hAnsi="Arial" w:cs="Arial"/>
                <w:color w:val="000000"/>
                <w:sz w:val="24"/>
              </w:rPr>
              <w:t>不高于</w:t>
            </w:r>
            <w:r w:rsidRPr="00880FE9">
              <w:rPr>
                <w:rFonts w:ascii="Arial" w:eastAsia="等线" w:hAnsi="Arial" w:cs="Arial"/>
                <w:color w:val="000000"/>
                <w:sz w:val="24"/>
              </w:rPr>
              <w:t>50ms</w:t>
            </w:r>
            <w:r w:rsidRPr="00880FE9">
              <w:rPr>
                <w:rFonts w:ascii="Arial" w:eastAsia="等线" w:hAnsi="Arial" w:cs="Arial"/>
                <w:color w:val="000000"/>
                <w:sz w:val="24"/>
              </w:rPr>
              <w:t>，并需要供应商在投标文件中提供盖公章的证明文件</w:t>
            </w:r>
          </w:p>
        </w:tc>
      </w:tr>
    </w:tbl>
    <w:p w14:paraId="3A21EB79" w14:textId="77777777" w:rsidR="00EA2CFE" w:rsidRPr="00EA2CFE" w:rsidRDefault="00EA2CFE" w:rsidP="00EA2CFE">
      <w:pPr>
        <w:rPr>
          <w:rFonts w:hint="eastAsia"/>
        </w:rPr>
      </w:pPr>
    </w:p>
    <w:p w14:paraId="5FEA66BB" w14:textId="7C653A02" w:rsidR="00BE572F" w:rsidRDefault="00BE572F" w:rsidP="00BE572F">
      <w:pPr>
        <w:pStyle w:val="3"/>
        <w:rPr>
          <w:rFonts w:hint="eastAsia"/>
        </w:rPr>
      </w:pPr>
      <w:r>
        <w:tab/>
        <w:t>方案设计</w:t>
      </w:r>
      <w:r w:rsidR="006C6F6D" w:rsidRPr="006C6F6D">
        <w:t>招标文件要求</w:t>
      </w:r>
      <w:r>
        <w:tab/>
      </w:r>
    </w:p>
    <w:p w14:paraId="63EB2CC3" w14:textId="172EEFE7" w:rsidR="00A31C8F" w:rsidRPr="00A31C8F" w:rsidRDefault="006C6F6D" w:rsidP="006C6F6D">
      <w:pPr>
        <w:rPr>
          <w:rFonts w:hint="eastAsia"/>
        </w:rPr>
      </w:pPr>
      <w:r w:rsidRPr="006C6F6D">
        <w:rPr>
          <w:rFonts w:hint="eastAsia"/>
          <w:b/>
        </w:rPr>
        <w:t>招标文件要求</w:t>
      </w:r>
    </w:p>
    <w:p w14:paraId="71C31435" w14:textId="77777777" w:rsidR="00A31C8F" w:rsidRPr="00A31C8F" w:rsidRDefault="00A31C8F" w:rsidP="00A31C8F">
      <w:pPr>
        <w:rPr>
          <w:rFonts w:hint="eastAsia"/>
        </w:rPr>
      </w:pPr>
    </w:p>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4DF87944"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21D4F476" w14:textId="2BB632D7"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方案设计</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01B3134F"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对</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现有业务需求进行综合分析，并根据</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现有业务需求提供组网方案，方案中应包含组网拓扑，技术架构，以及各区域之间的网络连接方案的具体说明。</w:t>
            </w:r>
          </w:p>
        </w:tc>
      </w:tr>
      <w:tr w:rsidR="00EA2CFE" w:rsidRPr="00880FE9" w14:paraId="402DE7AD"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50510F0E"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0BB6566"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方案设计中应详细说明线路实施工程的具体流程：包括但不限于线路实施工程中各区域间、室外、楼宇内的施工计划，线路调试计划，业务质量测试计划、验收计划等</w:t>
            </w:r>
          </w:p>
        </w:tc>
      </w:tr>
    </w:tbl>
    <w:p w14:paraId="62548113" w14:textId="77777777" w:rsidR="00A31C8F" w:rsidRDefault="00A31C8F" w:rsidP="00EA2CFE">
      <w:pPr>
        <w:ind w:firstLine="420"/>
        <w:rPr>
          <w:rFonts w:hint="eastAsia"/>
        </w:rPr>
      </w:pPr>
    </w:p>
    <w:p w14:paraId="6157EB05" w14:textId="3EC80C9F"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BD67293" w14:textId="77777777" w:rsidR="00A31C8F" w:rsidRDefault="00A31C8F" w:rsidP="00EA2CFE">
      <w:pPr>
        <w:ind w:firstLine="420"/>
        <w:rPr>
          <w:rFonts w:hint="eastAsia"/>
        </w:rPr>
      </w:pPr>
    </w:p>
    <w:p w14:paraId="29750230" w14:textId="29AA6858" w:rsidR="00EA2CFE" w:rsidRDefault="00EA2CFE" w:rsidP="00EA2CFE">
      <w:pPr>
        <w:ind w:firstLine="420"/>
        <w:rPr>
          <w:rFonts w:hint="eastAsia"/>
        </w:rPr>
      </w:pPr>
      <w:r w:rsidRPr="00EA2CFE">
        <w:rPr>
          <w:rFonts w:hint="eastAsia"/>
        </w:rPr>
        <w:t>我司将对</w:t>
      </w:r>
      <w:proofErr w:type="spellStart"/>
      <w:r w:rsidRPr="00EA2CFE">
        <w:t>Ameco</w:t>
      </w:r>
      <w:proofErr w:type="spellEnd"/>
      <w:r w:rsidRPr="00EA2CFE">
        <w:t>现有业务进行全面调研，结合其在生产办公、数据传输、应用部署等场景的需求，设计基于华为云智能云专线（DC）与虚拟私有云（VPC）的组网方案。组网拓扑采用星型架构，以华为云北京区域数据中心为核心节点，通过主备两条专线分别连接AmecoNCS数据中心（北京市朝阳区）和</w:t>
      </w:r>
      <w:r w:rsidR="00152F2A">
        <w:t>A380</w:t>
      </w:r>
      <w:r w:rsidRPr="00EA2CFE">
        <w:t>数据中心（北京市顺义区），各数据中心内部通过VPC子网划分实现业务隔离与安全访问。技术架构上，底层采用MPLSVPN或裸光纤承载专线，搭配华为云SD-WAN技术实现流量智能调度；网络层通过华为云专</w:t>
      </w:r>
      <w:r w:rsidRPr="00EA2CFE">
        <w:rPr>
          <w:rFonts w:hint="eastAsia"/>
        </w:rPr>
        <w:t>线网关实现路由自动分发与跨地域网络互通；应用层则依托华为云安全服务（如</w:t>
      </w:r>
      <w:r w:rsidRPr="00EA2CFE">
        <w:t>DDoS防护、防火墙）保障业务安全。在网络连接方案中，主专线承载日常业务流量，备专线作为冗余链路，通过BGP动态路由协议实现故障自动切换，确保业务连续性。</w:t>
      </w:r>
    </w:p>
    <w:p w14:paraId="434FC0DA" w14:textId="65A64A6D" w:rsidR="00EA2CFE" w:rsidRDefault="00EA2CFE" w:rsidP="00EA2CFE">
      <w:pPr>
        <w:ind w:firstLine="420"/>
        <w:rPr>
          <w:rFonts w:hint="eastAsia"/>
        </w:rPr>
      </w:pPr>
    </w:p>
    <w:p w14:paraId="378232A1" w14:textId="239C55C4" w:rsidR="00EA2CFE" w:rsidRDefault="00EA2CFE" w:rsidP="00EA2CFE">
      <w:pPr>
        <w:ind w:firstLine="420"/>
        <w:rPr>
          <w:rStyle w:val="lb"/>
          <w:rFonts w:ascii="Segoe UI" w:hAnsi="Segoe UI" w:cs="Segoe UI"/>
          <w:color w:val="1F2329"/>
          <w:shd w:val="clear" w:color="auto" w:fill="EFF0F1"/>
        </w:rPr>
      </w:pPr>
      <w:r>
        <w:rPr>
          <w:rStyle w:val="lb"/>
          <w:rFonts w:ascii="Segoe UI" w:hAnsi="Segoe UI" w:cs="Segoe UI"/>
          <w:b/>
          <w:bCs/>
          <w:color w:val="1F2329"/>
          <w:shd w:val="clear" w:color="auto" w:fill="EFF0F1"/>
        </w:rPr>
        <w:lastRenderedPageBreak/>
        <w:t>线路实施工程流程</w:t>
      </w:r>
      <w:r>
        <w:rPr>
          <w:rStyle w:val="lb"/>
          <w:rFonts w:ascii="Segoe UI" w:hAnsi="Segoe UI" w:cs="Segoe UI"/>
          <w:color w:val="1F2329"/>
          <w:shd w:val="clear" w:color="auto" w:fill="EFF0F1"/>
        </w:rPr>
        <w:t>：线路实施工程将分阶段推进。</w:t>
      </w:r>
      <w:r>
        <w:rPr>
          <w:rStyle w:val="lb"/>
          <w:rFonts w:ascii="Segoe UI" w:hAnsi="Segoe UI" w:cs="Segoe UI"/>
          <w:b/>
          <w:bCs/>
          <w:color w:val="1F2329"/>
          <w:shd w:val="clear" w:color="auto" w:fill="EFF0F1"/>
        </w:rPr>
        <w:t>施工计划</w:t>
      </w:r>
      <w:r>
        <w:rPr>
          <w:rStyle w:val="lb"/>
          <w:rFonts w:ascii="Segoe UI" w:hAnsi="Segoe UI" w:cs="Segoe UI"/>
          <w:color w:val="1F2329"/>
          <w:shd w:val="clear" w:color="auto" w:fill="EFF0F1"/>
        </w:rPr>
        <w:t>：室外部分，联合专业通信运营商，采用管道敷设或架空方式铺设专线光缆，同步完成防雷、防水等防护措施，预计耗时</w:t>
      </w:r>
      <w:r>
        <w:rPr>
          <w:rStyle w:val="lb"/>
          <w:rFonts w:ascii="Segoe UI" w:hAnsi="Segoe UI" w:cs="Segoe UI"/>
          <w:color w:val="1F2329"/>
          <w:shd w:val="clear" w:color="auto" w:fill="EFF0F1"/>
        </w:rPr>
        <w:t>10</w:t>
      </w:r>
      <w:r>
        <w:rPr>
          <w:rStyle w:val="lb"/>
          <w:rFonts w:ascii="Segoe UI" w:hAnsi="Segoe UI" w:cs="Segoe UI"/>
          <w:color w:val="1F2329"/>
          <w:shd w:val="clear" w:color="auto" w:fill="EFF0F1"/>
        </w:rPr>
        <w:t>天；楼宇内部分，依据</w:t>
      </w:r>
      <w:proofErr w:type="spellStart"/>
      <w:r>
        <w:rPr>
          <w:rStyle w:val="lb"/>
          <w:rFonts w:ascii="Segoe UI" w:hAnsi="Segoe UI" w:cs="Segoe UI"/>
          <w:color w:val="1F2329"/>
          <w:shd w:val="clear" w:color="auto" w:fill="EFF0F1"/>
        </w:rPr>
        <w:t>Ameco</w:t>
      </w:r>
      <w:proofErr w:type="spellEnd"/>
      <w:r>
        <w:rPr>
          <w:rStyle w:val="lb"/>
          <w:rFonts w:ascii="Segoe UI" w:hAnsi="Segoe UI" w:cs="Segoe UI"/>
          <w:color w:val="1F2329"/>
          <w:shd w:val="clear" w:color="auto" w:fill="EFF0F1"/>
        </w:rPr>
        <w:t>数据中心机房布局，进行桥架安装、线缆布放及标签标识，耗时</w:t>
      </w:r>
      <w:r>
        <w:rPr>
          <w:rStyle w:val="lb"/>
          <w:rFonts w:ascii="Segoe UI" w:hAnsi="Segoe UI" w:cs="Segoe UI"/>
          <w:color w:val="1F2329"/>
          <w:shd w:val="clear" w:color="auto" w:fill="EFF0F1"/>
        </w:rPr>
        <w:t>5</w:t>
      </w:r>
      <w:r>
        <w:rPr>
          <w:rStyle w:val="lb"/>
          <w:rFonts w:ascii="Segoe UI" w:hAnsi="Segoe UI" w:cs="Segoe UI"/>
          <w:color w:val="1F2329"/>
          <w:shd w:val="clear" w:color="auto" w:fill="EFF0F1"/>
        </w:rPr>
        <w:t>天。</w:t>
      </w:r>
      <w:r>
        <w:rPr>
          <w:rStyle w:val="lb"/>
          <w:rFonts w:ascii="Segoe UI" w:hAnsi="Segoe UI" w:cs="Segoe UI"/>
          <w:b/>
          <w:bCs/>
          <w:color w:val="1F2329"/>
          <w:shd w:val="clear" w:color="auto" w:fill="EFF0F1"/>
        </w:rPr>
        <w:t>线路调试计划</w:t>
      </w:r>
      <w:r>
        <w:rPr>
          <w:rStyle w:val="lb"/>
          <w:rFonts w:ascii="Segoe UI" w:hAnsi="Segoe UI" w:cs="Segoe UI"/>
          <w:color w:val="1F2329"/>
          <w:shd w:val="clear" w:color="auto" w:fill="EFF0F1"/>
        </w:rPr>
        <w:t>：完成物理连接后，使用华为网络调试工具（如</w:t>
      </w:r>
      <w:proofErr w:type="spellStart"/>
      <w:r>
        <w:rPr>
          <w:rStyle w:val="lb"/>
          <w:rFonts w:ascii="Segoe UI" w:hAnsi="Segoe UI" w:cs="Segoe UI"/>
          <w:color w:val="1F2329"/>
          <w:shd w:val="clear" w:color="auto" w:fill="EFF0F1"/>
        </w:rPr>
        <w:t>NetEngine</w:t>
      </w:r>
      <w:proofErr w:type="spellEnd"/>
      <w:r>
        <w:rPr>
          <w:rStyle w:val="lb"/>
          <w:rFonts w:ascii="Segoe UI" w:hAnsi="Segoe UI" w:cs="Segoe UI"/>
          <w:color w:val="1F2329"/>
          <w:shd w:val="clear" w:color="auto" w:fill="EFF0F1"/>
        </w:rPr>
        <w:t>分析仪）进行链路连通性、带宽、延迟等指标测试，针对发现的问题优化网络配置，耗时</w:t>
      </w:r>
      <w:r>
        <w:rPr>
          <w:rStyle w:val="lb"/>
          <w:rFonts w:ascii="Segoe UI" w:hAnsi="Segoe UI" w:cs="Segoe UI"/>
          <w:color w:val="1F2329"/>
          <w:shd w:val="clear" w:color="auto" w:fill="EFF0F1"/>
        </w:rPr>
        <w:t>7</w:t>
      </w:r>
      <w:r>
        <w:rPr>
          <w:rStyle w:val="lb"/>
          <w:rFonts w:ascii="Segoe UI" w:hAnsi="Segoe UI" w:cs="Segoe UI"/>
          <w:color w:val="1F2329"/>
          <w:shd w:val="clear" w:color="auto" w:fill="EFF0F1"/>
        </w:rPr>
        <w:t>天。</w:t>
      </w:r>
      <w:r>
        <w:rPr>
          <w:rStyle w:val="lb"/>
          <w:rFonts w:ascii="Segoe UI" w:hAnsi="Segoe UI" w:cs="Segoe UI"/>
          <w:b/>
          <w:bCs/>
          <w:color w:val="1F2329"/>
          <w:shd w:val="clear" w:color="auto" w:fill="EFF0F1"/>
        </w:rPr>
        <w:t>业务质量测试计划</w:t>
      </w:r>
      <w:r>
        <w:rPr>
          <w:rStyle w:val="lb"/>
          <w:rFonts w:ascii="Segoe UI" w:hAnsi="Segoe UI" w:cs="Segoe UI"/>
          <w:color w:val="1F2329"/>
          <w:shd w:val="clear" w:color="auto" w:fill="EFF0F1"/>
        </w:rPr>
        <w:t>：模拟</w:t>
      </w:r>
      <w:proofErr w:type="spellStart"/>
      <w:r>
        <w:rPr>
          <w:rStyle w:val="lb"/>
          <w:rFonts w:ascii="Segoe UI" w:hAnsi="Segoe UI" w:cs="Segoe UI"/>
          <w:color w:val="1F2329"/>
          <w:shd w:val="clear" w:color="auto" w:fill="EFF0F1"/>
        </w:rPr>
        <w:t>Ameco</w:t>
      </w:r>
      <w:proofErr w:type="spellEnd"/>
      <w:r>
        <w:rPr>
          <w:rStyle w:val="lb"/>
          <w:rFonts w:ascii="Segoe UI" w:hAnsi="Segoe UI" w:cs="Segoe UI"/>
          <w:color w:val="1F2329"/>
          <w:shd w:val="clear" w:color="auto" w:fill="EFF0F1"/>
        </w:rPr>
        <w:t>实际业务流量，进行压力测试与稳定性测试，验证专线在高负载下的性能表现，确保满足业务需求，耗时</w:t>
      </w:r>
      <w:r>
        <w:rPr>
          <w:rStyle w:val="lb"/>
          <w:rFonts w:ascii="Segoe UI" w:hAnsi="Segoe UI" w:cs="Segoe UI"/>
          <w:color w:val="1F2329"/>
          <w:shd w:val="clear" w:color="auto" w:fill="EFF0F1"/>
        </w:rPr>
        <w:t>5</w:t>
      </w:r>
      <w:r>
        <w:rPr>
          <w:rStyle w:val="lb"/>
          <w:rFonts w:ascii="Segoe UI" w:hAnsi="Segoe UI" w:cs="Segoe UI"/>
          <w:color w:val="1F2329"/>
          <w:shd w:val="clear" w:color="auto" w:fill="EFF0F1"/>
        </w:rPr>
        <w:t>天。</w:t>
      </w:r>
      <w:r>
        <w:rPr>
          <w:rStyle w:val="lb"/>
          <w:rFonts w:ascii="Segoe UI" w:hAnsi="Segoe UI" w:cs="Segoe UI"/>
          <w:b/>
          <w:bCs/>
          <w:color w:val="1F2329"/>
          <w:shd w:val="clear" w:color="auto" w:fill="EFF0F1"/>
        </w:rPr>
        <w:t>验收计划</w:t>
      </w:r>
      <w:r>
        <w:rPr>
          <w:rStyle w:val="lb"/>
          <w:rFonts w:ascii="Segoe UI" w:hAnsi="Segoe UI" w:cs="Segoe UI"/>
          <w:color w:val="1F2329"/>
          <w:shd w:val="clear" w:color="auto" w:fill="EFF0F1"/>
        </w:rPr>
        <w:t>：邀请</w:t>
      </w:r>
      <w:proofErr w:type="spellStart"/>
      <w:r>
        <w:rPr>
          <w:rStyle w:val="lb"/>
          <w:rFonts w:ascii="Segoe UI" w:hAnsi="Segoe UI" w:cs="Segoe UI"/>
          <w:color w:val="1F2329"/>
          <w:shd w:val="clear" w:color="auto" w:fill="EFF0F1"/>
        </w:rPr>
        <w:t>Ameco</w:t>
      </w:r>
      <w:proofErr w:type="spellEnd"/>
      <w:r>
        <w:rPr>
          <w:rStyle w:val="lb"/>
          <w:rFonts w:ascii="Segoe UI" w:hAnsi="Segoe UI" w:cs="Segoe UI"/>
          <w:color w:val="1F2329"/>
          <w:shd w:val="clear" w:color="auto" w:fill="EFF0F1"/>
        </w:rPr>
        <w:t>相关人员参与验收，依据合同约定的技术指标逐项核验，提交测试报告与验收文档，验收通过后完成项目交付，整个实施工程严格控制在</w:t>
      </w:r>
      <w:r>
        <w:rPr>
          <w:rStyle w:val="lb"/>
          <w:rFonts w:ascii="Segoe UI" w:hAnsi="Segoe UI" w:cs="Segoe UI"/>
          <w:color w:val="1F2329"/>
          <w:shd w:val="clear" w:color="auto" w:fill="EFF0F1"/>
        </w:rPr>
        <w:t>30</w:t>
      </w:r>
      <w:r>
        <w:rPr>
          <w:rStyle w:val="lb"/>
          <w:rFonts w:ascii="Segoe UI" w:hAnsi="Segoe UI" w:cs="Segoe UI"/>
          <w:color w:val="1F2329"/>
          <w:shd w:val="clear" w:color="auto" w:fill="EFF0F1"/>
        </w:rPr>
        <w:t>天内。</w:t>
      </w:r>
    </w:p>
    <w:p w14:paraId="5849A3CD" w14:textId="1C1DC4F8" w:rsidR="00EA2CFE" w:rsidRDefault="00EA2CFE" w:rsidP="00EA2CFE">
      <w:pPr>
        <w:ind w:firstLine="420"/>
        <w:rPr>
          <w:rStyle w:val="lb"/>
          <w:rFonts w:ascii="Segoe UI" w:hAnsi="Segoe UI" w:cs="Segoe UI"/>
          <w:color w:val="1F2329"/>
          <w:shd w:val="clear" w:color="auto" w:fill="EFF0F1"/>
        </w:rPr>
      </w:pPr>
    </w:p>
    <w:p w14:paraId="3D1A1B3C" w14:textId="77777777" w:rsidR="00EA2CFE" w:rsidRPr="00EA2CFE" w:rsidRDefault="00EA2CFE" w:rsidP="00EA2CFE">
      <w:pPr>
        <w:ind w:firstLine="420"/>
        <w:rPr>
          <w:rFonts w:hint="eastAsia"/>
        </w:rPr>
      </w:pPr>
    </w:p>
    <w:p w14:paraId="3E73F544" w14:textId="4C475905" w:rsidR="00BE572F" w:rsidRDefault="00BE572F" w:rsidP="00BE572F">
      <w:pPr>
        <w:pStyle w:val="3"/>
        <w:rPr>
          <w:rFonts w:hint="eastAsia"/>
        </w:rPr>
      </w:pPr>
      <w:r>
        <w:tab/>
        <w:t>链路运行</w:t>
      </w:r>
      <w:r w:rsidR="006C6F6D" w:rsidRPr="006C6F6D">
        <w:t>招标文件要求</w:t>
      </w:r>
      <w:r>
        <w:tab/>
      </w:r>
    </w:p>
    <w:p w14:paraId="0ECF748D" w14:textId="6B4CF74A" w:rsidR="00A31C8F" w:rsidRPr="00A31C8F" w:rsidRDefault="006C6F6D" w:rsidP="006C6F6D">
      <w:pPr>
        <w:rPr>
          <w:rFonts w:hint="eastAsia"/>
        </w:rPr>
      </w:pPr>
      <w:r w:rsidRPr="006C6F6D">
        <w:rPr>
          <w:rFonts w:hint="eastAsia"/>
          <w:b/>
        </w:rPr>
        <w:t>招标文件要求</w:t>
      </w:r>
    </w:p>
    <w:p w14:paraId="5E416BBF" w14:textId="77777777" w:rsidR="00A31C8F" w:rsidRPr="00A31C8F" w:rsidRDefault="00A31C8F" w:rsidP="00A31C8F">
      <w:pPr>
        <w:rPr>
          <w:rFonts w:hint="eastAsia"/>
        </w:rPr>
      </w:pPr>
    </w:p>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2EB42981"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6C6F6668" w14:textId="5C0CE0E6"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链路运行</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08B8A590"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按照链路需求中提到的内容，由供应商提供各区域间的云专线资源，并需明确说明提供的专线资源性质。</w:t>
            </w:r>
          </w:p>
        </w:tc>
      </w:tr>
      <w:tr w:rsidR="00EA2CFE" w:rsidRPr="00880FE9" w14:paraId="31BE3E2F"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50A90970"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7FDBE3C7" w14:textId="6C8B8D4C"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由供应商负责进行链路需求中数据中心内的专线资源，接入、安装、调试、开通、协调等工作，并</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30</w:t>
            </w:r>
            <w:r w:rsidRPr="00880FE9">
              <w:rPr>
                <w:rFonts w:ascii="Arial" w:eastAsia="等线" w:hAnsi="Arial" w:cs="Arial"/>
                <w:color w:val="000000"/>
                <w:sz w:val="24"/>
              </w:rPr>
              <w:t>天内完成专线链路的开通工作。</w:t>
            </w:r>
          </w:p>
        </w:tc>
      </w:tr>
      <w:tr w:rsidR="00EA2CFE" w:rsidRPr="00880FE9" w14:paraId="0DF99477"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6A645256"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25B78F1A" w14:textId="3F92FEB2"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提供的专线资源应具有</w:t>
            </w:r>
            <w:r w:rsidRPr="00880FE9">
              <w:rPr>
                <w:rFonts w:ascii="Arial" w:eastAsia="等线" w:hAnsi="Arial" w:cs="Arial"/>
                <w:color w:val="000000"/>
                <w:sz w:val="24"/>
              </w:rPr>
              <w:t>7*24</w:t>
            </w:r>
            <w:r w:rsidRPr="00880FE9">
              <w:rPr>
                <w:rFonts w:ascii="Arial" w:eastAsia="等线" w:hAnsi="Arial" w:cs="Arial"/>
                <w:color w:val="000000"/>
                <w:sz w:val="24"/>
              </w:rPr>
              <w:t>的主动网管监测功能</w:t>
            </w:r>
          </w:p>
        </w:tc>
      </w:tr>
    </w:tbl>
    <w:p w14:paraId="3101BAE9" w14:textId="2A6C48A0" w:rsidR="00A31C8F" w:rsidRDefault="00A31C8F" w:rsidP="00EA2CFE">
      <w:pPr>
        <w:rPr>
          <w:rFonts w:hint="eastAsia"/>
        </w:rPr>
      </w:pPr>
    </w:p>
    <w:p w14:paraId="5E5469D6" w14:textId="57B93A23" w:rsidR="00F94661" w:rsidRDefault="006C6F6D" w:rsidP="006C6F6D">
      <w:pPr>
        <w:rPr>
          <w:rFonts w:hint="eastAsia"/>
        </w:rPr>
      </w:pPr>
      <w:r w:rsidRPr="006C6F6D">
        <w:rPr>
          <w:rFonts w:hint="eastAsia"/>
          <w:b/>
        </w:rPr>
        <w:t>应答：满足</w:t>
      </w:r>
    </w:p>
    <w:p w14:paraId="172ADCA6" w14:textId="77777777" w:rsidR="00A31C8F" w:rsidRPr="00F94661" w:rsidRDefault="00A31C8F" w:rsidP="00EA2CFE">
      <w:pPr>
        <w:rPr>
          <w:rFonts w:hint="eastAsia"/>
        </w:rPr>
      </w:pPr>
    </w:p>
    <w:p w14:paraId="177A192C" w14:textId="09BF0A87" w:rsidR="00EA2CFE" w:rsidRPr="00EA2CFE" w:rsidRDefault="00EA2CFE" w:rsidP="00EA2CFE">
      <w:pPr>
        <w:ind w:firstLine="420"/>
        <w:rPr>
          <w:rFonts w:hint="eastAsia"/>
        </w:rPr>
      </w:pPr>
      <w:r w:rsidRPr="00EA2CFE">
        <w:rPr>
          <w:rFonts w:hint="eastAsia"/>
        </w:rPr>
        <w:t>我司提供的云专线资源为华为云智能云专线（</w:t>
      </w:r>
      <w:r w:rsidRPr="00EA2CFE">
        <w:t>DC），采用MPLSVPN技术，具备高可靠性与低延迟特性，支持动态带宽调整与流量优化。专线资源性质为物理隔离的专用通道，确保数据传输安全性与稳定性。在数据中心内，我司技术团队将负责专线接入设备（如华为</w:t>
      </w:r>
      <w:proofErr w:type="spellStart"/>
      <w:r w:rsidRPr="00EA2CFE">
        <w:t>NetEngine</w:t>
      </w:r>
      <w:proofErr w:type="spellEnd"/>
      <w:r w:rsidRPr="00EA2CFE">
        <w:t>路由器、专线网关）的安装、调试与开通工作，从设备上架、线缆连接到配置部署，全程遵循华为云标准操作流程，并协调各方资源解决实施过程中的问题，确保30天内完成专线链路开通。同时，依托华为云智能运维平台（AOM），为专线提供7×24小时主动网</w:t>
      </w:r>
      <w:r w:rsidRPr="00EA2CFE">
        <w:rPr>
          <w:rFonts w:hint="eastAsia"/>
        </w:rPr>
        <w:t>管监测功能，实时监控链路状态、流量负载、设备健康度等指标，一旦出现异常立即触发告警并启动故障处理流程。</w:t>
      </w:r>
    </w:p>
    <w:p w14:paraId="019509AC" w14:textId="054DAA59" w:rsidR="00BE572F" w:rsidRDefault="00BE572F" w:rsidP="00BE572F">
      <w:pPr>
        <w:pStyle w:val="3"/>
        <w:rPr>
          <w:rFonts w:hint="eastAsia"/>
        </w:rPr>
      </w:pPr>
      <w:r>
        <w:tab/>
        <w:t>链路质量</w:t>
      </w:r>
      <w:r w:rsidR="006C6F6D" w:rsidRPr="006C6F6D">
        <w:t>招标文件要求</w:t>
      </w:r>
      <w:r>
        <w:t>（技术上都满足，请直接盖章）</w:t>
      </w:r>
      <w:r>
        <w:tab/>
      </w:r>
    </w:p>
    <w:p w14:paraId="4462C0E7" w14:textId="279EB3EF" w:rsidR="00A31C8F" w:rsidRPr="00A31C8F" w:rsidRDefault="006C6F6D" w:rsidP="006C6F6D">
      <w:pPr>
        <w:rPr>
          <w:rFonts w:hint="eastAsia"/>
        </w:rPr>
      </w:pPr>
      <w:r w:rsidRPr="006C6F6D">
        <w:rPr>
          <w:rFonts w:hint="eastAsia"/>
          <w:b/>
        </w:rPr>
        <w:t>招标文件要求</w:t>
      </w:r>
    </w:p>
    <w:p w14:paraId="13411F84" w14:textId="77777777" w:rsidR="00A31C8F" w:rsidRPr="00A31C8F" w:rsidRDefault="00A31C8F" w:rsidP="00A31C8F">
      <w:pPr>
        <w:rPr>
          <w:rFonts w:hint="eastAsia"/>
        </w:rPr>
      </w:pPr>
    </w:p>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29550187"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149A2938" w14:textId="043CA1B0"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链路质量</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792C08A8"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网络可用性不低于</w:t>
            </w:r>
            <w:r w:rsidRPr="00880FE9">
              <w:rPr>
                <w:rFonts w:ascii="Arial" w:eastAsia="等线" w:hAnsi="Arial" w:cs="Arial"/>
                <w:color w:val="000000"/>
                <w:sz w:val="24"/>
              </w:rPr>
              <w:t>99.9%</w:t>
            </w:r>
            <w:r w:rsidRPr="00880FE9">
              <w:rPr>
                <w:rFonts w:ascii="Arial" w:eastAsia="等线" w:hAnsi="Arial" w:cs="Arial"/>
                <w:color w:val="000000"/>
                <w:sz w:val="24"/>
              </w:rPr>
              <w:t>，并需要供应商在投标文件中提供盖公章的证明文件</w:t>
            </w:r>
          </w:p>
        </w:tc>
      </w:tr>
      <w:tr w:rsidR="00EA2CFE" w:rsidRPr="00880FE9" w14:paraId="0A7B2073"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D28727B"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3BCBBBD"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网络抖动不高于</w:t>
            </w:r>
            <w:r w:rsidRPr="00880FE9">
              <w:rPr>
                <w:rFonts w:ascii="Arial" w:eastAsia="等线" w:hAnsi="Arial" w:cs="Arial"/>
                <w:color w:val="000000"/>
                <w:sz w:val="24"/>
              </w:rPr>
              <w:t>10ms</w:t>
            </w:r>
            <w:r w:rsidRPr="00880FE9">
              <w:rPr>
                <w:rFonts w:ascii="Arial" w:eastAsia="等线" w:hAnsi="Arial" w:cs="Arial"/>
                <w:color w:val="000000"/>
                <w:sz w:val="24"/>
              </w:rPr>
              <w:t>，并需要供应商在投标文件中提供盖公章的证明文件</w:t>
            </w:r>
          </w:p>
        </w:tc>
      </w:tr>
      <w:tr w:rsidR="00EA2CFE" w:rsidRPr="00880FE9" w14:paraId="3C3D727C"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09886A3"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6671F128"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丢包率：链路数据丢包率不高于</w:t>
            </w:r>
            <w:r w:rsidRPr="00880FE9">
              <w:rPr>
                <w:rFonts w:ascii="Arial" w:eastAsia="等线" w:hAnsi="Arial" w:cs="Arial"/>
                <w:color w:val="000000"/>
                <w:sz w:val="24"/>
              </w:rPr>
              <w:t>0.5%</w:t>
            </w:r>
            <w:r w:rsidRPr="00880FE9">
              <w:rPr>
                <w:rFonts w:ascii="Arial" w:eastAsia="等线" w:hAnsi="Arial" w:cs="Arial"/>
                <w:color w:val="000000"/>
                <w:sz w:val="24"/>
              </w:rPr>
              <w:t>，并需要供应商在投标文件中提供盖公章的证明文件</w:t>
            </w:r>
          </w:p>
        </w:tc>
      </w:tr>
      <w:tr w:rsidR="00EA2CFE" w:rsidRPr="00880FE9" w14:paraId="3D0A41F1"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1C5DC88E"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4E3AA54" w14:textId="0103831C"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POP-to-POPMTTR</w:t>
            </w:r>
            <w:r w:rsidRPr="00880FE9">
              <w:rPr>
                <w:rFonts w:ascii="Arial" w:eastAsia="等线" w:hAnsi="Arial" w:cs="Arial"/>
                <w:color w:val="000000"/>
                <w:sz w:val="24"/>
              </w:rPr>
              <w:t>（平均恢复时间）小于</w:t>
            </w:r>
            <w:r w:rsidRPr="00880FE9">
              <w:rPr>
                <w:rFonts w:ascii="Arial" w:eastAsia="等线" w:hAnsi="Arial" w:cs="Arial"/>
                <w:color w:val="000000"/>
                <w:sz w:val="24"/>
              </w:rPr>
              <w:t>8</w:t>
            </w:r>
            <w:r w:rsidRPr="00880FE9">
              <w:rPr>
                <w:rFonts w:ascii="Arial" w:eastAsia="等线" w:hAnsi="Arial" w:cs="Arial"/>
                <w:color w:val="000000"/>
                <w:sz w:val="24"/>
              </w:rPr>
              <w:t>小时，并需要供应商在投标文件中提供盖公章的证明文件</w:t>
            </w:r>
          </w:p>
        </w:tc>
      </w:tr>
      <w:tr w:rsidR="00EA2CFE" w:rsidRPr="00880FE9" w14:paraId="71B9798D"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4D9083D5" w14:textId="77777777" w:rsidR="00EA2CFE" w:rsidRPr="00880FE9" w:rsidRDefault="00EA2CFE" w:rsidP="008A39BD">
            <w:pPr>
              <w:rPr>
                <w:rFonts w:eastAsia="等线" w:hint="eastAsia"/>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3C1E4E95"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Pr>
                <w:rFonts w:ascii="Arial" w:eastAsia="等线" w:hAnsi="Arial" w:cs="Arial" w:hint="eastAsia"/>
                <w:color w:val="000000"/>
                <w:sz w:val="24"/>
              </w:rPr>
              <w:t>延迟</w:t>
            </w:r>
            <w:r w:rsidRPr="00880FE9">
              <w:rPr>
                <w:rFonts w:ascii="Arial" w:eastAsia="等线" w:hAnsi="Arial" w:cs="Arial"/>
                <w:color w:val="000000"/>
                <w:sz w:val="24"/>
              </w:rPr>
              <w:t>：各区域之间链路</w:t>
            </w:r>
            <w:r>
              <w:rPr>
                <w:rFonts w:ascii="Arial" w:eastAsia="等线" w:hAnsi="Arial" w:cs="Arial" w:hint="eastAsia"/>
                <w:color w:val="000000"/>
                <w:sz w:val="24"/>
              </w:rPr>
              <w:t>延迟</w:t>
            </w:r>
            <w:r w:rsidRPr="00880FE9">
              <w:rPr>
                <w:rFonts w:ascii="Arial" w:eastAsia="等线" w:hAnsi="Arial" w:cs="Arial"/>
                <w:color w:val="000000"/>
                <w:sz w:val="24"/>
              </w:rPr>
              <w:t>不高于</w:t>
            </w:r>
            <w:r w:rsidRPr="00880FE9">
              <w:rPr>
                <w:rFonts w:ascii="Arial" w:eastAsia="等线" w:hAnsi="Arial" w:cs="Arial"/>
                <w:color w:val="000000"/>
                <w:sz w:val="24"/>
              </w:rPr>
              <w:t>50ms</w:t>
            </w:r>
            <w:r w:rsidRPr="00880FE9">
              <w:rPr>
                <w:rFonts w:ascii="Arial" w:eastAsia="等线" w:hAnsi="Arial" w:cs="Arial"/>
                <w:color w:val="000000"/>
                <w:sz w:val="24"/>
              </w:rPr>
              <w:t>，并需要供应商在投标文件中提供盖公章的证明文件</w:t>
            </w:r>
          </w:p>
        </w:tc>
      </w:tr>
    </w:tbl>
    <w:p w14:paraId="3FEB9654" w14:textId="4BF2F074" w:rsidR="00A31C8F" w:rsidRDefault="00A31C8F" w:rsidP="00EA2CFE">
      <w:pPr>
        <w:rPr>
          <w:rFonts w:hint="eastAsia"/>
        </w:rPr>
      </w:pPr>
    </w:p>
    <w:p w14:paraId="68B7A087" w14:textId="05D32348"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1FF671C" w14:textId="77777777" w:rsidR="00A31C8F" w:rsidRPr="00F94661" w:rsidRDefault="00A31C8F" w:rsidP="00EA2CFE">
      <w:pPr>
        <w:rPr>
          <w:rFonts w:hint="eastAsia"/>
        </w:rPr>
      </w:pPr>
    </w:p>
    <w:p w14:paraId="7C430A86" w14:textId="48298CBC" w:rsidR="00EA2CFE" w:rsidRPr="00EA2CFE" w:rsidRDefault="00EA2CFE" w:rsidP="00EA2CFE">
      <w:pPr>
        <w:ind w:firstLine="420"/>
        <w:rPr>
          <w:rFonts w:hint="eastAsia"/>
        </w:rPr>
      </w:pPr>
      <w:r w:rsidRPr="00EA2CFE">
        <w:rPr>
          <w:rFonts w:hint="eastAsia"/>
        </w:rPr>
        <w:t>我司承诺</w:t>
      </w:r>
      <w:r w:rsidRPr="00EA2CFE">
        <w:t>POP-to-POP网络可用性不低于99.9%，通过主备专线冗余架构、智能流量切换技术及华为云高可靠网络设备保障；网络抖动不高于10ms，利用专线低延迟特性与SD-WAN流量优化策略实现；丢包率不高于0.5%，结合QoS（服务质量）策略与数据重传机制确保数据完整性；MTTR（平均恢复时间）小于8小时，借助智能告警系统与快速响应的技术支持团队，实现故障快速定位与修复；各区域之间链路延迟不高于50ms，依托华为云优质网络节点布局与专线优化方案达成。在投标文件中，我司将提供加盖公章的</w:t>
      </w:r>
      <w:r w:rsidRPr="00EA2CFE">
        <w:rPr>
          <w:rFonts w:hint="eastAsia"/>
        </w:rPr>
        <w:t>证明文件，包括华为云网络服务</w:t>
      </w:r>
      <w:r w:rsidRPr="00EA2CFE">
        <w:t>SLA（服务等级协议）承诺、第三方权威机构测试报告、历史运维数据统计等，以充分证明链路质量达标。</w:t>
      </w:r>
      <w:r w:rsidRPr="00EA2CFE">
        <w:rPr>
          <w:rFonts w:ascii="MS Gothic" w:eastAsia="MS Gothic" w:hAnsi="MS Gothic" w:cs="MS Gothic" w:hint="eastAsia"/>
        </w:rPr>
        <w:t>​</w:t>
      </w:r>
    </w:p>
    <w:p w14:paraId="4DA0C867" w14:textId="3880EEF5" w:rsidR="00BE572F" w:rsidRDefault="00BE572F" w:rsidP="00BE572F">
      <w:pPr>
        <w:pStyle w:val="2"/>
        <w:rPr>
          <w:rFonts w:hint="eastAsia"/>
        </w:rPr>
      </w:pPr>
      <w:r>
        <w:tab/>
        <w:t>服务水平SLA标准</w:t>
      </w:r>
      <w:r>
        <w:tab/>
      </w:r>
    </w:p>
    <w:p w14:paraId="73324429" w14:textId="7C10933C" w:rsidR="00F94661" w:rsidRPr="00A31C8F" w:rsidRDefault="006C6F6D" w:rsidP="006C6F6D">
      <w:pPr>
        <w:rPr>
          <w:rFonts w:hint="eastAsia"/>
        </w:rPr>
      </w:pPr>
      <w:r w:rsidRPr="006C6F6D">
        <w:rPr>
          <w:rFonts w:hint="eastAsia"/>
          <w:b/>
        </w:rPr>
        <w:t>招标文件要求</w:t>
      </w:r>
    </w:p>
    <w:p w14:paraId="455BF0D0" w14:textId="77777777" w:rsidR="00F94661" w:rsidRPr="00F94661" w:rsidRDefault="00F94661" w:rsidP="00F94661">
      <w:pPr>
        <w:rPr>
          <w:rFonts w:hint="eastAsia"/>
        </w:rPr>
      </w:pPr>
    </w:p>
    <w:p w14:paraId="1FE28D49" w14:textId="7EA43391"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供应商应保障用户在使用专线链路进行传输过程中信息和数据的安全、稳定和快捷。</w:t>
      </w:r>
    </w:p>
    <w:p w14:paraId="263E6A14" w14:textId="43783BC9" w:rsidR="00F94661" w:rsidRDefault="00F94661" w:rsidP="001E2AA0">
      <w:pPr>
        <w:widowControl/>
        <w:rPr>
          <w:rFonts w:ascii="Arial" w:eastAsia="等线" w:hAnsi="Arial" w:cs="Arial"/>
          <w:sz w:val="24"/>
        </w:rPr>
      </w:pPr>
    </w:p>
    <w:p w14:paraId="564D06FB" w14:textId="7DD393CC"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69A6289" w14:textId="77777777" w:rsidR="00F94661" w:rsidRDefault="00F94661" w:rsidP="001E2AA0">
      <w:pPr>
        <w:widowControl/>
        <w:rPr>
          <w:rFonts w:ascii="Arial" w:eastAsia="等线" w:hAnsi="Arial" w:cs="Arial"/>
          <w:sz w:val="24"/>
        </w:rPr>
      </w:pPr>
    </w:p>
    <w:p w14:paraId="6BD6BE0C" w14:textId="0B0C8350" w:rsidR="001E2AA0" w:rsidRDefault="001E2AA0" w:rsidP="001E2AA0">
      <w:pPr>
        <w:ind w:firstLine="420"/>
        <w:rPr>
          <w:rFonts w:hint="eastAsia"/>
        </w:rPr>
      </w:pPr>
      <w:r w:rsidRPr="001E2AA0">
        <w:t>我司将采用华为云全方位安全防护体系保障专线链路传输安全。在数据传输层面，使用IPSec加密技术对专线数据进行端到端加密，防止数据泄露与篡改；在网络边界部署华为云Web应用防火墙（WAF）、DDoS高防服务，抵御网络攻击；通过华为云VPC网络隔离技术，实现不同业务流量的逻辑隔离，保障数据传输稳定。同时，结合华为云态势感知平台，实时监测网络异常行为，通过智能分析及时阻断威胁，确保信息传输快捷、安全，为</w:t>
      </w:r>
      <w:proofErr w:type="spellStart"/>
      <w:r w:rsidRPr="001E2AA0">
        <w:t>Ameco</w:t>
      </w:r>
      <w:proofErr w:type="spellEnd"/>
      <w:r w:rsidRPr="001E2AA0">
        <w:t>业务运行筑牢安全防线。</w:t>
      </w:r>
    </w:p>
    <w:p w14:paraId="2E9F04FB" w14:textId="258ED020" w:rsidR="00F94661" w:rsidRDefault="00F94661" w:rsidP="001E2AA0">
      <w:pPr>
        <w:ind w:firstLine="420"/>
        <w:rPr>
          <w:rFonts w:hint="eastAsia"/>
        </w:rPr>
      </w:pPr>
    </w:p>
    <w:p w14:paraId="294A03D7" w14:textId="07CCE83D" w:rsidR="00F94661" w:rsidRPr="00A31C8F" w:rsidRDefault="006C6F6D" w:rsidP="006C6F6D">
      <w:pPr>
        <w:rPr>
          <w:rFonts w:hint="eastAsia"/>
        </w:rPr>
      </w:pPr>
      <w:r w:rsidRPr="006C6F6D">
        <w:rPr>
          <w:rFonts w:hint="eastAsia"/>
          <w:b/>
        </w:rPr>
        <w:t>招标文件要求</w:t>
      </w:r>
    </w:p>
    <w:p w14:paraId="72D32547" w14:textId="77777777" w:rsidR="00F94661" w:rsidRPr="001E2AA0" w:rsidRDefault="00F94661" w:rsidP="001E2AA0">
      <w:pPr>
        <w:ind w:firstLine="420"/>
        <w:rPr>
          <w:rFonts w:hint="eastAsia"/>
        </w:rPr>
      </w:pPr>
    </w:p>
    <w:p w14:paraId="5152D9D9" w14:textId="521B173C"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lastRenderedPageBreak/>
        <w:t>供应商应提供全国</w:t>
      </w:r>
      <w:r w:rsidRPr="00880FE9">
        <w:rPr>
          <w:rFonts w:ascii="Arial" w:eastAsia="等线" w:hAnsi="Arial" w:cs="Arial"/>
          <w:sz w:val="24"/>
        </w:rPr>
        <w:t>7*24*30</w:t>
      </w:r>
      <w:r w:rsidRPr="00880FE9">
        <w:rPr>
          <w:rFonts w:ascii="Arial" w:eastAsia="等线" w:hAnsi="Arial" w:cs="Arial"/>
          <w:sz w:val="24"/>
        </w:rPr>
        <w:t>分钟响应的运维服务，并提供全国统一的服务热线电话，并保证用户可以通过拨打服务热线实现网络配置操作、故障和投诉处理等工作，需要供应商在投标文件中提供盖公章的相关证明文件。</w:t>
      </w:r>
    </w:p>
    <w:p w14:paraId="3D7E1640" w14:textId="77777777" w:rsidR="007671BD" w:rsidRDefault="007671BD" w:rsidP="007671BD">
      <w:pPr>
        <w:autoSpaceDE w:val="0"/>
        <w:autoSpaceDN w:val="0"/>
        <w:adjustRightInd w:val="0"/>
        <w:spacing w:line="360" w:lineRule="exact"/>
        <w:jc w:val="left"/>
        <w:rPr>
          <w:rFonts w:ascii="Arial" w:eastAsia="等线" w:hAnsi="Arial" w:cs="Arial"/>
          <w:sz w:val="24"/>
        </w:rPr>
      </w:pPr>
    </w:p>
    <w:p w14:paraId="530C67B9" w14:textId="1F1B6E58" w:rsidR="00F94661" w:rsidRP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4572E4A" w14:textId="3176E135" w:rsidR="001E2AA0" w:rsidRDefault="001E2AA0" w:rsidP="001E2AA0">
      <w:pPr>
        <w:widowControl/>
        <w:rPr>
          <w:rFonts w:ascii="Arial" w:eastAsia="等线" w:hAnsi="Arial" w:cs="Arial"/>
          <w:sz w:val="24"/>
        </w:rPr>
      </w:pPr>
    </w:p>
    <w:p w14:paraId="38AA743D" w14:textId="13CE1130" w:rsidR="001E2AA0" w:rsidRDefault="001E2AA0" w:rsidP="001E2AA0">
      <w:pPr>
        <w:ind w:firstLine="420"/>
        <w:rPr>
          <w:rFonts w:hint="eastAsia"/>
        </w:rPr>
      </w:pPr>
      <w:r w:rsidRPr="001E2AA0">
        <w:t>我司设立400</w:t>
      </w:r>
      <w:r>
        <w:rPr>
          <w:rFonts w:hint="eastAsia"/>
        </w:rPr>
        <w:t>-</w:t>
      </w:r>
      <w:r w:rsidRPr="001E2AA0">
        <w:t>全国统一服务热线，由专业技术团队提供7×24小时不间断服务，承诺用户来电后30分钟内响应。针对网络配置操作，提供远程指导或协助登录华为云控制台完成配置；故障处理方面，快速定位问题并启动应急预案，通过华为云智能运维工具实时监控故障修复进度；投诉处理则建立闭环流程，确保用户反馈得到及时、妥善解决。在投标文件中，将附上华为云服务资质证明、运维团队架构及服务流程文档，并加盖公章，证明服务承诺的可行性与可靠性。</w:t>
      </w:r>
    </w:p>
    <w:p w14:paraId="4DA18424" w14:textId="48573F6E" w:rsidR="00F94661" w:rsidRDefault="00F94661" w:rsidP="001E2AA0">
      <w:pPr>
        <w:ind w:firstLine="420"/>
        <w:rPr>
          <w:rFonts w:hint="eastAsia"/>
        </w:rPr>
      </w:pPr>
    </w:p>
    <w:p w14:paraId="07271A21" w14:textId="2CE6BBE2" w:rsidR="00F94661" w:rsidRPr="00A31C8F" w:rsidRDefault="006C6F6D" w:rsidP="006C6F6D">
      <w:pPr>
        <w:rPr>
          <w:rFonts w:hint="eastAsia"/>
        </w:rPr>
      </w:pPr>
      <w:r w:rsidRPr="006C6F6D">
        <w:rPr>
          <w:rFonts w:hint="eastAsia"/>
          <w:b/>
        </w:rPr>
        <w:t>招标文件要求</w:t>
      </w:r>
    </w:p>
    <w:p w14:paraId="56293D72" w14:textId="77777777" w:rsidR="00F94661" w:rsidRPr="001E2AA0" w:rsidRDefault="00F94661" w:rsidP="001E2AA0">
      <w:pPr>
        <w:ind w:firstLine="420"/>
        <w:rPr>
          <w:rFonts w:hint="eastAsia"/>
        </w:rPr>
      </w:pPr>
    </w:p>
    <w:p w14:paraId="727C39BD" w14:textId="04F1AD39"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供应商应负责对用户使用的专线链路进行</w:t>
      </w:r>
      <w:r w:rsidRPr="00880FE9">
        <w:rPr>
          <w:rFonts w:ascii="Arial" w:eastAsia="等线" w:hAnsi="Arial" w:cs="Arial"/>
          <w:sz w:val="24"/>
        </w:rPr>
        <w:t>24</w:t>
      </w:r>
      <w:r w:rsidRPr="00880FE9">
        <w:rPr>
          <w:rFonts w:ascii="Arial" w:eastAsia="等线" w:hAnsi="Arial" w:cs="Arial"/>
          <w:sz w:val="24"/>
        </w:rPr>
        <w:t>小时监控，当发现线路故障时，应及时通知用户相关负责人，并实时更新和汇报故障处理的进度。</w:t>
      </w:r>
    </w:p>
    <w:p w14:paraId="468F0D5E" w14:textId="6F5C6C1E" w:rsidR="001E2AA0" w:rsidRDefault="001E2AA0" w:rsidP="001E2AA0">
      <w:pPr>
        <w:widowControl/>
        <w:rPr>
          <w:rFonts w:ascii="Arial" w:eastAsia="等线" w:hAnsi="Arial" w:cs="Arial"/>
          <w:sz w:val="24"/>
        </w:rPr>
      </w:pPr>
    </w:p>
    <w:p w14:paraId="4750B4AD" w14:textId="0BE805B7"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7ACB2B5" w14:textId="77777777" w:rsidR="00F94661" w:rsidRDefault="00F94661" w:rsidP="001E2AA0">
      <w:pPr>
        <w:widowControl/>
        <w:rPr>
          <w:rFonts w:ascii="Arial" w:eastAsia="等线" w:hAnsi="Arial" w:cs="Arial"/>
          <w:sz w:val="24"/>
        </w:rPr>
      </w:pPr>
    </w:p>
    <w:p w14:paraId="0E90C713" w14:textId="1723DC66" w:rsidR="001E2AA0" w:rsidRDefault="001E2AA0" w:rsidP="001E2AA0">
      <w:pPr>
        <w:ind w:firstLine="420"/>
        <w:rPr>
          <w:rFonts w:hint="eastAsia"/>
        </w:rPr>
      </w:pPr>
      <w:r w:rsidRPr="001E2AA0">
        <w:t>依托华为云智能运维平台（AOM），对专线链路进行7×24小时全时段监控，实时采集链路带宽利用率、延迟、丢包率、设备运行状态等关键指标。一旦检测到线路故障，系统立即触发多级告警机制，10分钟内通过电话、短信等方式通知用户相关负责人，并同步在专属服务群中推送故障信息。同时，成立专项故障处理小组，通过可视化运维界面实时更新故障处理进度，每30分钟向用户汇报处理进展，直至故障完全解决，确保用户对故障处理全程知情。</w:t>
      </w:r>
    </w:p>
    <w:p w14:paraId="1B8CA8B3" w14:textId="7E309B63" w:rsidR="00F94661" w:rsidRDefault="00F94661" w:rsidP="001E2AA0">
      <w:pPr>
        <w:ind w:firstLine="420"/>
        <w:rPr>
          <w:rFonts w:hint="eastAsia"/>
        </w:rPr>
      </w:pPr>
    </w:p>
    <w:p w14:paraId="31B7D281" w14:textId="06213908" w:rsidR="00F94661" w:rsidRPr="00A31C8F" w:rsidRDefault="006C6F6D" w:rsidP="006C6F6D">
      <w:pPr>
        <w:rPr>
          <w:rFonts w:hint="eastAsia"/>
        </w:rPr>
      </w:pPr>
      <w:r w:rsidRPr="006C6F6D">
        <w:rPr>
          <w:rFonts w:hint="eastAsia"/>
          <w:b/>
        </w:rPr>
        <w:t>招标文件要求</w:t>
      </w:r>
    </w:p>
    <w:p w14:paraId="29C6264B" w14:textId="77777777" w:rsidR="00F94661" w:rsidRPr="001E2AA0" w:rsidRDefault="00F94661" w:rsidP="001E2AA0">
      <w:pPr>
        <w:ind w:firstLine="420"/>
        <w:rPr>
          <w:rFonts w:hint="eastAsia"/>
        </w:rPr>
      </w:pPr>
    </w:p>
    <w:p w14:paraId="22BFF4AF" w14:textId="55CAF98A"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供应商应按照用户</w:t>
      </w:r>
      <w:r w:rsidR="006C6F6D" w:rsidRPr="006C6F6D">
        <w:rPr>
          <w:rFonts w:ascii="Arial" w:eastAsia="等线" w:hAnsi="Arial" w:cs="Arial"/>
          <w:b/>
          <w:sz w:val="24"/>
        </w:rPr>
        <w:t>招标文件要求</w:t>
      </w:r>
      <w:r w:rsidRPr="00880FE9">
        <w:rPr>
          <w:rFonts w:ascii="Arial" w:eastAsia="等线" w:hAnsi="Arial" w:cs="Arial"/>
          <w:sz w:val="24"/>
        </w:rPr>
        <w:t>提供专线链路的月度运行、可用性、性能分析、故障恢复等报告和交付物</w:t>
      </w:r>
      <w:r w:rsidRPr="00880FE9">
        <w:rPr>
          <w:rFonts w:ascii="Arial" w:eastAsia="等线" w:hAnsi="Arial" w:cs="Arial"/>
          <w:sz w:val="24"/>
        </w:rPr>
        <w:t>,</w:t>
      </w:r>
      <w:r w:rsidRPr="00880FE9">
        <w:rPr>
          <w:rFonts w:ascii="Arial" w:eastAsia="等线" w:hAnsi="Arial" w:cs="Arial"/>
          <w:sz w:val="24"/>
        </w:rPr>
        <w:t>需要供应商在投标文件中提供盖公章的相关说明文件。</w:t>
      </w:r>
    </w:p>
    <w:p w14:paraId="00C8D22A" w14:textId="72877AA3" w:rsidR="001E2AA0" w:rsidRDefault="001E2AA0" w:rsidP="001E2AA0">
      <w:pPr>
        <w:widowControl/>
        <w:rPr>
          <w:rFonts w:ascii="Arial" w:eastAsia="等线" w:hAnsi="Arial" w:cs="Arial"/>
          <w:sz w:val="24"/>
        </w:rPr>
      </w:pPr>
    </w:p>
    <w:p w14:paraId="7BF58D64" w14:textId="4F919DC6"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278B646" w14:textId="77777777" w:rsidR="00F94661" w:rsidRDefault="00F94661" w:rsidP="001E2AA0">
      <w:pPr>
        <w:widowControl/>
        <w:rPr>
          <w:rFonts w:ascii="Arial" w:eastAsia="等线" w:hAnsi="Arial" w:cs="Arial"/>
          <w:sz w:val="24"/>
        </w:rPr>
      </w:pPr>
    </w:p>
    <w:p w14:paraId="2B7A3434" w14:textId="4429D691" w:rsidR="001E2AA0" w:rsidRDefault="001E2AA0" w:rsidP="001E2AA0">
      <w:pPr>
        <w:ind w:firstLine="420"/>
        <w:rPr>
          <w:rFonts w:hint="eastAsia"/>
        </w:rPr>
      </w:pPr>
      <w:r w:rsidRPr="001E2AA0">
        <w:t>我司将每月5日前向</w:t>
      </w:r>
      <w:proofErr w:type="spellStart"/>
      <w:r w:rsidRPr="001E2AA0">
        <w:t>Ameco</w:t>
      </w:r>
      <w:proofErr w:type="spellEnd"/>
      <w:r w:rsidRPr="001E2AA0">
        <w:t>提供专线链路运行报告，内容涵盖可用性统计、性能分析（带宽、延迟、抖动等指标）、故障恢复记录及优化建议。报告基于华为云运维数据平台生成，确保数据真实、准确，并采用可视化图表直观呈现链路运行状态。此外，针对特殊需求，可按需提供定</w:t>
      </w:r>
      <w:r w:rsidRPr="001E2AA0">
        <w:lastRenderedPageBreak/>
        <w:t>制化分析报告。在投标文件中，将附上报告模板示例、数据来源说明及交付承诺文件，加盖公章，明确服务交付标准与责任。</w:t>
      </w:r>
    </w:p>
    <w:p w14:paraId="5998648D" w14:textId="46566A69" w:rsidR="00F94661" w:rsidRDefault="00F94661" w:rsidP="001E2AA0">
      <w:pPr>
        <w:ind w:firstLine="420"/>
        <w:rPr>
          <w:rFonts w:hint="eastAsia"/>
        </w:rPr>
      </w:pPr>
    </w:p>
    <w:p w14:paraId="4F4C6A87" w14:textId="41154D3C" w:rsidR="00F94661" w:rsidRPr="00A31C8F" w:rsidRDefault="006C6F6D" w:rsidP="006C6F6D">
      <w:pPr>
        <w:rPr>
          <w:rFonts w:hint="eastAsia"/>
        </w:rPr>
      </w:pPr>
      <w:r w:rsidRPr="006C6F6D">
        <w:rPr>
          <w:rFonts w:hint="eastAsia"/>
          <w:b/>
        </w:rPr>
        <w:t>招标文件要求</w:t>
      </w:r>
    </w:p>
    <w:p w14:paraId="7C3D1B47" w14:textId="77777777" w:rsidR="00F94661" w:rsidRPr="001E2AA0" w:rsidRDefault="00F94661" w:rsidP="001E2AA0">
      <w:pPr>
        <w:ind w:firstLine="420"/>
        <w:rPr>
          <w:rFonts w:hint="eastAsia"/>
        </w:rPr>
      </w:pPr>
    </w:p>
    <w:p w14:paraId="391A9C24" w14:textId="74C203B5"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供应商应保障用户使用专线链路的可用率达到</w:t>
      </w:r>
      <w:r w:rsidRPr="00880FE9">
        <w:rPr>
          <w:rFonts w:ascii="Arial" w:eastAsia="等线" w:hAnsi="Arial" w:cs="Arial"/>
          <w:sz w:val="24"/>
        </w:rPr>
        <w:t>99.9%</w:t>
      </w:r>
      <w:r w:rsidRPr="00880FE9">
        <w:rPr>
          <w:rFonts w:ascii="Arial" w:eastAsia="等线" w:hAnsi="Arial" w:cs="Arial"/>
          <w:sz w:val="24"/>
        </w:rPr>
        <w:t>，并</w:t>
      </w:r>
      <w:r w:rsidR="006C6F6D" w:rsidRPr="006C6F6D">
        <w:rPr>
          <w:rFonts w:ascii="Arial" w:eastAsia="等线" w:hAnsi="Arial" w:cs="Arial"/>
          <w:b/>
          <w:sz w:val="24"/>
        </w:rPr>
        <w:t>招标文件要求</w:t>
      </w:r>
      <w:r w:rsidRPr="00880FE9">
        <w:rPr>
          <w:rFonts w:ascii="Arial" w:eastAsia="等线" w:hAnsi="Arial" w:cs="Arial"/>
          <w:sz w:val="24"/>
        </w:rPr>
        <w:t>出现故障后</w:t>
      </w:r>
      <w:r w:rsidRPr="00880FE9">
        <w:rPr>
          <w:rFonts w:ascii="Arial" w:eastAsia="等线" w:hAnsi="Arial" w:cs="Arial"/>
          <w:sz w:val="24"/>
        </w:rPr>
        <w:t>30</w:t>
      </w:r>
      <w:r w:rsidRPr="00880FE9">
        <w:rPr>
          <w:rFonts w:ascii="Arial" w:eastAsia="等线" w:hAnsi="Arial" w:cs="Arial"/>
          <w:sz w:val="24"/>
        </w:rPr>
        <w:t>分钟内响应，</w:t>
      </w:r>
      <w:r w:rsidRPr="00880FE9">
        <w:rPr>
          <w:rFonts w:ascii="Arial" w:eastAsia="等线" w:hAnsi="Arial" w:cs="Arial"/>
          <w:sz w:val="24"/>
        </w:rPr>
        <w:t>8</w:t>
      </w:r>
      <w:r w:rsidRPr="00880FE9">
        <w:rPr>
          <w:rFonts w:ascii="Arial" w:eastAsia="等线" w:hAnsi="Arial" w:cs="Arial"/>
          <w:sz w:val="24"/>
        </w:rPr>
        <w:t>小时内解决故障，并应设置不满足的违约金赔付条款，需要供应商在投标文件中提供盖公章的相关说明文件。具体内容如下：</w:t>
      </w:r>
    </w:p>
    <w:p w14:paraId="7C4B0F20" w14:textId="5B46E63B" w:rsidR="00F94661" w:rsidRDefault="00F94661" w:rsidP="00F94661">
      <w:pPr>
        <w:widowControl/>
        <w:rPr>
          <w:rFonts w:ascii="Arial" w:eastAsia="等线" w:hAnsi="Arial" w:cs="Arial"/>
          <w:sz w:val="24"/>
        </w:rPr>
      </w:pPr>
    </w:p>
    <w:p w14:paraId="47AB871C" w14:textId="6A4C828F"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9FB45A4" w14:textId="77777777" w:rsidR="00F94661" w:rsidRPr="00F94661" w:rsidRDefault="00F94661" w:rsidP="00F94661">
      <w:pPr>
        <w:widowControl/>
        <w:rPr>
          <w:rFonts w:ascii="Arial" w:eastAsia="等线" w:hAnsi="Arial" w:cs="Arial"/>
          <w:sz w:val="24"/>
        </w:rPr>
      </w:pPr>
    </w:p>
    <w:p w14:paraId="4D633118" w14:textId="774B8E4E" w:rsidR="001E2AA0" w:rsidRPr="001E2AA0" w:rsidRDefault="001E2AA0" w:rsidP="001E2AA0">
      <w:pPr>
        <w:ind w:firstLine="420"/>
        <w:rPr>
          <w:rFonts w:hint="eastAsia"/>
        </w:rPr>
      </w:pPr>
      <w:r w:rsidRPr="001E2AA0">
        <w:t>我司承诺专线链路可用率不低于99.9%，故障响应时间控制在30分钟内，8小时内完成故障修复。为确保达成SLA标准，建立完善的故障应急机制与冗余备份方案，如主备专线自动切换、关键设备热备等。针对不同故障等级制定严格的违约金赔付条款：设备故障与链路故障按季度不可用时间阶梯赔付；故障响应超时按超出时长赔付；运维配置服务评分不足按分数段赔付；链路故障中断次数超标按次数赔付。在投标文件中，将提供加盖公章的SLA承诺函、赔付计算细则及历史运维数据证明，明确违约责任与赔偿方式。</w:t>
      </w:r>
    </w:p>
    <w:p w14:paraId="4CE4DE41" w14:textId="77777777" w:rsidR="001E2AA0" w:rsidRPr="00880FE9" w:rsidRDefault="001E2AA0" w:rsidP="001E2AA0">
      <w:pPr>
        <w:ind w:firstLine="420"/>
        <w:rPr>
          <w:rFonts w:eastAsia="等线" w:hint="eastAsia"/>
        </w:rPr>
      </w:pPr>
    </w:p>
    <w:p w14:paraId="032F40E7" w14:textId="0ECB3624" w:rsidR="001E2AA0" w:rsidRPr="00880FE9" w:rsidRDefault="001E2AA0" w:rsidP="001E2AA0">
      <w:pPr>
        <w:ind w:firstLine="420"/>
        <w:jc w:val="center"/>
        <w:rPr>
          <w:rFonts w:eastAsia="等线" w:hint="eastAsia"/>
        </w:rPr>
      </w:pPr>
      <w:r w:rsidRPr="00880FE9">
        <w:rPr>
          <w:rFonts w:eastAsia="等线"/>
        </w:rPr>
        <w:t>数据专线链路</w:t>
      </w:r>
      <w:r>
        <w:rPr>
          <w:rFonts w:eastAsia="等线" w:hint="eastAsia"/>
        </w:rPr>
        <w:t>故障</w:t>
      </w:r>
      <w:r w:rsidRPr="00880FE9">
        <w:rPr>
          <w:rFonts w:eastAsia="等线"/>
        </w:rPr>
        <w:t>响应和解决故障</w:t>
      </w:r>
      <w:r w:rsidR="006C6F6D" w:rsidRPr="006C6F6D">
        <w:rPr>
          <w:rFonts w:eastAsia="等线"/>
          <w:b/>
        </w:rPr>
        <w:t>招标文件要求</w:t>
      </w:r>
      <w:r w:rsidRPr="00880FE9">
        <w:rPr>
          <w:rFonts w:eastAsia="等线"/>
        </w:rPr>
        <w:t>SLA</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6207"/>
        <w:gridCol w:w="1636"/>
      </w:tblGrid>
      <w:tr w:rsidR="001E2AA0" w:rsidRPr="00880FE9" w14:paraId="387851AC" w14:textId="77777777" w:rsidTr="008A39BD">
        <w:trPr>
          <w:trHeight w:val="301"/>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46D996DD" w14:textId="77777777" w:rsidR="001E2AA0" w:rsidRPr="00880FE9" w:rsidRDefault="001E2AA0" w:rsidP="008A39BD">
            <w:pPr>
              <w:jc w:val="center"/>
              <w:rPr>
                <w:rFonts w:eastAsia="等线" w:hint="eastAsia"/>
              </w:rPr>
            </w:pPr>
            <w:r w:rsidRPr="00880FE9">
              <w:rPr>
                <w:rFonts w:eastAsia="等线"/>
              </w:rPr>
              <w:t>故障等级</w:t>
            </w:r>
          </w:p>
        </w:tc>
        <w:tc>
          <w:tcPr>
            <w:tcW w:w="6207" w:type="dxa"/>
            <w:tcBorders>
              <w:top w:val="single" w:sz="4" w:space="0" w:color="auto"/>
              <w:left w:val="single" w:sz="4" w:space="0" w:color="auto"/>
              <w:bottom w:val="single" w:sz="4" w:space="0" w:color="auto"/>
              <w:right w:val="single" w:sz="4" w:space="0" w:color="auto"/>
            </w:tcBorders>
            <w:vAlign w:val="center"/>
            <w:hideMark/>
          </w:tcPr>
          <w:p w14:paraId="247D77ED" w14:textId="77777777" w:rsidR="001E2AA0" w:rsidRPr="00880FE9" w:rsidRDefault="001E2AA0" w:rsidP="008A39BD">
            <w:pPr>
              <w:jc w:val="center"/>
              <w:rPr>
                <w:rFonts w:eastAsia="等线" w:hint="eastAsia"/>
              </w:rPr>
            </w:pPr>
            <w:r w:rsidRPr="00880FE9">
              <w:rPr>
                <w:rFonts w:eastAsia="等线"/>
              </w:rPr>
              <w:t>等级说明</w:t>
            </w:r>
          </w:p>
        </w:tc>
        <w:tc>
          <w:tcPr>
            <w:tcW w:w="1636" w:type="dxa"/>
            <w:tcBorders>
              <w:top w:val="single" w:sz="4" w:space="0" w:color="auto"/>
              <w:left w:val="single" w:sz="4" w:space="0" w:color="auto"/>
              <w:bottom w:val="single" w:sz="4" w:space="0" w:color="auto"/>
              <w:right w:val="single" w:sz="4" w:space="0" w:color="auto"/>
            </w:tcBorders>
            <w:noWrap/>
            <w:vAlign w:val="center"/>
            <w:hideMark/>
          </w:tcPr>
          <w:p w14:paraId="7C6E8F31" w14:textId="77777777" w:rsidR="001E2AA0" w:rsidRPr="00880FE9" w:rsidRDefault="001E2AA0" w:rsidP="008A39BD">
            <w:pPr>
              <w:jc w:val="center"/>
              <w:rPr>
                <w:rFonts w:eastAsia="等线" w:hint="eastAsia"/>
              </w:rPr>
            </w:pPr>
            <w:r w:rsidRPr="00880FE9">
              <w:rPr>
                <w:rFonts w:eastAsia="等线"/>
              </w:rPr>
              <w:t>季度SLA</w:t>
            </w:r>
          </w:p>
        </w:tc>
      </w:tr>
      <w:tr w:rsidR="001E2AA0" w:rsidRPr="00880FE9" w14:paraId="67479118" w14:textId="77777777" w:rsidTr="008A39BD">
        <w:trPr>
          <w:trHeight w:val="936"/>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7AE20B86" w14:textId="77777777" w:rsidR="001E2AA0" w:rsidRPr="00880FE9" w:rsidRDefault="001E2AA0" w:rsidP="008A39BD">
            <w:pPr>
              <w:jc w:val="center"/>
              <w:rPr>
                <w:rFonts w:eastAsia="等线" w:hint="eastAsia"/>
              </w:rPr>
            </w:pPr>
            <w:r w:rsidRPr="00880FE9">
              <w:rPr>
                <w:rFonts w:eastAsia="等线"/>
              </w:rPr>
              <w:t>设备故障</w:t>
            </w:r>
          </w:p>
        </w:tc>
        <w:tc>
          <w:tcPr>
            <w:tcW w:w="6207" w:type="dxa"/>
            <w:tcBorders>
              <w:top w:val="single" w:sz="4" w:space="0" w:color="auto"/>
              <w:left w:val="single" w:sz="4" w:space="0" w:color="auto"/>
              <w:bottom w:val="single" w:sz="4" w:space="0" w:color="auto"/>
              <w:right w:val="single" w:sz="4" w:space="0" w:color="auto"/>
            </w:tcBorders>
            <w:vAlign w:val="center"/>
            <w:hideMark/>
          </w:tcPr>
          <w:p w14:paraId="4CE0FDED" w14:textId="110EBBF9" w:rsidR="001E2AA0" w:rsidRPr="00880FE9" w:rsidRDefault="001E2AA0" w:rsidP="008A39BD">
            <w:pPr>
              <w:spacing w:line="360" w:lineRule="exact"/>
              <w:rPr>
                <w:rFonts w:eastAsia="等线" w:hint="eastAsia"/>
              </w:rPr>
            </w:pPr>
            <w:r w:rsidRPr="00880FE9">
              <w:rPr>
                <w:rFonts w:eastAsia="等线"/>
              </w:rPr>
              <w:t>专线使用的接入设备发生故障，造成</w:t>
            </w:r>
            <w:r w:rsidR="006C6F6D" w:rsidRPr="006C6F6D">
              <w:rPr>
                <w:rFonts w:eastAsia="等线"/>
                <w:b/>
              </w:rPr>
              <w:t>招标文件要求</w:t>
            </w:r>
            <w:r w:rsidRPr="00880FE9">
              <w:rPr>
                <w:rFonts w:eastAsia="等线"/>
              </w:rPr>
              <w:t>中提到的区域间网络不可用，季度评测分为4个等级，服务违约金最多赔付30%（从应付金额扣除）</w:t>
            </w:r>
          </w:p>
        </w:tc>
        <w:tc>
          <w:tcPr>
            <w:tcW w:w="1636" w:type="dxa"/>
            <w:tcBorders>
              <w:top w:val="single" w:sz="4" w:space="0" w:color="auto"/>
              <w:left w:val="single" w:sz="4" w:space="0" w:color="auto"/>
              <w:bottom w:val="single" w:sz="4" w:space="0" w:color="auto"/>
              <w:right w:val="single" w:sz="4" w:space="0" w:color="auto"/>
            </w:tcBorders>
            <w:vAlign w:val="center"/>
            <w:hideMark/>
          </w:tcPr>
          <w:p w14:paraId="6E7A5CD0" w14:textId="77777777" w:rsidR="001E2AA0" w:rsidRPr="00880FE9" w:rsidRDefault="001E2AA0" w:rsidP="008A39BD">
            <w:pPr>
              <w:jc w:val="center"/>
              <w:rPr>
                <w:rFonts w:eastAsia="等线" w:hint="eastAsia"/>
              </w:rPr>
            </w:pPr>
            <w:r w:rsidRPr="00880FE9">
              <w:rPr>
                <w:rFonts w:eastAsia="等线"/>
              </w:rPr>
              <w:t>99.9%</w:t>
            </w:r>
          </w:p>
        </w:tc>
      </w:tr>
      <w:tr w:rsidR="001E2AA0" w:rsidRPr="00880FE9" w14:paraId="3304D248" w14:textId="77777777" w:rsidTr="008A39BD">
        <w:trPr>
          <w:trHeight w:val="992"/>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3F963789" w14:textId="77777777" w:rsidR="001E2AA0" w:rsidRPr="00880FE9" w:rsidRDefault="001E2AA0" w:rsidP="008A39BD">
            <w:pPr>
              <w:jc w:val="center"/>
              <w:rPr>
                <w:rFonts w:eastAsia="等线" w:hint="eastAsia"/>
              </w:rPr>
            </w:pPr>
            <w:r w:rsidRPr="00880FE9">
              <w:rPr>
                <w:rFonts w:eastAsia="等线"/>
              </w:rPr>
              <w:t>链路故障</w:t>
            </w:r>
          </w:p>
        </w:tc>
        <w:tc>
          <w:tcPr>
            <w:tcW w:w="6207" w:type="dxa"/>
            <w:tcBorders>
              <w:top w:val="single" w:sz="4" w:space="0" w:color="auto"/>
              <w:left w:val="single" w:sz="4" w:space="0" w:color="auto"/>
              <w:bottom w:val="single" w:sz="4" w:space="0" w:color="auto"/>
              <w:right w:val="single" w:sz="4" w:space="0" w:color="auto"/>
            </w:tcBorders>
            <w:vAlign w:val="center"/>
            <w:hideMark/>
          </w:tcPr>
          <w:p w14:paraId="00DD593E" w14:textId="3447D729" w:rsidR="001E2AA0" w:rsidRPr="00880FE9" w:rsidRDefault="001E2AA0" w:rsidP="008A39BD">
            <w:pPr>
              <w:spacing w:line="360" w:lineRule="exact"/>
              <w:rPr>
                <w:rFonts w:eastAsia="等线" w:hint="eastAsia"/>
              </w:rPr>
            </w:pPr>
            <w:r w:rsidRPr="00880FE9">
              <w:rPr>
                <w:rFonts w:eastAsia="等线"/>
              </w:rPr>
              <w:t>专线链路发生故障，造成</w:t>
            </w:r>
            <w:r w:rsidR="006C6F6D" w:rsidRPr="006C6F6D">
              <w:rPr>
                <w:rFonts w:eastAsia="等线"/>
                <w:b/>
              </w:rPr>
              <w:t>招标文件要求</w:t>
            </w:r>
            <w:r w:rsidRPr="00880FE9">
              <w:rPr>
                <w:rFonts w:eastAsia="等线"/>
              </w:rPr>
              <w:t>中提到的区域间网络不可用，季度评测分为4个等级，服务违约金最多赔付30%（从应付金额扣除）</w:t>
            </w:r>
          </w:p>
        </w:tc>
        <w:tc>
          <w:tcPr>
            <w:tcW w:w="1636" w:type="dxa"/>
            <w:tcBorders>
              <w:top w:val="single" w:sz="4" w:space="0" w:color="auto"/>
              <w:left w:val="single" w:sz="4" w:space="0" w:color="auto"/>
              <w:bottom w:val="single" w:sz="4" w:space="0" w:color="auto"/>
              <w:right w:val="single" w:sz="4" w:space="0" w:color="auto"/>
            </w:tcBorders>
            <w:vAlign w:val="center"/>
            <w:hideMark/>
          </w:tcPr>
          <w:p w14:paraId="46B5442A" w14:textId="77777777" w:rsidR="001E2AA0" w:rsidRPr="00880FE9" w:rsidRDefault="001E2AA0" w:rsidP="008A39BD">
            <w:pPr>
              <w:jc w:val="center"/>
              <w:rPr>
                <w:rFonts w:eastAsia="等线" w:hint="eastAsia"/>
              </w:rPr>
            </w:pPr>
            <w:r w:rsidRPr="00880FE9">
              <w:rPr>
                <w:rFonts w:eastAsia="等线"/>
              </w:rPr>
              <w:t>99.9%</w:t>
            </w:r>
          </w:p>
        </w:tc>
      </w:tr>
      <w:tr w:rsidR="001E2AA0" w:rsidRPr="00880FE9" w14:paraId="5FB1FB8D" w14:textId="77777777" w:rsidTr="008A39BD">
        <w:trPr>
          <w:trHeight w:val="978"/>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5B03DCFC" w14:textId="77777777" w:rsidR="001E2AA0" w:rsidRPr="00880FE9" w:rsidRDefault="001E2AA0" w:rsidP="008A39BD">
            <w:pPr>
              <w:jc w:val="center"/>
              <w:rPr>
                <w:rFonts w:eastAsia="等线" w:hint="eastAsia"/>
              </w:rPr>
            </w:pPr>
            <w:r w:rsidRPr="00880FE9">
              <w:rPr>
                <w:rFonts w:eastAsia="等线"/>
              </w:rPr>
              <w:t>运维配置服务</w:t>
            </w:r>
          </w:p>
        </w:tc>
        <w:tc>
          <w:tcPr>
            <w:tcW w:w="6207" w:type="dxa"/>
            <w:tcBorders>
              <w:top w:val="single" w:sz="4" w:space="0" w:color="auto"/>
              <w:left w:val="single" w:sz="4" w:space="0" w:color="auto"/>
              <w:bottom w:val="single" w:sz="4" w:space="0" w:color="auto"/>
              <w:right w:val="single" w:sz="4" w:space="0" w:color="auto"/>
            </w:tcBorders>
            <w:vAlign w:val="center"/>
            <w:hideMark/>
          </w:tcPr>
          <w:p w14:paraId="3E419EAA" w14:textId="77777777" w:rsidR="001E2AA0" w:rsidRPr="00880FE9" w:rsidRDefault="001E2AA0" w:rsidP="008A39BD">
            <w:pPr>
              <w:spacing w:line="360" w:lineRule="exact"/>
              <w:rPr>
                <w:rFonts w:eastAsia="等线" w:hint="eastAsia"/>
              </w:rPr>
            </w:pPr>
            <w:r w:rsidRPr="00880FE9">
              <w:rPr>
                <w:rFonts w:eastAsia="等线"/>
              </w:rPr>
              <w:t>按季度对专线供应商提供的数据链路的运维、配置、服务的满意度进行评分，对季度综合评分不足85分，服务违约金最多赔付30%（从应付金额扣除）</w:t>
            </w:r>
          </w:p>
        </w:tc>
        <w:tc>
          <w:tcPr>
            <w:tcW w:w="1636" w:type="dxa"/>
            <w:tcBorders>
              <w:top w:val="single" w:sz="4" w:space="0" w:color="auto"/>
              <w:left w:val="single" w:sz="4" w:space="0" w:color="auto"/>
              <w:bottom w:val="single" w:sz="4" w:space="0" w:color="auto"/>
              <w:right w:val="single" w:sz="4" w:space="0" w:color="auto"/>
            </w:tcBorders>
            <w:vAlign w:val="center"/>
            <w:hideMark/>
          </w:tcPr>
          <w:p w14:paraId="7670C7E8" w14:textId="77777777" w:rsidR="001E2AA0" w:rsidRPr="00880FE9" w:rsidRDefault="001E2AA0" w:rsidP="008A39BD">
            <w:pPr>
              <w:jc w:val="center"/>
              <w:rPr>
                <w:rFonts w:eastAsia="等线" w:hint="eastAsia"/>
              </w:rPr>
            </w:pPr>
            <w:r w:rsidRPr="00880FE9">
              <w:rPr>
                <w:rFonts w:eastAsia="等线"/>
              </w:rPr>
              <w:t>85分</w:t>
            </w:r>
          </w:p>
        </w:tc>
      </w:tr>
      <w:tr w:rsidR="001E2AA0" w:rsidRPr="00880FE9" w14:paraId="529A5EFB" w14:textId="77777777" w:rsidTr="008A39BD">
        <w:trPr>
          <w:trHeight w:val="325"/>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4A0C3C32" w14:textId="77777777" w:rsidR="001E2AA0" w:rsidRPr="00880FE9" w:rsidRDefault="001E2AA0" w:rsidP="008A39BD">
            <w:pPr>
              <w:jc w:val="center"/>
              <w:rPr>
                <w:rFonts w:eastAsia="等线" w:hint="eastAsia"/>
              </w:rPr>
            </w:pPr>
            <w:r w:rsidRPr="00880FE9">
              <w:rPr>
                <w:rFonts w:eastAsia="等线"/>
                <w:color w:val="000000"/>
              </w:rPr>
              <w:t>故障响应</w:t>
            </w:r>
          </w:p>
        </w:tc>
        <w:tc>
          <w:tcPr>
            <w:tcW w:w="6207" w:type="dxa"/>
            <w:tcBorders>
              <w:top w:val="single" w:sz="4" w:space="0" w:color="auto"/>
              <w:left w:val="single" w:sz="4" w:space="0" w:color="auto"/>
              <w:bottom w:val="single" w:sz="4" w:space="0" w:color="auto"/>
              <w:right w:val="single" w:sz="4" w:space="0" w:color="auto"/>
            </w:tcBorders>
            <w:vAlign w:val="center"/>
            <w:hideMark/>
          </w:tcPr>
          <w:p w14:paraId="526E1A30" w14:textId="77777777" w:rsidR="001E2AA0" w:rsidRPr="00880FE9" w:rsidRDefault="001E2AA0" w:rsidP="008A39BD">
            <w:pPr>
              <w:spacing w:line="360" w:lineRule="exact"/>
              <w:rPr>
                <w:rFonts w:eastAsia="等线" w:hint="eastAsia"/>
              </w:rPr>
            </w:pPr>
            <w:r w:rsidRPr="00880FE9">
              <w:rPr>
                <w:rFonts w:eastAsia="等线"/>
              </w:rPr>
              <w:t>专线链路发生故障，供应商应提供7*24*30分钟响应的运维服务</w:t>
            </w:r>
          </w:p>
        </w:tc>
        <w:tc>
          <w:tcPr>
            <w:tcW w:w="1636" w:type="dxa"/>
            <w:tcBorders>
              <w:top w:val="single" w:sz="4" w:space="0" w:color="auto"/>
              <w:left w:val="single" w:sz="4" w:space="0" w:color="auto"/>
              <w:bottom w:val="single" w:sz="4" w:space="0" w:color="auto"/>
              <w:right w:val="single" w:sz="4" w:space="0" w:color="auto"/>
            </w:tcBorders>
            <w:vAlign w:val="center"/>
            <w:hideMark/>
          </w:tcPr>
          <w:p w14:paraId="64EF7CFA" w14:textId="289F3BD3" w:rsidR="001E2AA0" w:rsidRPr="00880FE9" w:rsidRDefault="001E2AA0" w:rsidP="008A39BD">
            <w:pPr>
              <w:jc w:val="center"/>
              <w:rPr>
                <w:rFonts w:eastAsia="等线" w:hint="eastAsia"/>
              </w:rPr>
            </w:pPr>
            <w:r w:rsidRPr="00880FE9">
              <w:rPr>
                <w:rFonts w:eastAsia="等线"/>
              </w:rPr>
              <w:t>30分钟</w:t>
            </w:r>
          </w:p>
        </w:tc>
      </w:tr>
      <w:tr w:rsidR="001E2AA0" w:rsidRPr="00880FE9" w14:paraId="3ABC082F" w14:textId="77777777" w:rsidTr="008A39BD">
        <w:trPr>
          <w:trHeight w:val="961"/>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073AAD10" w14:textId="77777777" w:rsidR="001E2AA0" w:rsidRPr="00880FE9" w:rsidRDefault="001E2AA0" w:rsidP="008A39BD">
            <w:pPr>
              <w:jc w:val="center"/>
              <w:rPr>
                <w:rFonts w:eastAsia="等线" w:hint="eastAsia"/>
                <w:color w:val="000000"/>
              </w:rPr>
            </w:pPr>
            <w:r w:rsidRPr="00880FE9">
              <w:rPr>
                <w:rFonts w:eastAsia="等线"/>
                <w:color w:val="000000"/>
              </w:rPr>
              <w:t>链路故障中断次数</w:t>
            </w:r>
          </w:p>
        </w:tc>
        <w:tc>
          <w:tcPr>
            <w:tcW w:w="6207" w:type="dxa"/>
            <w:tcBorders>
              <w:top w:val="single" w:sz="4" w:space="0" w:color="auto"/>
              <w:left w:val="single" w:sz="4" w:space="0" w:color="auto"/>
              <w:bottom w:val="single" w:sz="4" w:space="0" w:color="auto"/>
              <w:right w:val="single" w:sz="4" w:space="0" w:color="auto"/>
            </w:tcBorders>
            <w:vAlign w:val="center"/>
            <w:hideMark/>
          </w:tcPr>
          <w:p w14:paraId="710DE52C" w14:textId="77777777" w:rsidR="001E2AA0" w:rsidRPr="00880FE9" w:rsidRDefault="001E2AA0" w:rsidP="008A39BD">
            <w:pPr>
              <w:spacing w:line="360" w:lineRule="exact"/>
              <w:rPr>
                <w:rFonts w:eastAsia="等线" w:hint="eastAsia"/>
              </w:rPr>
            </w:pPr>
            <w:r w:rsidRPr="00880FE9">
              <w:rPr>
                <w:rFonts w:eastAsia="等线"/>
              </w:rPr>
              <w:t>由于链路故障造成云端与</w:t>
            </w:r>
            <w:proofErr w:type="spellStart"/>
            <w:r w:rsidRPr="00880FE9">
              <w:rPr>
                <w:rFonts w:eastAsia="等线"/>
              </w:rPr>
              <w:t>Ameco</w:t>
            </w:r>
            <w:proofErr w:type="spellEnd"/>
            <w:r w:rsidRPr="00880FE9">
              <w:rPr>
                <w:rFonts w:eastAsia="等线"/>
              </w:rPr>
              <w:t>本地网络连接非计划中断的事件</w:t>
            </w:r>
          </w:p>
        </w:tc>
        <w:tc>
          <w:tcPr>
            <w:tcW w:w="1636" w:type="dxa"/>
            <w:tcBorders>
              <w:top w:val="single" w:sz="4" w:space="0" w:color="auto"/>
              <w:left w:val="single" w:sz="4" w:space="0" w:color="auto"/>
              <w:bottom w:val="single" w:sz="4" w:space="0" w:color="auto"/>
              <w:right w:val="single" w:sz="4" w:space="0" w:color="auto"/>
            </w:tcBorders>
            <w:vAlign w:val="center"/>
            <w:hideMark/>
          </w:tcPr>
          <w:p w14:paraId="3D1DC930" w14:textId="77777777" w:rsidR="001E2AA0" w:rsidRPr="00880FE9" w:rsidRDefault="001E2AA0" w:rsidP="008A39BD">
            <w:pPr>
              <w:jc w:val="center"/>
              <w:rPr>
                <w:rFonts w:eastAsia="等线" w:hint="eastAsia"/>
              </w:rPr>
            </w:pPr>
            <w:r w:rsidRPr="00880FE9">
              <w:rPr>
                <w:rFonts w:eastAsia="等线"/>
              </w:rPr>
              <w:t>≤1次</w:t>
            </w:r>
          </w:p>
        </w:tc>
      </w:tr>
    </w:tbl>
    <w:p w14:paraId="5A92D36E" w14:textId="77777777" w:rsidR="001E2AA0" w:rsidRPr="00880FE9" w:rsidRDefault="001E2AA0" w:rsidP="001E2AA0">
      <w:pPr>
        <w:ind w:firstLine="420"/>
        <w:rPr>
          <w:rFonts w:eastAsia="等线" w:hint="eastAsia"/>
        </w:rPr>
      </w:pPr>
    </w:p>
    <w:p w14:paraId="4DC6136E" w14:textId="3DAD4399" w:rsidR="001E2AA0" w:rsidRDefault="001E2AA0" w:rsidP="001E2AA0">
      <w:pPr>
        <w:ind w:firstLine="420"/>
        <w:jc w:val="center"/>
        <w:rPr>
          <w:rFonts w:eastAsia="等线" w:hint="eastAsia"/>
        </w:rPr>
      </w:pPr>
      <w:r w:rsidRPr="00880FE9">
        <w:rPr>
          <w:rFonts w:eastAsia="等线"/>
        </w:rPr>
        <w:t>数据专线链路故障响应和解决时限具体违约金赔付</w:t>
      </w:r>
      <w:r w:rsidR="006C6F6D" w:rsidRPr="006C6F6D">
        <w:rPr>
          <w:rFonts w:eastAsia="等线"/>
          <w:b/>
        </w:rPr>
        <w:t>招标文件要求</w:t>
      </w:r>
    </w:p>
    <w:p w14:paraId="42E42F17" w14:textId="77777777" w:rsidR="001E2AA0" w:rsidRPr="00880FE9" w:rsidRDefault="001E2AA0" w:rsidP="001E2AA0">
      <w:pPr>
        <w:ind w:firstLine="420"/>
        <w:jc w:val="center"/>
        <w:rPr>
          <w:rFonts w:eastAsia="等线" w:hint="eastAsia"/>
        </w:rPr>
      </w:pPr>
      <w:r>
        <w:rPr>
          <w:rFonts w:eastAsia="等线" w:hint="eastAsia"/>
        </w:rPr>
        <w:t>（扣除季度专线费用）</w:t>
      </w:r>
    </w:p>
    <w:tbl>
      <w:tblPr>
        <w:tblW w:w="534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2742"/>
        <w:gridCol w:w="1501"/>
        <w:gridCol w:w="1948"/>
        <w:gridCol w:w="1586"/>
        <w:gridCol w:w="1199"/>
      </w:tblGrid>
      <w:tr w:rsidR="001E2AA0" w:rsidRPr="00880FE9" w14:paraId="58B7D04B" w14:textId="77777777" w:rsidTr="008A39BD">
        <w:trPr>
          <w:trHeight w:val="240"/>
        </w:trPr>
        <w:tc>
          <w:tcPr>
            <w:tcW w:w="217" w:type="pct"/>
            <w:tcBorders>
              <w:top w:val="single" w:sz="4" w:space="0" w:color="auto"/>
              <w:left w:val="single" w:sz="4" w:space="0" w:color="auto"/>
              <w:bottom w:val="single" w:sz="4" w:space="0" w:color="auto"/>
              <w:right w:val="single" w:sz="4" w:space="0" w:color="auto"/>
            </w:tcBorders>
            <w:vAlign w:val="center"/>
            <w:hideMark/>
          </w:tcPr>
          <w:p w14:paraId="46EF4DD0" w14:textId="77777777" w:rsidR="001E2AA0" w:rsidRPr="00880FE9" w:rsidRDefault="001E2AA0" w:rsidP="008A39BD">
            <w:pPr>
              <w:jc w:val="center"/>
              <w:rPr>
                <w:rFonts w:eastAsia="等线" w:hint="eastAsia"/>
              </w:rPr>
            </w:pPr>
            <w:r w:rsidRPr="00880FE9">
              <w:rPr>
                <w:rFonts w:eastAsia="等线"/>
              </w:rPr>
              <w:t>故障等</w:t>
            </w:r>
            <w:r w:rsidRPr="00880FE9">
              <w:rPr>
                <w:rFonts w:eastAsia="等线"/>
              </w:rPr>
              <w:lastRenderedPageBreak/>
              <w:t>级</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588F0D6" w14:textId="77777777" w:rsidR="001E2AA0" w:rsidRPr="00880FE9" w:rsidRDefault="001E2AA0" w:rsidP="008A39BD">
            <w:pPr>
              <w:jc w:val="center"/>
              <w:rPr>
                <w:rFonts w:eastAsia="等线" w:hint="eastAsia"/>
              </w:rPr>
            </w:pPr>
            <w:r w:rsidRPr="00880FE9">
              <w:rPr>
                <w:rFonts w:eastAsia="等线"/>
              </w:rPr>
              <w:lastRenderedPageBreak/>
              <w:t>违约金赔付说明</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518C3E7F" w14:textId="77777777" w:rsidR="001E2AA0" w:rsidRPr="00880FE9" w:rsidRDefault="001E2AA0" w:rsidP="008A39BD">
            <w:pPr>
              <w:jc w:val="center"/>
              <w:rPr>
                <w:rFonts w:eastAsia="等线" w:hint="eastAsia"/>
              </w:rPr>
            </w:pPr>
            <w:r w:rsidRPr="00880FE9">
              <w:rPr>
                <w:rFonts w:eastAsia="等线"/>
              </w:rPr>
              <w:t>违约金0%</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0C46788A" w14:textId="77777777" w:rsidR="001E2AA0" w:rsidRPr="00880FE9" w:rsidRDefault="001E2AA0" w:rsidP="008A39BD">
            <w:pPr>
              <w:jc w:val="center"/>
              <w:rPr>
                <w:rFonts w:eastAsia="等线" w:hint="eastAsia"/>
              </w:rPr>
            </w:pPr>
            <w:r w:rsidRPr="00880FE9">
              <w:rPr>
                <w:rFonts w:eastAsia="等线"/>
              </w:rPr>
              <w:t>违约金10%</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068AF6EA" w14:textId="77777777" w:rsidR="001E2AA0" w:rsidRPr="00880FE9" w:rsidRDefault="001E2AA0" w:rsidP="008A39BD">
            <w:pPr>
              <w:jc w:val="center"/>
              <w:rPr>
                <w:rFonts w:eastAsia="等线" w:hint="eastAsia"/>
              </w:rPr>
            </w:pPr>
            <w:r w:rsidRPr="00880FE9">
              <w:rPr>
                <w:rFonts w:eastAsia="等线"/>
              </w:rPr>
              <w:t>违约金20%</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1C2F2C01" w14:textId="77777777" w:rsidR="001E2AA0" w:rsidRPr="00880FE9" w:rsidRDefault="001E2AA0" w:rsidP="008A39BD">
            <w:pPr>
              <w:jc w:val="center"/>
              <w:rPr>
                <w:rFonts w:eastAsia="等线" w:hint="eastAsia"/>
              </w:rPr>
            </w:pPr>
            <w:r w:rsidRPr="00880FE9">
              <w:rPr>
                <w:rFonts w:eastAsia="等线"/>
              </w:rPr>
              <w:t>违约金30%</w:t>
            </w:r>
          </w:p>
        </w:tc>
      </w:tr>
      <w:tr w:rsidR="001E2AA0" w:rsidRPr="00880FE9" w14:paraId="03FA14BD" w14:textId="77777777" w:rsidTr="008A39BD">
        <w:trPr>
          <w:trHeight w:val="468"/>
        </w:trPr>
        <w:tc>
          <w:tcPr>
            <w:tcW w:w="217" w:type="pct"/>
            <w:tcBorders>
              <w:top w:val="single" w:sz="4" w:space="0" w:color="auto"/>
              <w:left w:val="single" w:sz="4" w:space="0" w:color="auto"/>
              <w:bottom w:val="single" w:sz="4" w:space="0" w:color="auto"/>
              <w:right w:val="single" w:sz="4" w:space="0" w:color="auto"/>
            </w:tcBorders>
            <w:vAlign w:val="center"/>
            <w:hideMark/>
          </w:tcPr>
          <w:p w14:paraId="1EBEB45A" w14:textId="77777777" w:rsidR="001E2AA0" w:rsidRPr="00880FE9" w:rsidRDefault="001E2AA0" w:rsidP="008A39BD">
            <w:pPr>
              <w:jc w:val="center"/>
              <w:rPr>
                <w:rFonts w:eastAsia="等线" w:hint="eastAsia"/>
              </w:rPr>
            </w:pPr>
            <w:r w:rsidRPr="00880FE9">
              <w:rPr>
                <w:rFonts w:eastAsia="等线"/>
              </w:rPr>
              <w:t>设备故障</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1991C7" w14:textId="1794D009" w:rsidR="001E2AA0" w:rsidRPr="00880FE9" w:rsidRDefault="001E2AA0" w:rsidP="008A39BD">
            <w:pPr>
              <w:spacing w:line="400" w:lineRule="exact"/>
              <w:jc w:val="center"/>
              <w:rPr>
                <w:rFonts w:eastAsia="等线" w:hint="eastAsia"/>
              </w:rPr>
            </w:pPr>
            <w:r w:rsidRPr="00880FE9">
              <w:rPr>
                <w:rFonts w:eastAsia="等线"/>
              </w:rPr>
              <w:t>每季度2160小时按照0.001的不可用率计算：2160*0.001=2.16小时如不能满足季度99.9%可利用率</w:t>
            </w:r>
            <w:r w:rsidR="006C6F6D" w:rsidRPr="006C6F6D">
              <w:rPr>
                <w:rFonts w:eastAsia="等线"/>
                <w:b/>
              </w:rPr>
              <w:t>招标文件要求</w:t>
            </w:r>
            <w:r w:rsidRPr="00880FE9">
              <w:rPr>
                <w:rFonts w:eastAsia="等线"/>
              </w:rPr>
              <w:t>，按照造成相关区域间网络中断的时间乙方应向甲方进行违约金阶梯赔付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10FA31CC" w14:textId="77777777" w:rsidR="001E2AA0" w:rsidRPr="00880FE9" w:rsidRDefault="001E2AA0" w:rsidP="008A39BD">
            <w:pPr>
              <w:spacing w:line="400" w:lineRule="exact"/>
              <w:jc w:val="center"/>
              <w:rPr>
                <w:rFonts w:eastAsia="等线" w:hint="eastAsia"/>
              </w:rPr>
            </w:pPr>
            <w:r w:rsidRPr="00880FE9">
              <w:rPr>
                <w:rFonts w:eastAsia="等线"/>
              </w:rPr>
              <w:t>0-2.16小时</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695522EB" w14:textId="77777777" w:rsidR="001E2AA0" w:rsidRPr="00880FE9" w:rsidRDefault="001E2AA0" w:rsidP="008A39BD">
            <w:pPr>
              <w:spacing w:line="400" w:lineRule="exact"/>
              <w:jc w:val="center"/>
              <w:rPr>
                <w:rFonts w:eastAsia="等线" w:hint="eastAsia"/>
              </w:rPr>
            </w:pPr>
            <w:r w:rsidRPr="00880FE9">
              <w:rPr>
                <w:rFonts w:eastAsia="等线"/>
              </w:rPr>
              <w:t>2.16小时（以上）~6小时</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022979FA" w14:textId="77777777" w:rsidR="001E2AA0" w:rsidRPr="00880FE9" w:rsidRDefault="001E2AA0" w:rsidP="008A39BD">
            <w:pPr>
              <w:spacing w:line="400" w:lineRule="exact"/>
              <w:jc w:val="center"/>
              <w:rPr>
                <w:rFonts w:eastAsia="等线" w:hint="eastAsia"/>
              </w:rPr>
            </w:pPr>
            <w:r w:rsidRPr="00880FE9">
              <w:rPr>
                <w:rFonts w:eastAsia="等线"/>
              </w:rPr>
              <w:t>6小时（以上）~12小时</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0C390ED1" w14:textId="77777777" w:rsidR="001E2AA0" w:rsidRPr="00880FE9" w:rsidRDefault="001E2AA0" w:rsidP="008A39BD">
            <w:pPr>
              <w:spacing w:line="400" w:lineRule="exact"/>
              <w:jc w:val="center"/>
              <w:rPr>
                <w:rFonts w:eastAsia="等线" w:hint="eastAsia"/>
              </w:rPr>
            </w:pPr>
            <w:r w:rsidRPr="00880FE9">
              <w:rPr>
                <w:rFonts w:eastAsia="等线"/>
              </w:rPr>
              <w:t>12小时以上</w:t>
            </w:r>
          </w:p>
        </w:tc>
      </w:tr>
      <w:tr w:rsidR="001E2AA0" w:rsidRPr="00880FE9" w14:paraId="214A0A2C" w14:textId="77777777" w:rsidTr="008A39BD">
        <w:trPr>
          <w:trHeight w:val="316"/>
        </w:trPr>
        <w:tc>
          <w:tcPr>
            <w:tcW w:w="217" w:type="pct"/>
            <w:tcBorders>
              <w:top w:val="single" w:sz="4" w:space="0" w:color="auto"/>
              <w:left w:val="single" w:sz="4" w:space="0" w:color="auto"/>
              <w:bottom w:val="single" w:sz="4" w:space="0" w:color="auto"/>
              <w:right w:val="single" w:sz="4" w:space="0" w:color="auto"/>
            </w:tcBorders>
            <w:vAlign w:val="center"/>
            <w:hideMark/>
          </w:tcPr>
          <w:p w14:paraId="2BFA5298" w14:textId="77777777" w:rsidR="001E2AA0" w:rsidRPr="00880FE9" w:rsidRDefault="001E2AA0" w:rsidP="008A39BD">
            <w:pPr>
              <w:jc w:val="center"/>
              <w:rPr>
                <w:rFonts w:eastAsia="等线" w:hint="eastAsia"/>
              </w:rPr>
            </w:pPr>
            <w:r w:rsidRPr="00880FE9">
              <w:rPr>
                <w:rFonts w:eastAsia="等线"/>
              </w:rPr>
              <w:t>链路故障</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D3F67CA" w14:textId="174D933C" w:rsidR="001E2AA0" w:rsidRPr="00880FE9" w:rsidRDefault="001E2AA0" w:rsidP="008A39BD">
            <w:pPr>
              <w:spacing w:line="400" w:lineRule="exact"/>
              <w:jc w:val="center"/>
              <w:rPr>
                <w:rFonts w:eastAsia="等线" w:hint="eastAsia"/>
              </w:rPr>
            </w:pPr>
            <w:r w:rsidRPr="00880FE9">
              <w:rPr>
                <w:rFonts w:eastAsia="等线"/>
              </w:rPr>
              <w:t>每季度2160小时按照0.001的不可用率计算：2160*0.001=2.16小时如不能满足季度99.9%可利用率</w:t>
            </w:r>
            <w:r w:rsidR="006C6F6D" w:rsidRPr="006C6F6D">
              <w:rPr>
                <w:rFonts w:eastAsia="等线"/>
                <w:b/>
              </w:rPr>
              <w:t>招标文件要求</w:t>
            </w:r>
            <w:r w:rsidRPr="00880FE9">
              <w:rPr>
                <w:rFonts w:eastAsia="等线"/>
              </w:rPr>
              <w:t>，按照造成相关区域间网络中断的时间乙方应向甲方进行违约金阶梯赔付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447D89C6" w14:textId="77777777" w:rsidR="001E2AA0" w:rsidRPr="00880FE9" w:rsidRDefault="001E2AA0" w:rsidP="008A39BD">
            <w:pPr>
              <w:spacing w:line="400" w:lineRule="exact"/>
              <w:jc w:val="center"/>
              <w:rPr>
                <w:rFonts w:eastAsia="等线" w:hint="eastAsia"/>
              </w:rPr>
            </w:pPr>
            <w:r w:rsidRPr="00880FE9">
              <w:rPr>
                <w:rFonts w:eastAsia="等线"/>
              </w:rPr>
              <w:t>0-2.16小时</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1F1B3F28" w14:textId="77777777" w:rsidR="001E2AA0" w:rsidRPr="00880FE9" w:rsidRDefault="001E2AA0" w:rsidP="008A39BD">
            <w:pPr>
              <w:spacing w:line="400" w:lineRule="exact"/>
              <w:jc w:val="center"/>
              <w:rPr>
                <w:rFonts w:eastAsia="等线" w:hint="eastAsia"/>
              </w:rPr>
            </w:pPr>
            <w:r w:rsidRPr="00880FE9">
              <w:rPr>
                <w:rFonts w:eastAsia="等线"/>
              </w:rPr>
              <w:t>2.16小时（以上）~6小时</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7352AD48" w14:textId="77777777" w:rsidR="001E2AA0" w:rsidRPr="00880FE9" w:rsidRDefault="001E2AA0" w:rsidP="008A39BD">
            <w:pPr>
              <w:spacing w:line="400" w:lineRule="exact"/>
              <w:jc w:val="center"/>
              <w:rPr>
                <w:rFonts w:eastAsia="等线" w:hint="eastAsia"/>
              </w:rPr>
            </w:pPr>
            <w:r w:rsidRPr="00880FE9">
              <w:rPr>
                <w:rFonts w:eastAsia="等线"/>
              </w:rPr>
              <w:t>6小时（以上）~12小时</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45CE957F" w14:textId="77777777" w:rsidR="001E2AA0" w:rsidRPr="00880FE9" w:rsidRDefault="001E2AA0" w:rsidP="008A39BD">
            <w:pPr>
              <w:spacing w:line="400" w:lineRule="exact"/>
              <w:jc w:val="center"/>
              <w:rPr>
                <w:rFonts w:eastAsia="等线" w:hint="eastAsia"/>
              </w:rPr>
            </w:pPr>
            <w:r w:rsidRPr="00880FE9">
              <w:rPr>
                <w:rFonts w:eastAsia="等线"/>
              </w:rPr>
              <w:t>12小时以上</w:t>
            </w:r>
          </w:p>
        </w:tc>
      </w:tr>
      <w:tr w:rsidR="001E2AA0" w:rsidRPr="00880FE9" w14:paraId="59B0E662" w14:textId="77777777" w:rsidTr="008A39BD">
        <w:trPr>
          <w:trHeight w:val="1086"/>
        </w:trPr>
        <w:tc>
          <w:tcPr>
            <w:tcW w:w="217" w:type="pct"/>
            <w:tcBorders>
              <w:top w:val="single" w:sz="4" w:space="0" w:color="auto"/>
              <w:left w:val="single" w:sz="4" w:space="0" w:color="auto"/>
              <w:bottom w:val="single" w:sz="4" w:space="0" w:color="auto"/>
              <w:right w:val="single" w:sz="4" w:space="0" w:color="auto"/>
            </w:tcBorders>
            <w:vAlign w:val="center"/>
            <w:hideMark/>
          </w:tcPr>
          <w:p w14:paraId="3074F614" w14:textId="77777777" w:rsidR="001E2AA0" w:rsidRPr="00880FE9" w:rsidRDefault="001E2AA0" w:rsidP="008A39BD">
            <w:pPr>
              <w:jc w:val="center"/>
              <w:rPr>
                <w:rFonts w:eastAsia="等线" w:hint="eastAsia"/>
              </w:rPr>
            </w:pPr>
            <w:r w:rsidRPr="00880FE9">
              <w:rPr>
                <w:rFonts w:eastAsia="等线"/>
                <w:color w:val="000000"/>
              </w:rPr>
              <w:t>故障响应</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2112AAB" w14:textId="77777777" w:rsidR="001E2AA0" w:rsidRPr="00880FE9" w:rsidRDefault="001E2AA0" w:rsidP="008A39BD">
            <w:pPr>
              <w:spacing w:line="400" w:lineRule="exact"/>
              <w:jc w:val="center"/>
              <w:rPr>
                <w:rFonts w:eastAsia="等线" w:hint="eastAsia"/>
              </w:rPr>
            </w:pPr>
            <w:r w:rsidRPr="00880FE9">
              <w:rPr>
                <w:rFonts w:eastAsia="等线"/>
              </w:rPr>
              <w:t>链路故障响应时间，当响应时间超过30分钟，乙方按照响应时间进行阶梯违约金赔付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379EADF3" w14:textId="77777777" w:rsidR="001E2AA0" w:rsidRPr="00880FE9" w:rsidRDefault="001E2AA0" w:rsidP="008A39BD">
            <w:pPr>
              <w:spacing w:line="400" w:lineRule="exact"/>
              <w:jc w:val="center"/>
              <w:rPr>
                <w:rFonts w:eastAsia="等线" w:hint="eastAsia"/>
              </w:rPr>
            </w:pPr>
            <w:r w:rsidRPr="00880FE9">
              <w:rPr>
                <w:rFonts w:eastAsia="等线"/>
              </w:rPr>
              <w:t>≤30分钟</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5D841639" w14:textId="77777777" w:rsidR="001E2AA0" w:rsidRPr="00880FE9" w:rsidRDefault="001E2AA0" w:rsidP="008A39BD">
            <w:pPr>
              <w:spacing w:after="72" w:line="400" w:lineRule="exact"/>
              <w:jc w:val="center"/>
              <w:rPr>
                <w:rFonts w:eastAsia="等线" w:hint="eastAsia"/>
              </w:rPr>
            </w:pPr>
            <w:r w:rsidRPr="00880FE9">
              <w:rPr>
                <w:rFonts w:eastAsia="等线"/>
              </w:rPr>
              <w:t>&gt;30分钟</w:t>
            </w:r>
          </w:p>
          <w:p w14:paraId="2F556578" w14:textId="77777777" w:rsidR="001E2AA0" w:rsidRPr="00880FE9" w:rsidRDefault="001E2AA0" w:rsidP="008A39BD">
            <w:pPr>
              <w:spacing w:line="400" w:lineRule="exact"/>
              <w:jc w:val="center"/>
              <w:rPr>
                <w:rFonts w:eastAsia="等线" w:hint="eastAsia"/>
              </w:rPr>
            </w:pPr>
            <w:r w:rsidRPr="00880FE9">
              <w:rPr>
                <w:rFonts w:eastAsia="等线"/>
              </w:rPr>
              <w:t>≤45分钟</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7A22817C" w14:textId="77777777" w:rsidR="001E2AA0" w:rsidRPr="00880FE9" w:rsidRDefault="001E2AA0" w:rsidP="008A39BD">
            <w:pPr>
              <w:spacing w:after="72" w:line="400" w:lineRule="exact"/>
              <w:jc w:val="center"/>
              <w:rPr>
                <w:rFonts w:eastAsia="等线" w:hint="eastAsia"/>
              </w:rPr>
            </w:pPr>
            <w:r w:rsidRPr="00880FE9">
              <w:rPr>
                <w:rFonts w:eastAsia="等线"/>
              </w:rPr>
              <w:t>&gt;45分钟</w:t>
            </w:r>
          </w:p>
          <w:p w14:paraId="18CE6A89" w14:textId="77777777" w:rsidR="001E2AA0" w:rsidRPr="00880FE9" w:rsidRDefault="001E2AA0" w:rsidP="008A39BD">
            <w:pPr>
              <w:spacing w:line="400" w:lineRule="exact"/>
              <w:jc w:val="center"/>
              <w:rPr>
                <w:rFonts w:eastAsia="等线" w:hint="eastAsia"/>
              </w:rPr>
            </w:pPr>
            <w:r w:rsidRPr="00880FE9">
              <w:rPr>
                <w:rFonts w:eastAsia="等线"/>
              </w:rPr>
              <w:t>≤60分钟</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41D9C03E" w14:textId="77777777" w:rsidR="001E2AA0" w:rsidRPr="00880FE9" w:rsidRDefault="001E2AA0" w:rsidP="008A39BD">
            <w:pPr>
              <w:spacing w:line="400" w:lineRule="exact"/>
              <w:jc w:val="center"/>
              <w:rPr>
                <w:rFonts w:eastAsia="等线" w:hint="eastAsia"/>
              </w:rPr>
            </w:pPr>
            <w:r w:rsidRPr="00880FE9">
              <w:rPr>
                <w:rFonts w:eastAsia="等线"/>
              </w:rPr>
              <w:t>&gt;60分钟</w:t>
            </w:r>
          </w:p>
        </w:tc>
      </w:tr>
      <w:tr w:rsidR="001E2AA0" w:rsidRPr="00880FE9" w14:paraId="4A12D8F5" w14:textId="77777777" w:rsidTr="008A39BD">
        <w:trPr>
          <w:trHeight w:val="1086"/>
        </w:trPr>
        <w:tc>
          <w:tcPr>
            <w:tcW w:w="217" w:type="pct"/>
            <w:tcBorders>
              <w:top w:val="single" w:sz="4" w:space="0" w:color="auto"/>
              <w:left w:val="single" w:sz="4" w:space="0" w:color="auto"/>
              <w:bottom w:val="single" w:sz="4" w:space="0" w:color="auto"/>
              <w:right w:val="single" w:sz="4" w:space="0" w:color="auto"/>
            </w:tcBorders>
            <w:vAlign w:val="center"/>
            <w:hideMark/>
          </w:tcPr>
          <w:p w14:paraId="728331F6" w14:textId="77777777" w:rsidR="001E2AA0" w:rsidRPr="00880FE9" w:rsidRDefault="001E2AA0" w:rsidP="008A39BD">
            <w:pPr>
              <w:jc w:val="center"/>
              <w:rPr>
                <w:rFonts w:eastAsia="等线" w:hint="eastAsia"/>
              </w:rPr>
            </w:pPr>
            <w:r w:rsidRPr="00880FE9">
              <w:rPr>
                <w:rFonts w:eastAsia="等线"/>
              </w:rPr>
              <w:t>运维配置服务</w:t>
            </w:r>
          </w:p>
        </w:tc>
        <w:tc>
          <w:tcPr>
            <w:tcW w:w="1461" w:type="pct"/>
            <w:tcBorders>
              <w:top w:val="single" w:sz="4" w:space="0" w:color="auto"/>
              <w:left w:val="single" w:sz="4" w:space="0" w:color="auto"/>
              <w:bottom w:val="single" w:sz="4" w:space="0" w:color="auto"/>
              <w:right w:val="single" w:sz="4" w:space="0" w:color="auto"/>
            </w:tcBorders>
            <w:vAlign w:val="center"/>
            <w:hideMark/>
          </w:tcPr>
          <w:p w14:paraId="2E20ADF1" w14:textId="77777777" w:rsidR="001E2AA0" w:rsidRPr="00880FE9" w:rsidRDefault="001E2AA0" w:rsidP="008A39BD">
            <w:pPr>
              <w:spacing w:line="400" w:lineRule="exact"/>
              <w:jc w:val="center"/>
              <w:rPr>
                <w:rFonts w:eastAsia="等线" w:hint="eastAsia"/>
              </w:rPr>
            </w:pPr>
            <w:r w:rsidRPr="00880FE9">
              <w:rPr>
                <w:rFonts w:eastAsia="等线"/>
              </w:rPr>
              <w:t>按照服务职责与服务态度，技术水平与季度报告交付物为评价依据对运维配置服务进行评分</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36BDCEE4" w14:textId="77777777" w:rsidR="001E2AA0" w:rsidRPr="00880FE9" w:rsidRDefault="001E2AA0" w:rsidP="008A39BD">
            <w:pPr>
              <w:spacing w:line="400" w:lineRule="exact"/>
              <w:jc w:val="center"/>
              <w:rPr>
                <w:rFonts w:eastAsia="等线" w:hint="eastAsia"/>
              </w:rPr>
            </w:pPr>
            <w:r w:rsidRPr="00880FE9">
              <w:rPr>
                <w:rFonts w:eastAsia="等线"/>
              </w:rPr>
              <w:t>85分（含）以上</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2AB6E097" w14:textId="77777777" w:rsidR="001E2AA0" w:rsidRPr="00880FE9" w:rsidRDefault="001E2AA0" w:rsidP="008A39BD">
            <w:pPr>
              <w:spacing w:line="400" w:lineRule="exact"/>
              <w:jc w:val="center"/>
              <w:rPr>
                <w:rFonts w:eastAsia="等线" w:hint="eastAsia"/>
              </w:rPr>
            </w:pPr>
            <w:r w:rsidRPr="00880FE9">
              <w:rPr>
                <w:rFonts w:eastAsia="等线"/>
              </w:rPr>
              <w:t>76~67分</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44D2B994" w14:textId="77777777" w:rsidR="001E2AA0" w:rsidRPr="00880FE9" w:rsidRDefault="001E2AA0" w:rsidP="008A39BD">
            <w:pPr>
              <w:spacing w:line="400" w:lineRule="exact"/>
              <w:jc w:val="center"/>
              <w:rPr>
                <w:rFonts w:eastAsia="等线" w:hint="eastAsia"/>
              </w:rPr>
            </w:pPr>
            <w:r w:rsidRPr="00880FE9">
              <w:rPr>
                <w:rFonts w:eastAsia="等线"/>
              </w:rPr>
              <w:t>67~60分</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6326297F" w14:textId="77777777" w:rsidR="001E2AA0" w:rsidRPr="00880FE9" w:rsidRDefault="001E2AA0" w:rsidP="008A39BD">
            <w:pPr>
              <w:spacing w:line="400" w:lineRule="exact"/>
              <w:jc w:val="center"/>
              <w:rPr>
                <w:rFonts w:eastAsia="等线" w:hint="eastAsia"/>
              </w:rPr>
            </w:pPr>
            <w:r w:rsidRPr="00880FE9">
              <w:rPr>
                <w:rFonts w:eastAsia="等线"/>
              </w:rPr>
              <w:t>60分以下</w:t>
            </w:r>
          </w:p>
        </w:tc>
      </w:tr>
      <w:tr w:rsidR="001E2AA0" w:rsidRPr="00880FE9" w14:paraId="2BC9A6DA" w14:textId="77777777" w:rsidTr="008A39BD">
        <w:trPr>
          <w:trHeight w:val="1086"/>
        </w:trPr>
        <w:tc>
          <w:tcPr>
            <w:tcW w:w="217" w:type="pct"/>
            <w:tcBorders>
              <w:top w:val="single" w:sz="4" w:space="0" w:color="auto"/>
              <w:left w:val="single" w:sz="4" w:space="0" w:color="auto"/>
              <w:bottom w:val="single" w:sz="4" w:space="0" w:color="auto"/>
              <w:right w:val="single" w:sz="4" w:space="0" w:color="auto"/>
            </w:tcBorders>
            <w:vAlign w:val="center"/>
            <w:hideMark/>
          </w:tcPr>
          <w:p w14:paraId="501A1774" w14:textId="77777777" w:rsidR="001E2AA0" w:rsidRPr="00880FE9" w:rsidRDefault="001E2AA0" w:rsidP="008A39BD">
            <w:pPr>
              <w:jc w:val="center"/>
              <w:rPr>
                <w:rFonts w:eastAsia="等线" w:hint="eastAsia"/>
              </w:rPr>
            </w:pPr>
            <w:r w:rsidRPr="00880FE9">
              <w:rPr>
                <w:rFonts w:eastAsia="等线"/>
                <w:color w:val="000000"/>
              </w:rPr>
              <w:t>链路故障中断次数</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4029EED" w14:textId="77777777" w:rsidR="001E2AA0" w:rsidRPr="00880FE9" w:rsidRDefault="001E2AA0" w:rsidP="008A39BD">
            <w:pPr>
              <w:spacing w:line="400" w:lineRule="exact"/>
              <w:jc w:val="center"/>
              <w:rPr>
                <w:rFonts w:eastAsia="等线" w:hint="eastAsia"/>
              </w:rPr>
            </w:pPr>
            <w:r w:rsidRPr="00880FE9">
              <w:rPr>
                <w:rFonts w:eastAsia="等线"/>
              </w:rPr>
              <w:t>由于链路故障造成云端系统与</w:t>
            </w:r>
            <w:proofErr w:type="spellStart"/>
            <w:r w:rsidRPr="00880FE9">
              <w:rPr>
                <w:rFonts w:eastAsia="等线"/>
              </w:rPr>
              <w:t>Ameco</w:t>
            </w:r>
            <w:proofErr w:type="spellEnd"/>
            <w:r w:rsidRPr="00880FE9">
              <w:rPr>
                <w:rFonts w:eastAsia="等线"/>
              </w:rPr>
              <w:t>本地网络连接非计划中断的事件，当中断次数大于1次，乙方按照中断次数进行阶梯违约金赔付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43979F26" w14:textId="77777777" w:rsidR="001E2AA0" w:rsidRPr="00880FE9" w:rsidRDefault="001E2AA0" w:rsidP="008A39BD">
            <w:pPr>
              <w:spacing w:line="400" w:lineRule="exact"/>
              <w:jc w:val="center"/>
              <w:rPr>
                <w:rFonts w:eastAsia="等线" w:hint="eastAsia"/>
              </w:rPr>
            </w:pPr>
            <w:r w:rsidRPr="00880FE9">
              <w:rPr>
                <w:rFonts w:eastAsia="等线"/>
              </w:rPr>
              <w:t>≤1次</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2AC13F5C" w14:textId="77777777" w:rsidR="001E2AA0" w:rsidRPr="00880FE9" w:rsidRDefault="001E2AA0" w:rsidP="008A39BD">
            <w:pPr>
              <w:spacing w:after="72" w:line="400" w:lineRule="exact"/>
              <w:jc w:val="center"/>
              <w:rPr>
                <w:rFonts w:eastAsia="等线" w:hint="eastAsia"/>
              </w:rPr>
            </w:pPr>
            <w:r w:rsidRPr="00880FE9">
              <w:rPr>
                <w:rFonts w:eastAsia="等线"/>
              </w:rPr>
              <w:t>&gt;1次</w:t>
            </w:r>
          </w:p>
          <w:p w14:paraId="52A87BFF" w14:textId="77777777" w:rsidR="001E2AA0" w:rsidRPr="00880FE9" w:rsidRDefault="001E2AA0" w:rsidP="008A39BD">
            <w:pPr>
              <w:spacing w:line="400" w:lineRule="exact"/>
              <w:jc w:val="center"/>
              <w:rPr>
                <w:rFonts w:eastAsia="等线" w:hint="eastAsia"/>
              </w:rPr>
            </w:pPr>
            <w:r w:rsidRPr="00880FE9">
              <w:rPr>
                <w:rFonts w:eastAsia="等线"/>
              </w:rPr>
              <w:t>≤2次</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24A9BBBB" w14:textId="77777777" w:rsidR="001E2AA0" w:rsidRPr="00880FE9" w:rsidRDefault="001E2AA0" w:rsidP="008A39BD">
            <w:pPr>
              <w:spacing w:after="72" w:line="400" w:lineRule="exact"/>
              <w:jc w:val="center"/>
              <w:rPr>
                <w:rFonts w:eastAsia="等线" w:hint="eastAsia"/>
              </w:rPr>
            </w:pPr>
            <w:r w:rsidRPr="00880FE9">
              <w:rPr>
                <w:rFonts w:eastAsia="等线"/>
              </w:rPr>
              <w:t>&gt;2次</w:t>
            </w:r>
          </w:p>
          <w:p w14:paraId="1E93C376" w14:textId="77777777" w:rsidR="001E2AA0" w:rsidRPr="00880FE9" w:rsidRDefault="001E2AA0" w:rsidP="008A39BD">
            <w:pPr>
              <w:spacing w:line="400" w:lineRule="exact"/>
              <w:jc w:val="center"/>
              <w:rPr>
                <w:rFonts w:eastAsia="等线" w:hint="eastAsia"/>
              </w:rPr>
            </w:pPr>
            <w:r w:rsidRPr="00880FE9">
              <w:rPr>
                <w:rFonts w:eastAsia="等线"/>
              </w:rPr>
              <w:t>≤3次</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25BE4722" w14:textId="77777777" w:rsidR="001E2AA0" w:rsidRPr="00880FE9" w:rsidRDefault="001E2AA0" w:rsidP="008A39BD">
            <w:pPr>
              <w:spacing w:after="72" w:line="400" w:lineRule="exact"/>
              <w:jc w:val="center"/>
              <w:rPr>
                <w:rFonts w:eastAsia="等线" w:hint="eastAsia"/>
              </w:rPr>
            </w:pPr>
            <w:r w:rsidRPr="00880FE9">
              <w:rPr>
                <w:rFonts w:eastAsia="等线"/>
              </w:rPr>
              <w:t>&gt;3次</w:t>
            </w:r>
          </w:p>
          <w:p w14:paraId="0FBB9ED9" w14:textId="77777777" w:rsidR="001E2AA0" w:rsidRPr="00880FE9" w:rsidRDefault="001E2AA0" w:rsidP="008A39BD">
            <w:pPr>
              <w:spacing w:line="400" w:lineRule="exact"/>
              <w:jc w:val="center"/>
              <w:rPr>
                <w:rFonts w:eastAsia="等线" w:hint="eastAsia"/>
              </w:rPr>
            </w:pPr>
            <w:r w:rsidRPr="00880FE9">
              <w:rPr>
                <w:rFonts w:eastAsia="等线"/>
              </w:rPr>
              <w:t>≤4次</w:t>
            </w:r>
          </w:p>
        </w:tc>
      </w:tr>
    </w:tbl>
    <w:p w14:paraId="0276EB41" w14:textId="7AEA4CB0" w:rsidR="00F94661" w:rsidRDefault="00F94661" w:rsidP="00F94661">
      <w:pPr>
        <w:widowControl/>
        <w:rPr>
          <w:rFonts w:ascii="Arial" w:eastAsia="等线" w:hAnsi="Arial" w:cs="Arial"/>
          <w:sz w:val="24"/>
        </w:rPr>
      </w:pPr>
    </w:p>
    <w:p w14:paraId="02836DE1" w14:textId="67AB52BD" w:rsidR="00F94661" w:rsidRPr="00A31C8F" w:rsidRDefault="006C6F6D" w:rsidP="006C6F6D">
      <w:pPr>
        <w:rPr>
          <w:rFonts w:hint="eastAsia"/>
        </w:rPr>
      </w:pPr>
      <w:r w:rsidRPr="006C6F6D">
        <w:rPr>
          <w:rFonts w:hint="eastAsia"/>
          <w:b/>
        </w:rPr>
        <w:t>招标文件要求</w:t>
      </w:r>
    </w:p>
    <w:p w14:paraId="098D0848" w14:textId="77777777" w:rsidR="00F94661" w:rsidRPr="00F94661" w:rsidRDefault="00F94661" w:rsidP="00F94661">
      <w:pPr>
        <w:widowControl/>
        <w:rPr>
          <w:rFonts w:ascii="Arial" w:eastAsia="等线" w:hAnsi="Arial" w:cs="Arial"/>
          <w:sz w:val="24"/>
        </w:rPr>
      </w:pPr>
    </w:p>
    <w:p w14:paraId="7212BFA0" w14:textId="4CAC20E6"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lastRenderedPageBreak/>
        <w:t>供应商因需要进行链路割接、施工、调整等工作时，应保障至少提前</w:t>
      </w:r>
      <w:r w:rsidRPr="00880FE9">
        <w:rPr>
          <w:rFonts w:ascii="Arial" w:eastAsia="等线" w:hAnsi="Arial" w:cs="Arial"/>
          <w:sz w:val="24"/>
        </w:rPr>
        <w:t>48</w:t>
      </w:r>
      <w:r w:rsidRPr="00880FE9">
        <w:rPr>
          <w:rFonts w:ascii="Arial" w:eastAsia="等线" w:hAnsi="Arial" w:cs="Arial"/>
          <w:sz w:val="24"/>
        </w:rPr>
        <w:t>小时通知用户，从而防止由于进行上述工作对用户业务系统的影响。</w:t>
      </w:r>
    </w:p>
    <w:p w14:paraId="62F43D2A" w14:textId="4EDB5417" w:rsidR="00F94661" w:rsidRDefault="00F94661" w:rsidP="001E2AA0">
      <w:pPr>
        <w:ind w:firstLine="420"/>
        <w:rPr>
          <w:rFonts w:hint="eastAsia"/>
        </w:rPr>
      </w:pPr>
    </w:p>
    <w:p w14:paraId="60556AC1" w14:textId="004E505D"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F35DC68" w14:textId="77777777" w:rsidR="00F94661" w:rsidRPr="001E2AA0" w:rsidRDefault="00F94661" w:rsidP="001E2AA0">
      <w:pPr>
        <w:ind w:firstLine="420"/>
        <w:rPr>
          <w:rFonts w:hint="eastAsia"/>
        </w:rPr>
      </w:pPr>
    </w:p>
    <w:p w14:paraId="18697287" w14:textId="0B97AADD" w:rsidR="001E2AA0" w:rsidRDefault="001E2AA0" w:rsidP="001E2AA0">
      <w:pPr>
        <w:ind w:firstLine="420"/>
        <w:rPr>
          <w:rFonts w:hint="eastAsia"/>
        </w:rPr>
      </w:pPr>
      <w:r w:rsidRPr="001E2AA0">
        <w:t>我司严格遵循至少提前48小时通知用户的原则，对链路割接、施工、调整等工作进行规划。在实施前，制定详细的割接方案，评估对用户业务的潜在影响，并提交用户审核确认；割接过程中，安排专业技术人员全程值守，通过临时流量调度、备用链路启用等措施降低业务中断风险；割接完成后，进行全面测试与验证，确保链路恢复正常运行。同时，建立用户反馈机制，及时处理割接过程中出现的问题。</w:t>
      </w:r>
    </w:p>
    <w:p w14:paraId="5F3D44AD" w14:textId="4C8088C6" w:rsidR="00F94661" w:rsidRDefault="00F94661" w:rsidP="001E2AA0">
      <w:pPr>
        <w:ind w:firstLine="420"/>
        <w:rPr>
          <w:rFonts w:hint="eastAsia"/>
        </w:rPr>
      </w:pPr>
    </w:p>
    <w:p w14:paraId="364E9482" w14:textId="287032B8" w:rsidR="00F94661" w:rsidRPr="00A31C8F" w:rsidRDefault="006C6F6D" w:rsidP="006C6F6D">
      <w:pPr>
        <w:rPr>
          <w:rFonts w:hint="eastAsia"/>
        </w:rPr>
      </w:pPr>
      <w:r w:rsidRPr="006C6F6D">
        <w:rPr>
          <w:rFonts w:hint="eastAsia"/>
          <w:b/>
        </w:rPr>
        <w:t>招标文件要求</w:t>
      </w:r>
    </w:p>
    <w:p w14:paraId="7A0BEB4B" w14:textId="77777777" w:rsidR="00F94661" w:rsidRPr="001E2AA0" w:rsidRDefault="00F94661" w:rsidP="001E2AA0">
      <w:pPr>
        <w:ind w:firstLine="420"/>
        <w:rPr>
          <w:rFonts w:hint="eastAsia"/>
        </w:rPr>
      </w:pPr>
    </w:p>
    <w:p w14:paraId="544E5370" w14:textId="5B44503A"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供应商应保障此次部署的专线资源，可以满足后期使用过程中按照甲方的</w:t>
      </w:r>
      <w:r w:rsidR="006C6F6D" w:rsidRPr="006C6F6D">
        <w:rPr>
          <w:rFonts w:ascii="Arial" w:eastAsia="等线" w:hAnsi="Arial" w:cs="Arial"/>
          <w:b/>
          <w:sz w:val="24"/>
        </w:rPr>
        <w:t>招标文件要求</w:t>
      </w:r>
      <w:r w:rsidRPr="00880FE9">
        <w:rPr>
          <w:rFonts w:ascii="Arial" w:eastAsia="等线" w:hAnsi="Arial" w:cs="Arial"/>
          <w:sz w:val="24"/>
        </w:rPr>
        <w:t>在</w:t>
      </w:r>
      <w:r w:rsidRPr="00880FE9">
        <w:rPr>
          <w:rFonts w:ascii="Arial" w:eastAsia="等线" w:hAnsi="Arial" w:cs="Arial"/>
          <w:sz w:val="24"/>
        </w:rPr>
        <w:t>1</w:t>
      </w:r>
      <w:r>
        <w:rPr>
          <w:rFonts w:ascii="Arial" w:eastAsia="等线" w:hAnsi="Arial" w:cs="Arial"/>
          <w:sz w:val="24"/>
        </w:rPr>
        <w:t>0</w:t>
      </w:r>
      <w:r w:rsidRPr="00880FE9">
        <w:rPr>
          <w:rFonts w:ascii="Arial" w:eastAsia="等线" w:hAnsi="Arial" w:cs="Arial"/>
          <w:sz w:val="24"/>
        </w:rPr>
        <w:t>个工作日之内，完成专线链路的带宽扩容、部署操作、调试连通等相关工作。</w:t>
      </w:r>
    </w:p>
    <w:p w14:paraId="7E70AD32" w14:textId="77777777" w:rsidR="00F94661" w:rsidRDefault="00F94661" w:rsidP="001E2AA0">
      <w:pPr>
        <w:ind w:firstLine="420"/>
        <w:rPr>
          <w:rFonts w:hint="eastAsia"/>
        </w:rPr>
      </w:pPr>
    </w:p>
    <w:p w14:paraId="048E841E" w14:textId="77777777" w:rsidR="00F94661" w:rsidRDefault="00F94661" w:rsidP="001E2AA0">
      <w:pPr>
        <w:ind w:firstLine="420"/>
        <w:rPr>
          <w:rFonts w:hint="eastAsia"/>
        </w:rPr>
      </w:pPr>
    </w:p>
    <w:p w14:paraId="15317CBF" w14:textId="28770C83"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78A06BE" w14:textId="77777777" w:rsidR="00F94661" w:rsidRDefault="00F94661" w:rsidP="001E2AA0">
      <w:pPr>
        <w:ind w:firstLine="420"/>
        <w:rPr>
          <w:rFonts w:hint="eastAsia"/>
        </w:rPr>
      </w:pPr>
    </w:p>
    <w:p w14:paraId="400A155C" w14:textId="7064560A" w:rsidR="001E2AA0" w:rsidRDefault="001E2AA0" w:rsidP="001E2AA0">
      <w:pPr>
        <w:ind w:firstLine="420"/>
        <w:rPr>
          <w:rFonts w:hint="eastAsia"/>
        </w:rPr>
      </w:pPr>
      <w:r w:rsidRPr="001E2AA0">
        <w:rPr>
          <w:rFonts w:hint="eastAsia"/>
        </w:rPr>
        <w:t>依托华为云弹性网络架构与敏捷运维能力，我司确保在接到甲方专线链路扩容或部署需求后，</w:t>
      </w:r>
      <w:r w:rsidRPr="001E2AA0">
        <w:t>10个工作日内完成全部工作。通过华为云控制台或API接口快速申请带宽扩容，48小时内完成资源调配；对于新专线部署，从方案设计、设备安装到调试连通，全程采用标准化流程，协调各方资源高效推进。实施过程中，每日向用户汇报进度，确保扩容与部署工作透明、高效完成，满足用户业务快速发展需求。</w:t>
      </w:r>
    </w:p>
    <w:p w14:paraId="4387B742" w14:textId="488E385E" w:rsidR="00F94661" w:rsidRDefault="00F94661" w:rsidP="001E2AA0">
      <w:pPr>
        <w:ind w:firstLine="420"/>
        <w:rPr>
          <w:rFonts w:hint="eastAsia"/>
        </w:rPr>
      </w:pPr>
    </w:p>
    <w:p w14:paraId="13153C60" w14:textId="77777777" w:rsidR="00F94661" w:rsidRDefault="00F94661" w:rsidP="001E2AA0">
      <w:pPr>
        <w:ind w:firstLine="420"/>
        <w:rPr>
          <w:rFonts w:hint="eastAsia"/>
        </w:rPr>
      </w:pPr>
    </w:p>
    <w:p w14:paraId="30B9FAA1" w14:textId="70BAFA11" w:rsidR="00F94661" w:rsidRPr="00A31C8F" w:rsidRDefault="006C6F6D" w:rsidP="006C6F6D">
      <w:pPr>
        <w:rPr>
          <w:rFonts w:hint="eastAsia"/>
        </w:rPr>
      </w:pPr>
      <w:r w:rsidRPr="006C6F6D">
        <w:rPr>
          <w:rFonts w:hint="eastAsia"/>
          <w:b/>
        </w:rPr>
        <w:t>招标文件要求</w:t>
      </w:r>
    </w:p>
    <w:p w14:paraId="0F2920A2" w14:textId="77777777" w:rsidR="007671BD" w:rsidRPr="001E2AA0" w:rsidRDefault="007671BD" w:rsidP="001E2AA0">
      <w:pPr>
        <w:ind w:firstLine="420"/>
        <w:rPr>
          <w:rFonts w:hint="eastAsia"/>
        </w:rPr>
      </w:pPr>
    </w:p>
    <w:p w14:paraId="5BE3C255" w14:textId="4F8DDC25"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供应商需根据甲方</w:t>
      </w:r>
      <w:r w:rsidR="006C6F6D" w:rsidRPr="006C6F6D">
        <w:rPr>
          <w:rFonts w:ascii="Arial" w:eastAsia="等线" w:hAnsi="Arial" w:cs="Arial"/>
          <w:b/>
          <w:sz w:val="24"/>
        </w:rPr>
        <w:t>招标文件要求</w:t>
      </w:r>
      <w:r w:rsidRPr="00880FE9">
        <w:rPr>
          <w:rFonts w:ascii="Arial" w:eastAsia="等线" w:hAnsi="Arial" w:cs="Arial"/>
          <w:sz w:val="24"/>
        </w:rPr>
        <w:t>随时对相关云专线链路终止服务。</w:t>
      </w:r>
    </w:p>
    <w:p w14:paraId="72E9F9C6" w14:textId="15202508" w:rsidR="007671BD" w:rsidRDefault="007671BD" w:rsidP="007671BD">
      <w:pPr>
        <w:widowControl/>
        <w:rPr>
          <w:rFonts w:ascii="Arial" w:eastAsia="等线" w:hAnsi="Arial" w:cs="Arial"/>
          <w:sz w:val="24"/>
        </w:rPr>
      </w:pPr>
    </w:p>
    <w:p w14:paraId="6D330CC0" w14:textId="639D7E5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D396060" w14:textId="77777777" w:rsidR="007671BD" w:rsidRPr="007671BD" w:rsidRDefault="007671BD" w:rsidP="007671BD">
      <w:pPr>
        <w:widowControl/>
        <w:rPr>
          <w:rFonts w:ascii="Arial" w:eastAsia="等线" w:hAnsi="Arial" w:cs="Arial"/>
          <w:sz w:val="24"/>
        </w:rPr>
      </w:pPr>
    </w:p>
    <w:p w14:paraId="31367942" w14:textId="5445A376" w:rsidR="001E2AA0" w:rsidRPr="001E2AA0" w:rsidRDefault="001E2AA0" w:rsidP="001E2AA0">
      <w:pPr>
        <w:ind w:firstLine="420"/>
        <w:rPr>
          <w:rFonts w:hint="eastAsia"/>
        </w:rPr>
      </w:pPr>
      <w:r w:rsidRPr="001E2AA0">
        <w:rPr>
          <w:rFonts w:hint="eastAsia"/>
        </w:rPr>
        <w:t>我司完全响应甲方随时终止专线链路服务的需求，制定标准化的服务终止流程。接到通知后，</w:t>
      </w:r>
      <w:r w:rsidRPr="001E2AA0">
        <w:t>24小时内启动终止程序，配合甲方完成数据迁移、资源释放、费用结算等工作，确保服务终止过程平稳有序，不影响甲方其他业务运行。同时，对服务期间产生的数据进行安全删除或迁移，保障甲方数据隐私与安全，并提供终止服务证明文件，妥善完成服务交接。</w:t>
      </w:r>
    </w:p>
    <w:p w14:paraId="44D2AA4C" w14:textId="77777777" w:rsidR="001E2AA0" w:rsidRPr="001E2AA0" w:rsidRDefault="001E2AA0" w:rsidP="001E2AA0">
      <w:pPr>
        <w:ind w:firstLine="420"/>
        <w:rPr>
          <w:rFonts w:hint="eastAsia"/>
        </w:rPr>
      </w:pPr>
    </w:p>
    <w:p w14:paraId="2C34E4BF" w14:textId="0231F304" w:rsidR="00BE572F" w:rsidRDefault="00BE572F" w:rsidP="00BE572F">
      <w:pPr>
        <w:pStyle w:val="1"/>
        <w:rPr>
          <w:rFonts w:hint="eastAsia"/>
        </w:rPr>
      </w:pPr>
      <w:r>
        <w:lastRenderedPageBreak/>
        <w:tab/>
        <w:t>实施服务</w:t>
      </w:r>
      <w:r>
        <w:tab/>
      </w:r>
    </w:p>
    <w:p w14:paraId="4FB51A15" w14:textId="00027ACF" w:rsidR="001E2AA0" w:rsidRDefault="001E2AA0" w:rsidP="001E2AA0">
      <w:pPr>
        <w:ind w:firstLine="420"/>
        <w:rPr>
          <w:rFonts w:eastAsia="等线" w:hint="eastAsia"/>
        </w:rPr>
      </w:pPr>
      <w:r w:rsidRPr="00880FE9">
        <w:rPr>
          <w:rFonts w:eastAsia="等线"/>
        </w:rPr>
        <w:t>投标人应提供资源迁移服务，</w:t>
      </w:r>
      <w:r w:rsidR="006C6F6D" w:rsidRPr="006C6F6D">
        <w:rPr>
          <w:rFonts w:eastAsia="等线"/>
          <w:b/>
        </w:rPr>
        <w:t>招标文件要求</w:t>
      </w:r>
      <w:r w:rsidRPr="00880FE9">
        <w:rPr>
          <w:rFonts w:eastAsia="等线"/>
        </w:rPr>
        <w:t>如下。</w:t>
      </w:r>
    </w:p>
    <w:p w14:paraId="043843B7" w14:textId="2EDFDD58" w:rsidR="00BE572F" w:rsidRDefault="00BE572F" w:rsidP="00BE572F">
      <w:pPr>
        <w:pStyle w:val="2"/>
        <w:rPr>
          <w:rFonts w:hint="eastAsia"/>
        </w:rPr>
      </w:pPr>
      <w:r>
        <w:tab/>
        <w:t>★责任（总集）</w:t>
      </w:r>
      <w:r>
        <w:tab/>
      </w:r>
    </w:p>
    <w:p w14:paraId="44C584D3" w14:textId="52E685D3" w:rsidR="00F94661" w:rsidRPr="00A31C8F" w:rsidRDefault="006C6F6D" w:rsidP="006C6F6D">
      <w:pPr>
        <w:rPr>
          <w:rFonts w:hint="eastAsia"/>
        </w:rPr>
      </w:pPr>
      <w:r w:rsidRPr="006C6F6D">
        <w:rPr>
          <w:rFonts w:hint="eastAsia"/>
          <w:b/>
        </w:rPr>
        <w:t>招标文件要求</w:t>
      </w:r>
    </w:p>
    <w:p w14:paraId="5D3B3DFA" w14:textId="77777777" w:rsidR="00F94661" w:rsidRPr="00F94661" w:rsidRDefault="00F94661" w:rsidP="00F94661">
      <w:pPr>
        <w:rPr>
          <w:rFonts w:hint="eastAsia"/>
        </w:rPr>
      </w:pPr>
    </w:p>
    <w:p w14:paraId="7D674ABE" w14:textId="37C28CAD" w:rsidR="001E2AA0" w:rsidRDefault="001E2AA0" w:rsidP="001E2AA0">
      <w:pPr>
        <w:snapToGrid w:val="0"/>
        <w:ind w:firstLineChars="177" w:firstLine="372"/>
        <w:rPr>
          <w:rFonts w:eastAsia="等线" w:hint="eastAsia"/>
          <w:color w:val="000000"/>
        </w:rPr>
      </w:pPr>
      <w:r w:rsidRPr="00880FE9">
        <w:rPr>
          <w:rFonts w:eastAsia="等线"/>
          <w:color w:val="000000"/>
        </w:rPr>
        <w:t>投标人全面负责整体项目，负责项目实施、切换和上线；</w:t>
      </w:r>
    </w:p>
    <w:p w14:paraId="3D9BA742" w14:textId="03110D16" w:rsidR="001E2AA0" w:rsidRDefault="001E2AA0" w:rsidP="001E2AA0">
      <w:pPr>
        <w:snapToGrid w:val="0"/>
        <w:ind w:firstLineChars="177" w:firstLine="372"/>
        <w:rPr>
          <w:rFonts w:eastAsia="等线" w:hint="eastAsia"/>
          <w:color w:val="000000"/>
        </w:rPr>
      </w:pPr>
    </w:p>
    <w:p w14:paraId="68D79CC4" w14:textId="66DD7E6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4E824C6" w14:textId="77777777" w:rsidR="007671BD" w:rsidRDefault="007671BD" w:rsidP="001E2AA0">
      <w:pPr>
        <w:snapToGrid w:val="0"/>
        <w:ind w:firstLineChars="177" w:firstLine="372"/>
        <w:rPr>
          <w:rFonts w:eastAsia="等线" w:hint="eastAsia"/>
          <w:color w:val="000000"/>
        </w:rPr>
      </w:pPr>
    </w:p>
    <w:p w14:paraId="343A7465" w14:textId="425F323C" w:rsidR="001E2AA0" w:rsidRDefault="00152F2A" w:rsidP="001E2AA0">
      <w:pPr>
        <w:snapToGrid w:val="0"/>
        <w:ind w:firstLineChars="177" w:firstLine="372"/>
        <w:rPr>
          <w:rFonts w:ascii="Segoe UI" w:hAnsi="Segoe UI" w:cs="Segoe UI"/>
          <w:shd w:val="clear" w:color="auto" w:fill="F9FAFB"/>
        </w:rPr>
      </w:pPr>
      <w:r>
        <w:rPr>
          <w:rFonts w:ascii="Segoe UI" w:hAnsi="Segoe UI" w:cs="Segoe UI"/>
          <w:shd w:val="clear" w:color="auto" w:fill="F9FAFB"/>
        </w:rPr>
        <w:t>我公司</w:t>
      </w:r>
      <w:r w:rsidR="001E2AA0">
        <w:rPr>
          <w:rFonts w:ascii="Segoe UI" w:hAnsi="Segoe UI" w:cs="Segoe UI"/>
          <w:shd w:val="clear" w:color="auto" w:fill="F9FAFB"/>
        </w:rPr>
        <w:t>将充分发挥技术与服务优势，对项目全流程负责，严格把控风险，确保项目顺利推进。</w:t>
      </w:r>
    </w:p>
    <w:p w14:paraId="036081A2" w14:textId="2859C9FE" w:rsidR="001E2AA0" w:rsidRDefault="001E2AA0" w:rsidP="001E2AA0">
      <w:pPr>
        <w:snapToGrid w:val="0"/>
        <w:ind w:firstLineChars="177" w:firstLine="372"/>
        <w:rPr>
          <w:rFonts w:ascii="Segoe UI" w:hAnsi="Segoe UI" w:cs="Segoe UI"/>
          <w:shd w:val="clear" w:color="auto" w:fill="F9FAFB"/>
        </w:rPr>
      </w:pPr>
    </w:p>
    <w:p w14:paraId="57A1BEC0" w14:textId="14DC88BE" w:rsidR="00F94661" w:rsidRPr="00A31C8F" w:rsidRDefault="006C6F6D" w:rsidP="006C6F6D">
      <w:pPr>
        <w:rPr>
          <w:rFonts w:hint="eastAsia"/>
        </w:rPr>
      </w:pPr>
      <w:r w:rsidRPr="006C6F6D">
        <w:rPr>
          <w:rFonts w:hint="eastAsia"/>
          <w:b/>
        </w:rPr>
        <w:t>招标文件要求</w:t>
      </w:r>
    </w:p>
    <w:p w14:paraId="17A6DA36" w14:textId="77777777" w:rsidR="001E2AA0" w:rsidRPr="00880FE9" w:rsidRDefault="001E2AA0" w:rsidP="001E2AA0">
      <w:pPr>
        <w:snapToGrid w:val="0"/>
        <w:ind w:firstLineChars="177" w:firstLine="372"/>
        <w:rPr>
          <w:rFonts w:eastAsia="等线" w:hint="eastAsia"/>
          <w:color w:val="000000"/>
        </w:rPr>
      </w:pPr>
    </w:p>
    <w:p w14:paraId="7EAB66C3" w14:textId="41900568" w:rsidR="001E2AA0" w:rsidRDefault="001E2AA0" w:rsidP="001E2AA0">
      <w:pPr>
        <w:snapToGrid w:val="0"/>
        <w:ind w:firstLineChars="177" w:firstLine="372"/>
        <w:rPr>
          <w:rFonts w:eastAsia="等线" w:hint="eastAsia"/>
          <w:color w:val="000000"/>
        </w:rPr>
      </w:pPr>
      <w:r w:rsidRPr="00880FE9">
        <w:rPr>
          <w:rFonts w:eastAsia="等线"/>
          <w:color w:val="000000"/>
        </w:rPr>
        <w:t>确保系统部署、切换和上线过程中的风险全部可控，不能出现重大故障而导致业务出现问题。</w:t>
      </w:r>
    </w:p>
    <w:p w14:paraId="4D2C41E5" w14:textId="0CF88FF3" w:rsidR="001E2AA0" w:rsidRDefault="001E2AA0" w:rsidP="001E2AA0">
      <w:pPr>
        <w:snapToGrid w:val="0"/>
        <w:ind w:firstLineChars="177" w:firstLine="372"/>
        <w:rPr>
          <w:rFonts w:eastAsia="等线" w:hint="eastAsia"/>
          <w:color w:val="000000"/>
        </w:rPr>
      </w:pPr>
    </w:p>
    <w:p w14:paraId="36B70E35" w14:textId="27A8D22F" w:rsidR="007671BD" w:rsidRDefault="007671BD" w:rsidP="001E2AA0">
      <w:pPr>
        <w:snapToGrid w:val="0"/>
        <w:ind w:firstLineChars="177" w:firstLine="372"/>
        <w:rPr>
          <w:rFonts w:eastAsia="等线" w:hint="eastAsia"/>
          <w:color w:val="000000"/>
        </w:rPr>
      </w:pPr>
    </w:p>
    <w:p w14:paraId="57C7B079" w14:textId="14B3E5F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2942121" w14:textId="77777777" w:rsidR="007671BD" w:rsidRDefault="007671BD" w:rsidP="001E2AA0">
      <w:pPr>
        <w:snapToGrid w:val="0"/>
        <w:ind w:firstLineChars="177" w:firstLine="372"/>
        <w:rPr>
          <w:rFonts w:eastAsia="等线" w:hint="eastAsia"/>
          <w:color w:val="000000"/>
        </w:rPr>
      </w:pPr>
    </w:p>
    <w:p w14:paraId="3D96B4DB" w14:textId="4CCAC8F5" w:rsidR="001E2AA0" w:rsidRDefault="00152F2A" w:rsidP="001E2AA0">
      <w:pPr>
        <w:snapToGrid w:val="0"/>
        <w:ind w:firstLineChars="177" w:firstLine="372"/>
        <w:rPr>
          <w:rFonts w:eastAsia="等线" w:hint="eastAsia"/>
          <w:color w:val="000000"/>
        </w:rPr>
      </w:pPr>
      <w:r>
        <w:rPr>
          <w:rFonts w:ascii="Segoe UI" w:hAnsi="Segoe UI" w:cs="Segoe UI"/>
          <w:shd w:val="clear" w:color="auto" w:fill="F9FAFB"/>
        </w:rPr>
        <w:t>我公司</w:t>
      </w:r>
      <w:r w:rsidR="001E2AA0">
        <w:rPr>
          <w:rFonts w:ascii="Segoe UI" w:hAnsi="Segoe UI" w:cs="Segoe UI"/>
          <w:shd w:val="clear" w:color="auto" w:fill="F9FAFB"/>
        </w:rPr>
        <w:t>将全面统筹</w:t>
      </w:r>
      <w:proofErr w:type="spellStart"/>
      <w:r w:rsidR="001E2AA0">
        <w:rPr>
          <w:rFonts w:ascii="Segoe UI" w:hAnsi="Segoe UI" w:cs="Segoe UI"/>
          <w:shd w:val="clear" w:color="auto" w:fill="F9FAFB"/>
        </w:rPr>
        <w:t>Ameco</w:t>
      </w:r>
      <w:proofErr w:type="spellEnd"/>
      <w:r w:rsidR="001E2AA0">
        <w:rPr>
          <w:rFonts w:ascii="Segoe UI" w:hAnsi="Segoe UI" w:cs="Segoe UI"/>
          <w:shd w:val="clear" w:color="auto" w:fill="F9FAFB"/>
        </w:rPr>
        <w:t>项目全生命周期管理，组建涵盖架构设计、技术实施、项目管理等多领域专家的核心团队，从项目规划、资源调配到落地执行全程主导，确保项目实施、切换和上线各环节高效协同。在系统部署阶段，采用华为云标准化实施流程，通过自动化部署工具与模拟测试环境，提前验证系统兼容性与稳定性；切换过程中，制定详细的分阶段切换方案，利用灰度发布、流量切分等技术，降低业务中断风险；上线时，安排</w:t>
      </w:r>
      <w:r w:rsidR="001E2AA0">
        <w:rPr>
          <w:rFonts w:ascii="Segoe UI" w:hAnsi="Segoe UI" w:cs="Segoe UI"/>
          <w:shd w:val="clear" w:color="auto" w:fill="F9FAFB"/>
        </w:rPr>
        <w:t>7×24</w:t>
      </w:r>
      <w:r w:rsidR="001E2AA0">
        <w:rPr>
          <w:rFonts w:ascii="Segoe UI" w:hAnsi="Segoe UI" w:cs="Segoe UI"/>
          <w:shd w:val="clear" w:color="auto" w:fill="F9FAFB"/>
        </w:rPr>
        <w:t>小时现场值守与远程技术支持，实时监控系统运行状态。针对潜在风险，建立三级风险预警机制，运用华为云智能运维平台实时监测系统关键指标，对可能引发重大故障的隐患提前预警并介入处理，同时制定多套应急预案，确保在突发情况下快速响应、及时恢复，以零重大故障为目标，全力保障</w:t>
      </w:r>
      <w:proofErr w:type="spellStart"/>
      <w:r w:rsidR="001E2AA0">
        <w:rPr>
          <w:rFonts w:ascii="Segoe UI" w:hAnsi="Segoe UI" w:cs="Segoe UI"/>
          <w:shd w:val="clear" w:color="auto" w:fill="F9FAFB"/>
        </w:rPr>
        <w:t>Ameco</w:t>
      </w:r>
      <w:proofErr w:type="spellEnd"/>
      <w:r w:rsidR="001E2AA0">
        <w:rPr>
          <w:rFonts w:ascii="Segoe UI" w:hAnsi="Segoe UI" w:cs="Segoe UI"/>
          <w:shd w:val="clear" w:color="auto" w:fill="F9FAFB"/>
        </w:rPr>
        <w:t>业务平稳运行。</w:t>
      </w:r>
    </w:p>
    <w:p w14:paraId="4804DB8B" w14:textId="77777777" w:rsidR="001E2AA0" w:rsidRPr="001E2AA0" w:rsidRDefault="001E2AA0" w:rsidP="001E2AA0">
      <w:pPr>
        <w:rPr>
          <w:rFonts w:hint="eastAsia"/>
        </w:rPr>
      </w:pPr>
    </w:p>
    <w:p w14:paraId="7D8A6C2A" w14:textId="422E2183" w:rsidR="00BE572F" w:rsidRDefault="00BE572F" w:rsidP="00BE572F">
      <w:pPr>
        <w:pStyle w:val="2"/>
        <w:rPr>
          <w:rFonts w:hint="eastAsia"/>
        </w:rPr>
      </w:pPr>
      <w:r>
        <w:tab/>
        <w:t>★投标人</w:t>
      </w:r>
      <w:r w:rsidR="006C6F6D" w:rsidRPr="006C6F6D">
        <w:t>招标文件要求</w:t>
      </w:r>
      <w:r>
        <w:t>（总集）</w:t>
      </w:r>
      <w:r>
        <w:tab/>
      </w:r>
    </w:p>
    <w:p w14:paraId="197501CA" w14:textId="6CEBD82E" w:rsidR="00F94661" w:rsidRPr="00A31C8F" w:rsidRDefault="006C6F6D" w:rsidP="006C6F6D">
      <w:pPr>
        <w:rPr>
          <w:rFonts w:hint="eastAsia"/>
        </w:rPr>
      </w:pPr>
      <w:r w:rsidRPr="006C6F6D">
        <w:rPr>
          <w:rFonts w:hint="eastAsia"/>
          <w:b/>
        </w:rPr>
        <w:t>招标文件要求</w:t>
      </w:r>
    </w:p>
    <w:p w14:paraId="4041054C" w14:textId="77777777" w:rsidR="00F94661" w:rsidRPr="00F94661" w:rsidRDefault="00F94661" w:rsidP="00F94661">
      <w:pPr>
        <w:rPr>
          <w:rFonts w:hint="eastAsia"/>
        </w:rPr>
      </w:pPr>
    </w:p>
    <w:p w14:paraId="1BB140D9" w14:textId="77777777" w:rsidR="001E2AA0" w:rsidRPr="00880FE9" w:rsidRDefault="001E2AA0" w:rsidP="001E2AA0">
      <w:pPr>
        <w:snapToGrid w:val="0"/>
        <w:ind w:firstLineChars="177" w:firstLine="372"/>
        <w:rPr>
          <w:rFonts w:eastAsia="等线" w:hint="eastAsia"/>
          <w:color w:val="000000"/>
        </w:rPr>
      </w:pPr>
      <w:r w:rsidRPr="00880FE9">
        <w:rPr>
          <w:rFonts w:eastAsia="等线"/>
          <w:color w:val="000000"/>
        </w:rPr>
        <w:t>所有实施服务由投标人工程师或公有云原厂工程师完成。</w:t>
      </w:r>
    </w:p>
    <w:p w14:paraId="66594A95" w14:textId="0A8F21CE" w:rsidR="007671BD" w:rsidRDefault="007671BD" w:rsidP="001E2AA0">
      <w:pPr>
        <w:snapToGrid w:val="0"/>
        <w:ind w:firstLineChars="177" w:firstLine="372"/>
        <w:rPr>
          <w:rFonts w:eastAsia="等线" w:hint="eastAsia"/>
          <w:color w:val="000000"/>
        </w:rPr>
      </w:pPr>
    </w:p>
    <w:p w14:paraId="0670A093" w14:textId="4E32D629"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0108FFD" w14:textId="77777777" w:rsidR="007671BD" w:rsidRPr="001E2AA0" w:rsidRDefault="007671BD" w:rsidP="001E2AA0">
      <w:pPr>
        <w:snapToGrid w:val="0"/>
        <w:ind w:firstLineChars="177" w:firstLine="372"/>
        <w:rPr>
          <w:rFonts w:eastAsia="等线" w:hint="eastAsia"/>
          <w:color w:val="000000"/>
        </w:rPr>
      </w:pPr>
    </w:p>
    <w:p w14:paraId="481ECCCB" w14:textId="35B5A93B" w:rsidR="001E2AA0" w:rsidRPr="001E2AA0" w:rsidRDefault="00152F2A" w:rsidP="001E2AA0">
      <w:pPr>
        <w:snapToGrid w:val="0"/>
        <w:ind w:firstLineChars="177" w:firstLine="372"/>
        <w:rPr>
          <w:rFonts w:eastAsia="等线" w:hint="eastAsia"/>
          <w:color w:val="000000"/>
        </w:rPr>
      </w:pPr>
      <w:r>
        <w:rPr>
          <w:rFonts w:ascii="Segoe UI" w:hAnsi="Segoe UI" w:cs="Segoe UI"/>
          <w:shd w:val="clear" w:color="auto" w:fill="F9FAFB"/>
        </w:rPr>
        <w:t>我公司</w:t>
      </w:r>
      <w:r w:rsidR="001E2AA0">
        <w:rPr>
          <w:rFonts w:ascii="Segoe UI" w:hAnsi="Segoe UI" w:cs="Segoe UI"/>
          <w:shd w:val="clear" w:color="auto" w:fill="F9FAFB"/>
        </w:rPr>
        <w:t>严格遵循</w:t>
      </w:r>
      <w:r w:rsidR="006C6F6D" w:rsidRPr="006C6F6D">
        <w:rPr>
          <w:rFonts w:ascii="Segoe UI" w:hAnsi="Segoe UI" w:cs="Segoe UI"/>
          <w:b/>
          <w:shd w:val="clear" w:color="auto" w:fill="F9FAFB"/>
        </w:rPr>
        <w:t>招标文件要求</w:t>
      </w:r>
      <w:r w:rsidR="001E2AA0">
        <w:rPr>
          <w:rFonts w:ascii="Segoe UI" w:hAnsi="Segoe UI" w:cs="Segoe UI"/>
          <w:shd w:val="clear" w:color="auto" w:fill="F9FAFB"/>
        </w:rPr>
        <w:t>，组建由华为云原厂认证工程师与我司专业技术人员构成的核心实施团队，所有实施服务均由具备丰富云计算项目经验、持有</w:t>
      </w:r>
      <w:r w:rsidR="001E2AA0">
        <w:rPr>
          <w:rFonts w:ascii="Segoe UI" w:hAnsi="Segoe UI" w:cs="Segoe UI"/>
          <w:shd w:val="clear" w:color="auto" w:fill="F9FAFB"/>
        </w:rPr>
        <w:t>HCIA</w:t>
      </w:r>
      <w:r w:rsidR="001E2AA0">
        <w:rPr>
          <w:rFonts w:ascii="Segoe UI" w:hAnsi="Segoe UI" w:cs="Segoe UI"/>
          <w:shd w:val="clear" w:color="auto" w:fill="F9FAFB"/>
        </w:rPr>
        <w:t>、</w:t>
      </w:r>
      <w:r w:rsidR="001E2AA0">
        <w:rPr>
          <w:rFonts w:ascii="Segoe UI" w:hAnsi="Segoe UI" w:cs="Segoe UI"/>
          <w:shd w:val="clear" w:color="auto" w:fill="F9FAFB"/>
        </w:rPr>
        <w:t>HCIP</w:t>
      </w:r>
      <w:r w:rsidR="001E2AA0">
        <w:rPr>
          <w:rFonts w:ascii="Segoe UI" w:hAnsi="Segoe UI" w:cs="Segoe UI"/>
          <w:shd w:val="clear" w:color="auto" w:fill="F9FAFB"/>
        </w:rPr>
        <w:t>等华为云专业认证的工程师完成。从资源迁移前的评估规划，到实施阶段的技术操作，再到迁移后的验证优化、安全保障及知识转移等全流程服务，均确保工程师全程深度参与。原厂工程师主导技术方案设计与</w:t>
      </w:r>
      <w:r w:rsidR="001E2AA0">
        <w:rPr>
          <w:rFonts w:ascii="Segoe UI" w:hAnsi="Segoe UI" w:cs="Segoe UI"/>
          <w:shd w:val="clear" w:color="auto" w:fill="F9FAFB"/>
        </w:rPr>
        <w:lastRenderedPageBreak/>
        <w:t>复杂问题解决，我司工程师负责现场协调与基础实施工作，双方紧密协作，严格按照华为云标准操作流程执行，通过定期技术培训与考核机制，保障团队专业能力持续提升，确保项目各环节高效、规范落地，为</w:t>
      </w:r>
      <w:proofErr w:type="spellStart"/>
      <w:r w:rsidR="001E2AA0">
        <w:rPr>
          <w:rFonts w:ascii="Segoe UI" w:hAnsi="Segoe UI" w:cs="Segoe UI"/>
          <w:shd w:val="clear" w:color="auto" w:fill="F9FAFB"/>
        </w:rPr>
        <w:t>Ameco</w:t>
      </w:r>
      <w:proofErr w:type="spellEnd"/>
      <w:r w:rsidR="001E2AA0">
        <w:rPr>
          <w:rFonts w:ascii="Segoe UI" w:hAnsi="Segoe UI" w:cs="Segoe UI"/>
          <w:shd w:val="clear" w:color="auto" w:fill="F9FAFB"/>
        </w:rPr>
        <w:t>提供高质量、高可靠性的实施服务。</w:t>
      </w:r>
    </w:p>
    <w:p w14:paraId="4264794D" w14:textId="750384E5" w:rsidR="00BE572F" w:rsidRDefault="00BE572F" w:rsidP="00BE572F">
      <w:pPr>
        <w:pStyle w:val="2"/>
        <w:rPr>
          <w:rFonts w:hint="eastAsia"/>
        </w:rPr>
      </w:pPr>
      <w:r>
        <w:tab/>
        <w:t>★服务范围（总集）</w:t>
      </w:r>
      <w:r>
        <w:tab/>
      </w:r>
    </w:p>
    <w:p w14:paraId="72220C8C" w14:textId="1C927369" w:rsidR="00F94661" w:rsidRPr="00A31C8F" w:rsidRDefault="006C6F6D" w:rsidP="006C6F6D">
      <w:pPr>
        <w:rPr>
          <w:rFonts w:hint="eastAsia"/>
        </w:rPr>
      </w:pPr>
      <w:r w:rsidRPr="006C6F6D">
        <w:rPr>
          <w:rFonts w:hint="eastAsia"/>
          <w:b/>
        </w:rPr>
        <w:t>招标文件要求</w:t>
      </w:r>
    </w:p>
    <w:p w14:paraId="230E2EB1" w14:textId="77777777" w:rsidR="00F94661" w:rsidRPr="00F94661" w:rsidRDefault="00F94661" w:rsidP="00F94661">
      <w:pPr>
        <w:rPr>
          <w:rFonts w:hint="eastAsia"/>
        </w:rPr>
      </w:pPr>
    </w:p>
    <w:p w14:paraId="0E2F8FC4" w14:textId="5DC34F9D"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专</w:t>
      </w:r>
      <w:bookmarkStart w:id="3" w:name="OLE_LINK16"/>
      <w:r w:rsidRPr="00880FE9">
        <w:rPr>
          <w:rFonts w:ascii="Arial" w:eastAsia="等线" w:hAnsi="Arial" w:cs="Arial"/>
          <w:color w:val="000000"/>
          <w:sz w:val="24"/>
        </w:rPr>
        <w:t>线部署。</w:t>
      </w:r>
    </w:p>
    <w:p w14:paraId="28D21A78" w14:textId="7B4E855A" w:rsidR="00521E55" w:rsidRDefault="00521E55" w:rsidP="00521E55">
      <w:pPr>
        <w:snapToGrid w:val="0"/>
        <w:ind w:firstLineChars="177" w:firstLine="372"/>
        <w:rPr>
          <w:rFonts w:ascii="Segoe UI" w:hAnsi="Segoe UI" w:cs="Segoe UI"/>
          <w:shd w:val="clear" w:color="auto" w:fill="F9FAFB"/>
        </w:rPr>
      </w:pPr>
    </w:p>
    <w:p w14:paraId="7E43A234" w14:textId="5B96FF5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BE012F3" w14:textId="77777777" w:rsidR="007671BD" w:rsidRPr="00521E55" w:rsidRDefault="007671BD" w:rsidP="00521E55">
      <w:pPr>
        <w:snapToGrid w:val="0"/>
        <w:ind w:firstLineChars="177" w:firstLine="372"/>
        <w:rPr>
          <w:rFonts w:ascii="Segoe UI" w:hAnsi="Segoe UI" w:cs="Segoe UI"/>
          <w:shd w:val="clear" w:color="auto" w:fill="F9FAFB"/>
        </w:rPr>
      </w:pPr>
    </w:p>
    <w:p w14:paraId="24B16004" w14:textId="70B993E5"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将充分发挥华为云在网络领域的深厚技术积累与丰富经验，为贵方量身定制专线部署方案。基于华为先进的网络设备与技术架构，</w:t>
      </w:r>
      <w:r>
        <w:rPr>
          <w:rFonts w:ascii="Segoe UI" w:hAnsi="Segoe UI" w:cs="Segoe UI"/>
          <w:color w:val="1F2329"/>
          <w:shd w:val="clear" w:color="auto" w:fill="EFF0F1"/>
        </w:rPr>
        <w:t>我公司</w:t>
      </w:r>
      <w:r w:rsidR="00521E55">
        <w:rPr>
          <w:rFonts w:ascii="Segoe UI" w:hAnsi="Segoe UI" w:cs="Segoe UI"/>
          <w:color w:val="1F2329"/>
          <w:shd w:val="clear" w:color="auto" w:fill="EFF0F1"/>
        </w:rPr>
        <w:t>会全面评估网络需求、带宽</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及安全性等因素，确保专线部署具备高稳定性、高可靠性与高安全性。从线路规划、设备选型到安装调试，</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将全程严格把控质量与进度，同时提供</w:t>
      </w:r>
      <w:r w:rsidR="00521E55">
        <w:rPr>
          <w:rFonts w:ascii="Segoe UI" w:hAnsi="Segoe UI" w:cs="Segoe UI"/>
          <w:color w:val="1F2329"/>
          <w:shd w:val="clear" w:color="auto" w:fill="EFF0F1"/>
        </w:rPr>
        <w:t>7×24</w:t>
      </w:r>
      <w:r w:rsidR="00521E55">
        <w:rPr>
          <w:rFonts w:ascii="Segoe UI" w:hAnsi="Segoe UI" w:cs="Segoe UI"/>
          <w:color w:val="1F2329"/>
          <w:shd w:val="clear" w:color="auto" w:fill="EFF0F1"/>
        </w:rPr>
        <w:t>小时的专业运维支持，保障专线网络高效稳定运行，满足贵方业务数据高速、安全传输需求。</w:t>
      </w:r>
    </w:p>
    <w:p w14:paraId="4EAD52E3" w14:textId="4AD890C5" w:rsidR="00521E55" w:rsidRDefault="00521E55" w:rsidP="00521E55">
      <w:pPr>
        <w:snapToGrid w:val="0"/>
        <w:ind w:firstLineChars="177" w:firstLine="372"/>
        <w:rPr>
          <w:rFonts w:ascii="Segoe UI" w:hAnsi="Segoe UI" w:cs="Segoe UI"/>
          <w:shd w:val="clear" w:color="auto" w:fill="F9FAFB"/>
        </w:rPr>
      </w:pPr>
    </w:p>
    <w:p w14:paraId="7136C249" w14:textId="5CC859DD" w:rsidR="00F94661" w:rsidRDefault="00F94661" w:rsidP="00521E55">
      <w:pPr>
        <w:snapToGrid w:val="0"/>
        <w:ind w:firstLineChars="177" w:firstLine="372"/>
        <w:rPr>
          <w:rFonts w:ascii="Segoe UI" w:hAnsi="Segoe UI" w:cs="Segoe UI"/>
          <w:shd w:val="clear" w:color="auto" w:fill="F9FAFB"/>
        </w:rPr>
      </w:pPr>
    </w:p>
    <w:p w14:paraId="77249B78" w14:textId="4087EE08" w:rsidR="00F94661" w:rsidRPr="00A31C8F" w:rsidRDefault="006C6F6D" w:rsidP="006C6F6D">
      <w:pPr>
        <w:rPr>
          <w:rFonts w:hint="eastAsia"/>
        </w:rPr>
      </w:pPr>
      <w:r w:rsidRPr="006C6F6D">
        <w:rPr>
          <w:rFonts w:hint="eastAsia"/>
          <w:b/>
        </w:rPr>
        <w:t>招标文件要求</w:t>
      </w:r>
    </w:p>
    <w:p w14:paraId="0D2C4A21" w14:textId="77777777" w:rsidR="00F94661" w:rsidRPr="00521E55" w:rsidRDefault="00F94661" w:rsidP="00521E55">
      <w:pPr>
        <w:snapToGrid w:val="0"/>
        <w:ind w:firstLineChars="177" w:firstLine="372"/>
        <w:rPr>
          <w:rFonts w:ascii="Segoe UI" w:hAnsi="Segoe UI" w:cs="Segoe UI"/>
          <w:shd w:val="clear" w:color="auto" w:fill="F9FAFB"/>
        </w:rPr>
      </w:pPr>
    </w:p>
    <w:p w14:paraId="51AB1051" w14:textId="6A51AA40"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混合云架构设计，与当前云平台一致。</w:t>
      </w:r>
    </w:p>
    <w:p w14:paraId="5F2F8D9A" w14:textId="3E582895" w:rsidR="007671BD" w:rsidRDefault="007671BD" w:rsidP="00521E55">
      <w:pPr>
        <w:snapToGrid w:val="0"/>
        <w:ind w:firstLineChars="177" w:firstLine="372"/>
        <w:rPr>
          <w:rFonts w:ascii="Segoe UI" w:hAnsi="Segoe UI" w:cs="Segoe UI"/>
          <w:shd w:val="clear" w:color="auto" w:fill="F9FAFB"/>
        </w:rPr>
      </w:pPr>
    </w:p>
    <w:p w14:paraId="113E5312" w14:textId="138F7BE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719BB96" w14:textId="77777777" w:rsidR="007671BD" w:rsidRPr="00521E55" w:rsidRDefault="007671BD" w:rsidP="00521E55">
      <w:pPr>
        <w:snapToGrid w:val="0"/>
        <w:ind w:firstLineChars="177" w:firstLine="372"/>
        <w:rPr>
          <w:rFonts w:ascii="Segoe UI" w:hAnsi="Segoe UI" w:cs="Segoe UI"/>
          <w:shd w:val="clear" w:color="auto" w:fill="F9FAFB"/>
        </w:rPr>
      </w:pPr>
    </w:p>
    <w:p w14:paraId="11877E52" w14:textId="43D16800"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凭借对华为云及各类云平台的深刻理解，结合贵方当前云平台的架构特点与业务需求，设计出高度契合的混合云架构。在设计过程中，</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充分考虑兼容性、扩展性和性能优化，确保新架构与现有云平台无缝对接，实现资源的灵活调度与统一管理。同时，运用华为云先进的技术与工具，保障混合云架构在数据交互、应用协同等方面的稳定性和高效性，助力贵方充分发挥混合云优势，提升业务竞争力。</w:t>
      </w:r>
    </w:p>
    <w:p w14:paraId="75746122" w14:textId="113407B1" w:rsidR="00521E55" w:rsidRDefault="00521E55" w:rsidP="00521E55">
      <w:pPr>
        <w:snapToGrid w:val="0"/>
        <w:ind w:firstLineChars="177" w:firstLine="372"/>
        <w:rPr>
          <w:rFonts w:ascii="Segoe UI" w:hAnsi="Segoe UI" w:cs="Segoe UI"/>
          <w:shd w:val="clear" w:color="auto" w:fill="F9FAFB"/>
        </w:rPr>
      </w:pPr>
    </w:p>
    <w:p w14:paraId="72A01D67" w14:textId="1ED74FE7" w:rsidR="00F94661" w:rsidRPr="00A31C8F" w:rsidRDefault="006C6F6D" w:rsidP="006C6F6D">
      <w:pPr>
        <w:rPr>
          <w:rFonts w:hint="eastAsia"/>
        </w:rPr>
      </w:pPr>
      <w:r w:rsidRPr="006C6F6D">
        <w:rPr>
          <w:rFonts w:hint="eastAsia"/>
          <w:b/>
        </w:rPr>
        <w:t>招标文件要求</w:t>
      </w:r>
    </w:p>
    <w:p w14:paraId="44725E80" w14:textId="77777777" w:rsidR="00F94661" w:rsidRPr="00521E55" w:rsidRDefault="00F94661" w:rsidP="00521E55">
      <w:pPr>
        <w:snapToGrid w:val="0"/>
        <w:ind w:firstLineChars="177" w:firstLine="372"/>
        <w:rPr>
          <w:rFonts w:ascii="Segoe UI" w:hAnsi="Segoe UI" w:cs="Segoe UI"/>
          <w:shd w:val="clear" w:color="auto" w:fill="F9FAFB"/>
        </w:rPr>
      </w:pPr>
    </w:p>
    <w:p w14:paraId="2A9DE385" w14:textId="0CBF3FD4"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协助资源下单。</w:t>
      </w:r>
    </w:p>
    <w:p w14:paraId="20005FD7" w14:textId="77E21B09" w:rsidR="00521E55" w:rsidRDefault="00521E55" w:rsidP="00521E55">
      <w:pPr>
        <w:snapToGrid w:val="0"/>
        <w:ind w:firstLineChars="177" w:firstLine="372"/>
        <w:rPr>
          <w:rFonts w:ascii="Segoe UI" w:hAnsi="Segoe UI" w:cs="Segoe UI"/>
          <w:shd w:val="clear" w:color="auto" w:fill="F9FAFB"/>
        </w:rPr>
      </w:pPr>
    </w:p>
    <w:p w14:paraId="03A73272" w14:textId="10642D62"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9B86FD7" w14:textId="77777777" w:rsidR="007671BD" w:rsidRPr="00521E55" w:rsidRDefault="007671BD" w:rsidP="00521E55">
      <w:pPr>
        <w:snapToGrid w:val="0"/>
        <w:ind w:firstLineChars="177" w:firstLine="372"/>
        <w:rPr>
          <w:rFonts w:ascii="Segoe UI" w:hAnsi="Segoe UI" w:cs="Segoe UI"/>
          <w:shd w:val="clear" w:color="auto" w:fill="F9FAFB"/>
        </w:rPr>
      </w:pPr>
    </w:p>
    <w:p w14:paraId="0B595EB1" w14:textId="1B342ADC"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拥有专业的服务团队，熟悉华为云各类资源的特性与下单流程。在协助贵方进行资源下单时，</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将深入了解贵方业务需求和使用场景，提供精准的资源选型建议。从资源规格确定、费用评估到下单操作指导，</w:t>
      </w:r>
      <w:r>
        <w:rPr>
          <w:rFonts w:ascii="Segoe UI" w:hAnsi="Segoe UI" w:cs="Segoe UI"/>
          <w:color w:val="1F2329"/>
          <w:shd w:val="clear" w:color="auto" w:fill="EFF0F1"/>
        </w:rPr>
        <w:t>我公司</w:t>
      </w:r>
      <w:r w:rsidR="00521E55">
        <w:rPr>
          <w:rFonts w:ascii="Segoe UI" w:hAnsi="Segoe UI" w:cs="Segoe UI"/>
          <w:color w:val="1F2329"/>
          <w:shd w:val="clear" w:color="auto" w:fill="EFF0F1"/>
        </w:rPr>
        <w:t>全程跟进，确保资源下单过程准确无误、高效便捷。此外，</w:t>
      </w:r>
      <w:r>
        <w:rPr>
          <w:rFonts w:ascii="Segoe UI" w:hAnsi="Segoe UI" w:cs="Segoe UI"/>
          <w:color w:val="1F2329"/>
          <w:shd w:val="clear" w:color="auto" w:fill="EFF0F1"/>
        </w:rPr>
        <w:t>我公司</w:t>
      </w:r>
      <w:r w:rsidR="00521E55">
        <w:rPr>
          <w:rFonts w:ascii="Segoe UI" w:hAnsi="Segoe UI" w:cs="Segoe UI"/>
          <w:color w:val="1F2329"/>
          <w:shd w:val="clear" w:color="auto" w:fill="EFF0F1"/>
        </w:rPr>
        <w:t>还将为贵方提供资源使用分析与优化建议，帮助贵方合理配置资源，降低使用成本，实现资源价值最大化。</w:t>
      </w:r>
    </w:p>
    <w:p w14:paraId="5020AA96" w14:textId="1A6C7253" w:rsidR="00521E55" w:rsidRDefault="00521E55" w:rsidP="00521E55">
      <w:pPr>
        <w:snapToGrid w:val="0"/>
        <w:ind w:firstLineChars="177" w:firstLine="372"/>
        <w:rPr>
          <w:rFonts w:ascii="Segoe UI" w:hAnsi="Segoe UI" w:cs="Segoe UI"/>
          <w:shd w:val="clear" w:color="auto" w:fill="F9FAFB"/>
        </w:rPr>
      </w:pPr>
    </w:p>
    <w:p w14:paraId="4D6A9E90" w14:textId="0E51CDF0" w:rsidR="00F94661" w:rsidRDefault="00F94661" w:rsidP="00521E55">
      <w:pPr>
        <w:snapToGrid w:val="0"/>
        <w:ind w:firstLineChars="177" w:firstLine="372"/>
        <w:rPr>
          <w:rFonts w:ascii="Segoe UI" w:hAnsi="Segoe UI" w:cs="Segoe UI"/>
          <w:shd w:val="clear" w:color="auto" w:fill="F9FAFB"/>
        </w:rPr>
      </w:pPr>
    </w:p>
    <w:p w14:paraId="48F99592" w14:textId="212ACBEA" w:rsidR="00F94661" w:rsidRPr="00A31C8F" w:rsidRDefault="006C6F6D" w:rsidP="006C6F6D">
      <w:pPr>
        <w:rPr>
          <w:rFonts w:hint="eastAsia"/>
        </w:rPr>
      </w:pPr>
      <w:r w:rsidRPr="006C6F6D">
        <w:rPr>
          <w:rFonts w:hint="eastAsia"/>
          <w:b/>
        </w:rPr>
        <w:t>招标文件要求</w:t>
      </w:r>
    </w:p>
    <w:p w14:paraId="73561892" w14:textId="77777777" w:rsidR="00F94661" w:rsidRPr="00521E55" w:rsidRDefault="00F94661" w:rsidP="00521E55">
      <w:pPr>
        <w:snapToGrid w:val="0"/>
        <w:ind w:firstLineChars="177" w:firstLine="372"/>
        <w:rPr>
          <w:rFonts w:ascii="Segoe UI" w:hAnsi="Segoe UI" w:cs="Segoe UI"/>
          <w:shd w:val="clear" w:color="auto" w:fill="F9FAFB"/>
        </w:rPr>
      </w:pPr>
    </w:p>
    <w:p w14:paraId="062E34F8" w14:textId="103D1656"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proofErr w:type="spellStart"/>
      <w:r w:rsidRPr="00880FE9">
        <w:rPr>
          <w:rFonts w:ascii="Arial" w:eastAsia="等线" w:hAnsi="Arial" w:cs="Arial"/>
          <w:color w:val="000000"/>
          <w:sz w:val="24"/>
        </w:rPr>
        <w:lastRenderedPageBreak/>
        <w:t>Ameco</w:t>
      </w:r>
      <w:proofErr w:type="spellEnd"/>
      <w:r w:rsidRPr="00880FE9">
        <w:rPr>
          <w:rFonts w:ascii="Arial" w:eastAsia="等线" w:hAnsi="Arial" w:cs="Arial"/>
          <w:color w:val="000000"/>
          <w:sz w:val="24"/>
        </w:rPr>
        <w:t>主容灾云平台全资源迁移，包含但不限于以下资源。待迁移资源以实际为准，</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承诺待迁移资源月费用（在</w:t>
      </w:r>
      <w:r w:rsidRPr="00880FE9">
        <w:rPr>
          <w:rFonts w:ascii="Arial" w:eastAsia="等线" w:hAnsi="Arial" w:cs="Arial"/>
          <w:color w:val="000000"/>
          <w:sz w:val="24"/>
        </w:rPr>
        <w:t>AWS</w:t>
      </w:r>
      <w:r w:rsidRPr="00880FE9">
        <w:rPr>
          <w:rFonts w:ascii="Arial" w:eastAsia="等线" w:hAnsi="Arial" w:cs="Arial"/>
          <w:color w:val="000000"/>
          <w:sz w:val="24"/>
        </w:rPr>
        <w:t>平台的原价）不超过</w:t>
      </w:r>
      <w:r w:rsidRPr="00880FE9">
        <w:rPr>
          <w:rFonts w:ascii="Arial" w:eastAsia="等线" w:hAnsi="Arial" w:cs="Arial"/>
          <w:color w:val="000000"/>
          <w:sz w:val="24"/>
        </w:rPr>
        <w:t>10</w:t>
      </w:r>
      <w:r w:rsidRPr="00880FE9">
        <w:rPr>
          <w:rFonts w:ascii="Arial" w:eastAsia="等线" w:hAnsi="Arial" w:cs="Arial"/>
          <w:color w:val="000000"/>
          <w:sz w:val="24"/>
        </w:rPr>
        <w:t>万元。本次迁移服务为一次性工作。</w:t>
      </w:r>
    </w:p>
    <w:p w14:paraId="128E8C8E" w14:textId="1A323B02" w:rsidR="00521E55" w:rsidRDefault="00521E55" w:rsidP="00521E55">
      <w:pPr>
        <w:snapToGrid w:val="0"/>
        <w:ind w:firstLineChars="177" w:firstLine="372"/>
        <w:rPr>
          <w:rFonts w:ascii="Segoe UI" w:hAnsi="Segoe UI" w:cs="Segoe UI"/>
          <w:shd w:val="clear" w:color="auto" w:fill="F9FAFB"/>
        </w:rPr>
      </w:pPr>
    </w:p>
    <w:p w14:paraId="594AE45D" w14:textId="6CA9278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40E7DBE" w14:textId="0AFA967A" w:rsidR="00F94661" w:rsidRDefault="00F94661" w:rsidP="00521E55">
      <w:pPr>
        <w:snapToGrid w:val="0"/>
        <w:ind w:firstLineChars="177" w:firstLine="372"/>
        <w:rPr>
          <w:rFonts w:ascii="Segoe UI" w:hAnsi="Segoe UI" w:cs="Segoe UI"/>
          <w:shd w:val="clear" w:color="auto" w:fill="F9FAFB"/>
        </w:rPr>
      </w:pPr>
    </w:p>
    <w:p w14:paraId="0E8E7C0F" w14:textId="0B878EAC"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针对</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主容灾云平台全资源迁移工作，</w:t>
      </w:r>
      <w:r w:rsidR="00152F2A">
        <w:rPr>
          <w:rFonts w:ascii="Segoe UI" w:hAnsi="Segoe UI" w:cs="Segoe UI"/>
          <w:color w:val="1F2329"/>
          <w:shd w:val="clear" w:color="auto" w:fill="EFF0F1"/>
        </w:rPr>
        <w:t>我公司</w:t>
      </w:r>
      <w:r>
        <w:rPr>
          <w:rFonts w:ascii="Segoe UI" w:hAnsi="Segoe UI" w:cs="Segoe UI"/>
          <w:color w:val="1F2329"/>
          <w:shd w:val="clear" w:color="auto" w:fill="EFF0F1"/>
        </w:rPr>
        <w:t>制定了完善的迁移方案和风险应对策略。首先，</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将对现有</w:t>
      </w:r>
      <w:r>
        <w:rPr>
          <w:rFonts w:ascii="Segoe UI" w:hAnsi="Segoe UI" w:cs="Segoe UI"/>
          <w:color w:val="1F2329"/>
          <w:shd w:val="clear" w:color="auto" w:fill="EFF0F1"/>
        </w:rPr>
        <w:t>AWS</w:t>
      </w:r>
      <w:r>
        <w:rPr>
          <w:rFonts w:ascii="Segoe UI" w:hAnsi="Segoe UI" w:cs="Segoe UI"/>
          <w:color w:val="1F2329"/>
          <w:shd w:val="clear" w:color="auto" w:fill="EFF0F1"/>
        </w:rPr>
        <w:t>平台上的资源进行全面评估与梳理，结合华为云的资源特性和优势，制定详细的迁移计划。在迁移过程中，采用先进的迁移工具和技术，确保数据完整性和业务连续性。严格遵循贵方设定的资源费用限制，合理规划迁移流程，高效完成此次一次性迁移工作，助力</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顺利实现容灾云平台的迁移与升级。</w:t>
      </w:r>
    </w:p>
    <w:p w14:paraId="333DC03D" w14:textId="73DF7414" w:rsidR="00521E55" w:rsidRDefault="00521E55" w:rsidP="00521E55">
      <w:pPr>
        <w:snapToGrid w:val="0"/>
        <w:ind w:firstLineChars="177" w:firstLine="372"/>
        <w:rPr>
          <w:rFonts w:ascii="Segoe UI" w:hAnsi="Segoe UI" w:cs="Segoe UI"/>
          <w:shd w:val="clear" w:color="auto" w:fill="F9FAFB"/>
        </w:rPr>
      </w:pPr>
    </w:p>
    <w:p w14:paraId="5E75159B" w14:textId="087B8B38" w:rsidR="00F94661" w:rsidRDefault="00F94661" w:rsidP="00521E55">
      <w:pPr>
        <w:snapToGrid w:val="0"/>
        <w:ind w:firstLineChars="177" w:firstLine="372"/>
        <w:rPr>
          <w:rFonts w:ascii="Segoe UI" w:hAnsi="Segoe UI" w:cs="Segoe UI"/>
          <w:shd w:val="clear" w:color="auto" w:fill="F9FAFB"/>
        </w:rPr>
      </w:pPr>
    </w:p>
    <w:p w14:paraId="6B53A7C8" w14:textId="2C15262F" w:rsidR="00F94661" w:rsidRPr="00A31C8F" w:rsidRDefault="006C6F6D" w:rsidP="006C6F6D">
      <w:pPr>
        <w:rPr>
          <w:rFonts w:hint="eastAsia"/>
        </w:rPr>
      </w:pPr>
      <w:r w:rsidRPr="006C6F6D">
        <w:rPr>
          <w:rFonts w:hint="eastAsia"/>
          <w:b/>
        </w:rPr>
        <w:t>招标文件要求</w:t>
      </w:r>
    </w:p>
    <w:p w14:paraId="069888D0" w14:textId="77777777" w:rsidR="00F94661" w:rsidRPr="00521E55" w:rsidRDefault="00F94661" w:rsidP="00521E55">
      <w:pPr>
        <w:snapToGrid w:val="0"/>
        <w:ind w:firstLineChars="177" w:firstLine="372"/>
        <w:rPr>
          <w:rFonts w:ascii="Segoe UI" w:hAnsi="Segoe UI" w:cs="Segoe UI"/>
          <w:shd w:val="clear" w:color="auto" w:fill="F9FAFB"/>
        </w:rPr>
      </w:pPr>
    </w:p>
    <w:bookmarkEnd w:id="3"/>
    <w:p w14:paraId="7B0C8C2B" w14:textId="0426B2BD"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混合云容灾服务迁移：基于云信达容灾系统，或提供相同功能的混合云容灾服务。</w:t>
      </w:r>
    </w:p>
    <w:p w14:paraId="5BA39E27" w14:textId="6BADE461" w:rsidR="00521E55" w:rsidRDefault="00521E55" w:rsidP="00521E55">
      <w:pPr>
        <w:snapToGrid w:val="0"/>
        <w:ind w:firstLineChars="177" w:firstLine="372"/>
        <w:rPr>
          <w:rFonts w:ascii="Segoe UI" w:hAnsi="Segoe UI" w:cs="Segoe UI"/>
          <w:shd w:val="clear" w:color="auto" w:fill="F9FAFB"/>
        </w:rPr>
      </w:pPr>
    </w:p>
    <w:p w14:paraId="091F5E6B" w14:textId="1375E80B" w:rsidR="007671BD" w:rsidRDefault="007671BD" w:rsidP="00521E55">
      <w:pPr>
        <w:snapToGrid w:val="0"/>
        <w:ind w:firstLineChars="177" w:firstLine="372"/>
        <w:rPr>
          <w:rFonts w:ascii="Segoe UI" w:hAnsi="Segoe UI" w:cs="Segoe UI"/>
          <w:shd w:val="clear" w:color="auto" w:fill="F9FAFB"/>
        </w:rPr>
      </w:pPr>
    </w:p>
    <w:p w14:paraId="7FCD6971" w14:textId="41D618E0"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D53B82D" w14:textId="77777777" w:rsidR="007671BD" w:rsidRPr="00521E55" w:rsidRDefault="007671BD" w:rsidP="00521E55">
      <w:pPr>
        <w:snapToGrid w:val="0"/>
        <w:ind w:firstLineChars="177" w:firstLine="372"/>
        <w:rPr>
          <w:rFonts w:ascii="Segoe UI" w:hAnsi="Segoe UI" w:cs="Segoe UI"/>
          <w:shd w:val="clear" w:color="auto" w:fill="F9FAFB"/>
        </w:rPr>
      </w:pPr>
    </w:p>
    <w:p w14:paraId="7CEA0C12" w14:textId="77FA3AE3"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充分了解云信达容灾系统的功能特点，同时依托华为云强大的技术实力，能够提供功能等同甚至更优的混合云容灾服务。在服务迁移过程中，</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对现有容灾系统进行全面评估，结合贵方业务需求和数据特点，制定个性化的迁移方案。利用华为云先进的容灾技术和解决方案，保障数据的一致性和业务的快速恢复能力，为贵方混合云环境提供可靠的容灾保障，降低业务中断风险。</w:t>
      </w:r>
    </w:p>
    <w:p w14:paraId="149DFB28" w14:textId="32054E34" w:rsidR="00521E55" w:rsidRDefault="00521E55" w:rsidP="00521E55">
      <w:pPr>
        <w:snapToGrid w:val="0"/>
        <w:ind w:firstLineChars="177" w:firstLine="372"/>
        <w:rPr>
          <w:rFonts w:ascii="Segoe UI" w:hAnsi="Segoe UI" w:cs="Segoe UI"/>
          <w:shd w:val="clear" w:color="auto" w:fill="F9FAFB"/>
        </w:rPr>
      </w:pPr>
    </w:p>
    <w:p w14:paraId="1095EAEC" w14:textId="626224E4" w:rsidR="00F94661" w:rsidRDefault="00F94661" w:rsidP="00521E55">
      <w:pPr>
        <w:snapToGrid w:val="0"/>
        <w:ind w:firstLineChars="177" w:firstLine="372"/>
        <w:rPr>
          <w:rFonts w:ascii="Segoe UI" w:hAnsi="Segoe UI" w:cs="Segoe UI"/>
          <w:shd w:val="clear" w:color="auto" w:fill="F9FAFB"/>
        </w:rPr>
      </w:pPr>
    </w:p>
    <w:p w14:paraId="09381E79" w14:textId="75AEC8ED" w:rsidR="00F94661" w:rsidRPr="00A31C8F" w:rsidRDefault="006C6F6D" w:rsidP="006C6F6D">
      <w:pPr>
        <w:rPr>
          <w:rFonts w:hint="eastAsia"/>
        </w:rPr>
      </w:pPr>
      <w:r w:rsidRPr="006C6F6D">
        <w:rPr>
          <w:rFonts w:hint="eastAsia"/>
          <w:b/>
        </w:rPr>
        <w:t>招标文件要求</w:t>
      </w:r>
    </w:p>
    <w:p w14:paraId="6A2E31C4" w14:textId="77777777" w:rsidR="00F94661" w:rsidRPr="00521E55" w:rsidRDefault="00F94661" w:rsidP="00521E55">
      <w:pPr>
        <w:snapToGrid w:val="0"/>
        <w:ind w:firstLineChars="177" w:firstLine="372"/>
        <w:rPr>
          <w:rFonts w:ascii="Segoe UI" w:hAnsi="Segoe UI" w:cs="Segoe UI"/>
          <w:shd w:val="clear" w:color="auto" w:fill="F9FAFB"/>
        </w:rPr>
      </w:pPr>
    </w:p>
    <w:p w14:paraId="2B6A41C3" w14:textId="0BB8E43C"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配合业务迁移调整应用系统。</w:t>
      </w:r>
    </w:p>
    <w:p w14:paraId="6560A862" w14:textId="4828B508" w:rsidR="007671BD" w:rsidRDefault="007671BD" w:rsidP="00521E55">
      <w:pPr>
        <w:snapToGrid w:val="0"/>
        <w:ind w:firstLineChars="177" w:firstLine="372"/>
        <w:rPr>
          <w:rFonts w:ascii="Segoe UI" w:hAnsi="Segoe UI" w:cs="Segoe UI"/>
          <w:shd w:val="clear" w:color="auto" w:fill="F9FAFB"/>
        </w:rPr>
      </w:pPr>
    </w:p>
    <w:p w14:paraId="4604A5A9" w14:textId="08907C0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CB5D04B" w14:textId="77777777" w:rsidR="007671BD" w:rsidRPr="00521E55" w:rsidRDefault="007671BD" w:rsidP="00521E55">
      <w:pPr>
        <w:snapToGrid w:val="0"/>
        <w:ind w:firstLineChars="177" w:firstLine="372"/>
        <w:rPr>
          <w:rFonts w:ascii="Segoe UI" w:hAnsi="Segoe UI" w:cs="Segoe UI"/>
          <w:shd w:val="clear" w:color="auto" w:fill="F9FAFB"/>
        </w:rPr>
      </w:pPr>
    </w:p>
    <w:p w14:paraId="6489DFA7" w14:textId="2C364EA1"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的专业技术团队将全程深度参与业务迁移过程，与贵方技术人员紧密协作。针对业务迁移过程中应用系统出现的兼容性、性能等问题，进行全面分析与优化调整。通过代码修改、配置调整、架构优化等方式，确保应用系统在新环境下稳定运行，同时充分发挥华为云的技术优势，提升应用系统的性能和用户体验，保障业务迁移的顺利进行和业务的持续稳定开展。</w:t>
      </w:r>
    </w:p>
    <w:p w14:paraId="35755C53" w14:textId="046126FE" w:rsidR="00521E55" w:rsidRDefault="00521E55" w:rsidP="00521E55">
      <w:pPr>
        <w:snapToGrid w:val="0"/>
        <w:ind w:firstLineChars="177" w:firstLine="372"/>
        <w:rPr>
          <w:rFonts w:ascii="Segoe UI" w:hAnsi="Segoe UI" w:cs="Segoe UI"/>
          <w:shd w:val="clear" w:color="auto" w:fill="F9FAFB"/>
        </w:rPr>
      </w:pPr>
    </w:p>
    <w:p w14:paraId="1E21A29C" w14:textId="0B680754" w:rsidR="00F94661" w:rsidRDefault="00F94661" w:rsidP="00521E55">
      <w:pPr>
        <w:snapToGrid w:val="0"/>
        <w:ind w:firstLineChars="177" w:firstLine="372"/>
        <w:rPr>
          <w:rFonts w:ascii="Segoe UI" w:hAnsi="Segoe UI" w:cs="Segoe UI"/>
          <w:shd w:val="clear" w:color="auto" w:fill="F9FAFB"/>
        </w:rPr>
      </w:pPr>
    </w:p>
    <w:p w14:paraId="2E0591F9" w14:textId="556A4C35" w:rsidR="00F94661" w:rsidRPr="00A31C8F" w:rsidRDefault="006C6F6D" w:rsidP="006C6F6D">
      <w:pPr>
        <w:rPr>
          <w:rFonts w:hint="eastAsia"/>
        </w:rPr>
      </w:pPr>
      <w:r w:rsidRPr="006C6F6D">
        <w:rPr>
          <w:rFonts w:hint="eastAsia"/>
          <w:b/>
        </w:rPr>
        <w:t>招标文件要求</w:t>
      </w:r>
    </w:p>
    <w:p w14:paraId="30EDCE06" w14:textId="77777777" w:rsidR="00F94661" w:rsidRPr="00521E55" w:rsidRDefault="00F94661" w:rsidP="00521E55">
      <w:pPr>
        <w:snapToGrid w:val="0"/>
        <w:ind w:firstLineChars="177" w:firstLine="372"/>
        <w:rPr>
          <w:rFonts w:ascii="Segoe UI" w:hAnsi="Segoe UI" w:cs="Segoe UI"/>
          <w:shd w:val="clear" w:color="auto" w:fill="F9FAFB"/>
        </w:rPr>
      </w:pPr>
    </w:p>
    <w:p w14:paraId="26699E4C" w14:textId="7263BA7C"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部署，迁移，切换等实施需完全满足</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需求。</w:t>
      </w:r>
    </w:p>
    <w:p w14:paraId="66E3E4DF" w14:textId="4FD03DCA" w:rsidR="007671BD" w:rsidRDefault="007671BD" w:rsidP="00521E55">
      <w:pPr>
        <w:snapToGrid w:val="0"/>
        <w:ind w:firstLineChars="177" w:firstLine="372"/>
        <w:rPr>
          <w:rFonts w:ascii="Segoe UI" w:hAnsi="Segoe UI" w:cs="Segoe UI"/>
          <w:shd w:val="clear" w:color="auto" w:fill="F9FAFB"/>
        </w:rPr>
      </w:pPr>
    </w:p>
    <w:p w14:paraId="4CD0EE22" w14:textId="0610944E"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2DF551D" w14:textId="77777777" w:rsidR="007671BD" w:rsidRPr="00521E55" w:rsidRDefault="007671BD" w:rsidP="00521E55">
      <w:pPr>
        <w:snapToGrid w:val="0"/>
        <w:ind w:firstLineChars="177" w:firstLine="372"/>
        <w:rPr>
          <w:rFonts w:ascii="Segoe UI" w:hAnsi="Segoe UI" w:cs="Segoe UI"/>
          <w:shd w:val="clear" w:color="auto" w:fill="F9FAFB"/>
        </w:rPr>
      </w:pPr>
    </w:p>
    <w:p w14:paraId="7BF22840" w14:textId="74FD16C3"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lastRenderedPageBreak/>
        <w:t>我公司</w:t>
      </w:r>
      <w:r w:rsidR="00521E55">
        <w:rPr>
          <w:rFonts w:ascii="Segoe UI" w:hAnsi="Segoe UI" w:cs="Segoe UI"/>
          <w:color w:val="1F2329"/>
          <w:shd w:val="clear" w:color="auto" w:fill="EFF0F1"/>
        </w:rPr>
        <w:t>始终以满足贵方需求为核心目标，在部署、迁移、切换等实施环节，组建专业的项目团队，制定详细的实施计划和应急预案。在项目实施前，充分与贵方沟通需求，明确实施标准和验收</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；实施过程中，严格按照计划推进，实时监控进度和质量，及时响应贵方反馈并进行调整优化；实施完成后，进行全面的测试和验证，确保所有工作完全符合贵方</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，为贵方提供高质量、高满意度的服务交付。</w:t>
      </w:r>
    </w:p>
    <w:p w14:paraId="39EB5EFB" w14:textId="7616BA1E" w:rsidR="00521E55" w:rsidRDefault="00521E55" w:rsidP="00521E55">
      <w:pPr>
        <w:snapToGrid w:val="0"/>
        <w:ind w:firstLineChars="177" w:firstLine="372"/>
        <w:rPr>
          <w:rFonts w:ascii="Segoe UI" w:hAnsi="Segoe UI" w:cs="Segoe UI"/>
          <w:shd w:val="clear" w:color="auto" w:fill="F9FAFB"/>
        </w:rPr>
      </w:pPr>
    </w:p>
    <w:p w14:paraId="60EF0470" w14:textId="4C8A1A1F" w:rsidR="00F94661" w:rsidRDefault="00F94661" w:rsidP="00521E55">
      <w:pPr>
        <w:snapToGrid w:val="0"/>
        <w:ind w:firstLineChars="177" w:firstLine="372"/>
        <w:rPr>
          <w:rFonts w:ascii="Segoe UI" w:hAnsi="Segoe UI" w:cs="Segoe UI"/>
          <w:shd w:val="clear" w:color="auto" w:fill="F9FAFB"/>
        </w:rPr>
      </w:pPr>
    </w:p>
    <w:p w14:paraId="26A965A0" w14:textId="6E2E2BF2" w:rsidR="00F94661" w:rsidRPr="00A31C8F" w:rsidRDefault="006C6F6D" w:rsidP="006C6F6D">
      <w:pPr>
        <w:rPr>
          <w:rFonts w:hint="eastAsia"/>
        </w:rPr>
      </w:pPr>
      <w:r w:rsidRPr="006C6F6D">
        <w:rPr>
          <w:rFonts w:hint="eastAsia"/>
          <w:b/>
        </w:rPr>
        <w:t>招标文件要求</w:t>
      </w:r>
    </w:p>
    <w:p w14:paraId="3A0D2DF8" w14:textId="77777777" w:rsidR="00F94661" w:rsidRPr="00521E55" w:rsidRDefault="00F94661" w:rsidP="00521E55">
      <w:pPr>
        <w:snapToGrid w:val="0"/>
        <w:ind w:firstLineChars="177" w:firstLine="372"/>
        <w:rPr>
          <w:rFonts w:ascii="Segoe UI" w:hAnsi="Segoe UI" w:cs="Segoe UI"/>
          <w:shd w:val="clear" w:color="auto" w:fill="F9FAFB"/>
        </w:rPr>
      </w:pPr>
    </w:p>
    <w:p w14:paraId="3CEA95E3" w14:textId="15A788B8"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建立</w:t>
      </w:r>
      <w:r w:rsidRPr="00880FE9">
        <w:rPr>
          <w:rFonts w:ascii="Arial" w:eastAsia="等线" w:hAnsi="Arial" w:cs="Arial"/>
          <w:color w:val="000000"/>
          <w:sz w:val="24"/>
        </w:rPr>
        <w:t>GPU</w:t>
      </w:r>
      <w:r w:rsidRPr="00880FE9">
        <w:rPr>
          <w:rFonts w:ascii="Arial" w:eastAsia="等线" w:hAnsi="Arial" w:cs="Arial"/>
          <w:color w:val="000000"/>
          <w:sz w:val="24"/>
        </w:rPr>
        <w:t>资源池。</w:t>
      </w:r>
    </w:p>
    <w:p w14:paraId="5734C3E6" w14:textId="403082C4" w:rsidR="00521E55" w:rsidRDefault="00521E55" w:rsidP="00521E55">
      <w:pPr>
        <w:snapToGrid w:val="0"/>
        <w:ind w:firstLineChars="177" w:firstLine="372"/>
        <w:rPr>
          <w:rFonts w:ascii="Segoe UI" w:hAnsi="Segoe UI" w:cs="Segoe UI"/>
          <w:shd w:val="clear" w:color="auto" w:fill="F9FAFB"/>
        </w:rPr>
      </w:pPr>
    </w:p>
    <w:p w14:paraId="67C1C11A" w14:textId="7E9D613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8E0EBC4" w14:textId="77777777" w:rsidR="007671BD" w:rsidRPr="00521E55" w:rsidRDefault="007671BD" w:rsidP="00521E55">
      <w:pPr>
        <w:snapToGrid w:val="0"/>
        <w:ind w:firstLineChars="177" w:firstLine="372"/>
        <w:rPr>
          <w:rFonts w:ascii="Segoe UI" w:hAnsi="Segoe UI" w:cs="Segoe UI"/>
          <w:shd w:val="clear" w:color="auto" w:fill="F9FAFB"/>
        </w:rPr>
      </w:pPr>
    </w:p>
    <w:p w14:paraId="6DF6BBE0" w14:textId="3297E2BE"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将结合贵方业务对</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资源的使用场景和性能需求，利用华为云先进的计算资源和技术架构，设计并建立高效、灵活的</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资源池。从硬件选型、资源分配到软件部署、性能优化，</w:t>
      </w:r>
      <w:r>
        <w:rPr>
          <w:rFonts w:ascii="Segoe UI" w:hAnsi="Segoe UI" w:cs="Segoe UI"/>
          <w:color w:val="1F2329"/>
          <w:shd w:val="clear" w:color="auto" w:fill="EFF0F1"/>
        </w:rPr>
        <w:t>我公司</w:t>
      </w:r>
      <w:r w:rsidR="00521E55">
        <w:rPr>
          <w:rFonts w:ascii="Segoe UI" w:hAnsi="Segoe UI" w:cs="Segoe UI"/>
          <w:color w:val="1F2329"/>
          <w:shd w:val="clear" w:color="auto" w:fill="EFF0F1"/>
        </w:rPr>
        <w:t>全程把控，确保</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资源池具备良好的扩展性、稳定性和易用性。同时，提供统一的资源管理平台，方便贵方对</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资源进行灵活调度和监控，助力贵方在人工智能、图形渲染等业务领域充分发挥</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资源的强大算力，提升业务处理效率和竞争力。</w:t>
      </w:r>
    </w:p>
    <w:p w14:paraId="65450300" w14:textId="77777777" w:rsidR="00521E55" w:rsidRPr="00521E55" w:rsidRDefault="00521E55" w:rsidP="00521E55">
      <w:pPr>
        <w:snapToGrid w:val="0"/>
        <w:ind w:firstLineChars="177" w:firstLine="372"/>
        <w:rPr>
          <w:rFonts w:ascii="Segoe UI" w:hAnsi="Segoe UI" w:cs="Segoe UI"/>
          <w:shd w:val="clear" w:color="auto" w:fill="F9FAFB"/>
        </w:rPr>
      </w:pPr>
    </w:p>
    <w:p w14:paraId="2B71DC8E" w14:textId="77777777" w:rsidR="00FC6B68" w:rsidRPr="00521E55" w:rsidRDefault="00FC6B68" w:rsidP="00521E55">
      <w:pPr>
        <w:snapToGrid w:val="0"/>
        <w:ind w:firstLineChars="177" w:firstLine="372"/>
        <w:rPr>
          <w:rFonts w:ascii="Segoe UI" w:hAnsi="Segoe UI" w:cs="Segoe UI"/>
          <w:shd w:val="clear" w:color="auto" w:fill="F9FAFB"/>
        </w:rPr>
      </w:pPr>
    </w:p>
    <w:p w14:paraId="238E4422" w14:textId="4D8246BC" w:rsidR="00BE572F" w:rsidRDefault="00BE572F" w:rsidP="00BE572F">
      <w:pPr>
        <w:pStyle w:val="2"/>
        <w:rPr>
          <w:rFonts w:hint="eastAsia"/>
        </w:rPr>
      </w:pPr>
      <w:r>
        <w:tab/>
        <w:t>★项目经理（总集提供项目经理说明）</w:t>
      </w:r>
      <w:r>
        <w:tab/>
      </w:r>
    </w:p>
    <w:p w14:paraId="50E8AA80" w14:textId="78728EA0" w:rsidR="00F94661" w:rsidRPr="00A31C8F" w:rsidRDefault="006C6F6D" w:rsidP="006C6F6D">
      <w:pPr>
        <w:rPr>
          <w:rFonts w:hint="eastAsia"/>
        </w:rPr>
      </w:pPr>
      <w:r w:rsidRPr="006C6F6D">
        <w:rPr>
          <w:rFonts w:hint="eastAsia"/>
          <w:b/>
        </w:rPr>
        <w:t>招标文件要求</w:t>
      </w:r>
    </w:p>
    <w:p w14:paraId="19E06753" w14:textId="77777777" w:rsidR="00F94661" w:rsidRPr="00F94661" w:rsidRDefault="00F94661" w:rsidP="00F94661">
      <w:pPr>
        <w:rPr>
          <w:rFonts w:hint="eastAsia"/>
        </w:rPr>
      </w:pPr>
    </w:p>
    <w:p w14:paraId="117B485F" w14:textId="1224C1E1" w:rsidR="00521E55" w:rsidRDefault="00521E55" w:rsidP="00521E55">
      <w:pPr>
        <w:snapToGrid w:val="0"/>
        <w:ind w:firstLineChars="177" w:firstLine="372"/>
        <w:rPr>
          <w:rFonts w:eastAsia="等线" w:hint="eastAsia"/>
          <w:color w:val="000000"/>
        </w:rPr>
      </w:pPr>
      <w:r w:rsidRPr="00880FE9">
        <w:rPr>
          <w:rFonts w:eastAsia="等线"/>
          <w:color w:val="000000"/>
        </w:rPr>
        <w:t>投标人提供至少一名专职项目经理配合</w:t>
      </w:r>
      <w:proofErr w:type="spellStart"/>
      <w:r w:rsidRPr="00880FE9">
        <w:rPr>
          <w:rFonts w:eastAsia="等线"/>
          <w:color w:val="000000"/>
        </w:rPr>
        <w:t>Ameco</w:t>
      </w:r>
      <w:proofErr w:type="spellEnd"/>
      <w:r w:rsidRPr="00880FE9">
        <w:rPr>
          <w:rFonts w:eastAsia="等线"/>
          <w:color w:val="000000"/>
        </w:rPr>
        <w:t>协调控制整体项目进度，并定期（至少包含周报、月报、结项报告等）向</w:t>
      </w:r>
      <w:proofErr w:type="spellStart"/>
      <w:r w:rsidRPr="00880FE9">
        <w:rPr>
          <w:rFonts w:eastAsia="等线"/>
          <w:color w:val="000000"/>
        </w:rPr>
        <w:t>Ameco</w:t>
      </w:r>
      <w:proofErr w:type="spellEnd"/>
      <w:r w:rsidRPr="00880FE9">
        <w:rPr>
          <w:rFonts w:eastAsia="等线"/>
          <w:color w:val="000000"/>
        </w:rPr>
        <w:t>汇报项目进度；</w:t>
      </w:r>
    </w:p>
    <w:p w14:paraId="7887AA07" w14:textId="0792BCEB" w:rsidR="007671BD" w:rsidRDefault="007671BD" w:rsidP="00521E55">
      <w:pPr>
        <w:snapToGrid w:val="0"/>
        <w:ind w:firstLineChars="177" w:firstLine="372"/>
        <w:rPr>
          <w:rFonts w:eastAsia="等线" w:hint="eastAsia"/>
          <w:color w:val="000000"/>
        </w:rPr>
      </w:pPr>
    </w:p>
    <w:p w14:paraId="20C951BC" w14:textId="413F6DB0"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36625EA" w14:textId="77777777" w:rsidR="007671BD" w:rsidRDefault="007671BD" w:rsidP="00521E55">
      <w:pPr>
        <w:snapToGrid w:val="0"/>
        <w:ind w:firstLineChars="177" w:firstLine="372"/>
        <w:rPr>
          <w:rFonts w:eastAsia="等线" w:hint="eastAsia"/>
          <w:color w:val="000000"/>
        </w:rPr>
      </w:pPr>
    </w:p>
    <w:p w14:paraId="6AD17127" w14:textId="29FB4DFF" w:rsidR="00521E55" w:rsidRDefault="00521E55" w:rsidP="00521E55">
      <w:pPr>
        <w:snapToGrid w:val="0"/>
        <w:ind w:firstLineChars="177" w:firstLine="372"/>
        <w:rPr>
          <w:rFonts w:eastAsia="等线" w:hint="eastAsia"/>
          <w:color w:val="000000"/>
        </w:rPr>
      </w:pPr>
      <w:r>
        <w:rPr>
          <w:rFonts w:ascii="Segoe UI" w:hAnsi="Segoe UI" w:cs="Segoe UI"/>
          <w:color w:val="1F2329"/>
          <w:shd w:val="clear" w:color="auto" w:fill="EFF0F1"/>
        </w:rPr>
        <w:t>在项目经理配备方面，</w:t>
      </w:r>
      <w:r w:rsidR="00152F2A">
        <w:rPr>
          <w:rFonts w:ascii="Segoe UI" w:hAnsi="Segoe UI" w:cs="Segoe UI"/>
          <w:color w:val="1F2329"/>
          <w:shd w:val="clear" w:color="auto" w:fill="EFF0F1"/>
        </w:rPr>
        <w:t>我公司</w:t>
      </w:r>
      <w:r>
        <w:rPr>
          <w:rFonts w:ascii="Segoe UI" w:hAnsi="Segoe UI" w:cs="Segoe UI"/>
          <w:color w:val="1F2329"/>
          <w:shd w:val="clear" w:color="auto" w:fill="EFF0F1"/>
        </w:rPr>
        <w:t>高度重视与</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的合作项目，将选派至少一名专职项目经理全程配合协调控制整体项目进度。该项目经理将深度融入项目团队，全面负责项目各环节的沟通协调与进度把控工作。同时，严格按照</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定期向</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提交周报、月报及结项报告，通过清晰、准确的数据与分析，及时反馈项目进展、关键节点完成情况、潜在风险及应对措施，确保</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对项目整体状况保持充分了解与有效监督。</w:t>
      </w:r>
    </w:p>
    <w:p w14:paraId="066D12AE" w14:textId="681DAC4D" w:rsidR="00521E55" w:rsidRDefault="00521E55" w:rsidP="00521E55">
      <w:pPr>
        <w:snapToGrid w:val="0"/>
        <w:ind w:firstLineChars="177" w:firstLine="372"/>
        <w:rPr>
          <w:rFonts w:eastAsia="等线" w:hint="eastAsia"/>
          <w:color w:val="000000"/>
        </w:rPr>
      </w:pPr>
    </w:p>
    <w:p w14:paraId="0D74FB11" w14:textId="7175B44A" w:rsidR="00F94661" w:rsidRPr="00A31C8F" w:rsidRDefault="006C6F6D" w:rsidP="006C6F6D">
      <w:pPr>
        <w:rPr>
          <w:rFonts w:hint="eastAsia"/>
        </w:rPr>
      </w:pPr>
      <w:r w:rsidRPr="006C6F6D">
        <w:rPr>
          <w:rFonts w:hint="eastAsia"/>
          <w:b/>
        </w:rPr>
        <w:t>招标文件要求</w:t>
      </w:r>
    </w:p>
    <w:p w14:paraId="5567E2CF" w14:textId="77777777" w:rsidR="00F94661" w:rsidRPr="00880FE9" w:rsidRDefault="00F94661" w:rsidP="00521E55">
      <w:pPr>
        <w:snapToGrid w:val="0"/>
        <w:ind w:firstLineChars="177" w:firstLine="372"/>
        <w:rPr>
          <w:rFonts w:eastAsia="等线" w:hint="eastAsia"/>
          <w:color w:val="000000"/>
        </w:rPr>
      </w:pPr>
    </w:p>
    <w:p w14:paraId="41942746" w14:textId="77777777" w:rsidR="00521E55" w:rsidRPr="00880FE9" w:rsidRDefault="00521E55" w:rsidP="00521E55">
      <w:pPr>
        <w:snapToGrid w:val="0"/>
        <w:ind w:firstLineChars="177" w:firstLine="372"/>
        <w:rPr>
          <w:rFonts w:eastAsia="等线" w:hint="eastAsia"/>
          <w:color w:val="000000"/>
        </w:rPr>
      </w:pPr>
      <w:r w:rsidRPr="00880FE9">
        <w:rPr>
          <w:rFonts w:eastAsia="等线"/>
          <w:color w:val="000000"/>
        </w:rPr>
        <w:t>项目经理具备5年及以上年企业级IT部署项目的管理经验；</w:t>
      </w:r>
    </w:p>
    <w:p w14:paraId="1C0B03F6" w14:textId="6DA3A392" w:rsidR="007671BD" w:rsidRDefault="007671BD" w:rsidP="00521E55">
      <w:pPr>
        <w:snapToGrid w:val="0"/>
        <w:ind w:firstLineChars="177" w:firstLine="372"/>
        <w:rPr>
          <w:rFonts w:ascii="Segoe UI" w:hAnsi="Segoe UI" w:cs="Segoe UI"/>
          <w:shd w:val="clear" w:color="auto" w:fill="F9FAFB"/>
        </w:rPr>
      </w:pPr>
    </w:p>
    <w:p w14:paraId="22B839C7" w14:textId="2B56F74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9C70283" w14:textId="77777777" w:rsidR="007671BD" w:rsidRPr="00521E55" w:rsidRDefault="007671BD" w:rsidP="00521E55">
      <w:pPr>
        <w:snapToGrid w:val="0"/>
        <w:ind w:firstLineChars="177" w:firstLine="372"/>
        <w:rPr>
          <w:rFonts w:ascii="Segoe UI" w:hAnsi="Segoe UI" w:cs="Segoe UI"/>
          <w:shd w:val="clear" w:color="auto" w:fill="F9FAFB"/>
        </w:rPr>
      </w:pPr>
    </w:p>
    <w:p w14:paraId="3C325FED" w14:textId="212C36EC"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关于项目经理资质</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w:t>
      </w:r>
      <w:r w:rsidR="00152F2A">
        <w:rPr>
          <w:rFonts w:ascii="Segoe UI" w:hAnsi="Segoe UI" w:cs="Segoe UI"/>
          <w:color w:val="1F2329"/>
          <w:shd w:val="clear" w:color="auto" w:fill="EFF0F1"/>
        </w:rPr>
        <w:t>我公司</w:t>
      </w:r>
      <w:r>
        <w:rPr>
          <w:rFonts w:ascii="Segoe UI" w:hAnsi="Segoe UI" w:cs="Segoe UI"/>
          <w:color w:val="1F2329"/>
          <w:shd w:val="clear" w:color="auto" w:fill="EFF0F1"/>
        </w:rPr>
        <w:t>拥有一支经验丰富、专业能力过硬的项目经理团队。</w:t>
      </w:r>
      <w:r w:rsidR="00152F2A">
        <w:rPr>
          <w:rFonts w:ascii="Segoe UI" w:hAnsi="Segoe UI" w:cs="Segoe UI"/>
          <w:color w:val="1F2329"/>
          <w:shd w:val="clear" w:color="auto" w:fill="EFF0F1"/>
        </w:rPr>
        <w:t>我公司</w:t>
      </w:r>
      <w:r>
        <w:rPr>
          <w:rFonts w:ascii="Segoe UI" w:hAnsi="Segoe UI" w:cs="Segoe UI"/>
          <w:color w:val="1F2329"/>
          <w:shd w:val="clear" w:color="auto" w:fill="EFF0F1"/>
        </w:rPr>
        <w:t>承诺选派的项目经理均具备</w:t>
      </w:r>
      <w:r>
        <w:rPr>
          <w:rFonts w:ascii="Segoe UI" w:hAnsi="Segoe UI" w:cs="Segoe UI"/>
          <w:color w:val="1F2329"/>
          <w:shd w:val="clear" w:color="auto" w:fill="EFF0F1"/>
        </w:rPr>
        <w:t>5</w:t>
      </w:r>
      <w:r>
        <w:rPr>
          <w:rFonts w:ascii="Segoe UI" w:hAnsi="Segoe UI" w:cs="Segoe UI"/>
          <w:color w:val="1F2329"/>
          <w:shd w:val="clear" w:color="auto" w:fill="EFF0F1"/>
        </w:rPr>
        <w:t>年及以上企业级</w:t>
      </w:r>
      <w:r>
        <w:rPr>
          <w:rFonts w:ascii="Segoe UI" w:hAnsi="Segoe UI" w:cs="Segoe UI"/>
          <w:color w:val="1F2329"/>
          <w:shd w:val="clear" w:color="auto" w:fill="EFF0F1"/>
        </w:rPr>
        <w:t>IT</w:t>
      </w:r>
      <w:r>
        <w:rPr>
          <w:rFonts w:ascii="Segoe UI" w:hAnsi="Segoe UI" w:cs="Segoe UI"/>
          <w:color w:val="1F2329"/>
          <w:shd w:val="clear" w:color="auto" w:fill="EFF0F1"/>
        </w:rPr>
        <w:t>部署项目管理经验，在过往工作中，成功主导并完成多个复杂的企业级</w:t>
      </w:r>
      <w:r>
        <w:rPr>
          <w:rFonts w:ascii="Segoe UI" w:hAnsi="Segoe UI" w:cs="Segoe UI"/>
          <w:color w:val="1F2329"/>
          <w:shd w:val="clear" w:color="auto" w:fill="EFF0F1"/>
        </w:rPr>
        <w:t>IT</w:t>
      </w:r>
      <w:r>
        <w:rPr>
          <w:rFonts w:ascii="Segoe UI" w:hAnsi="Segoe UI" w:cs="Segoe UI"/>
          <w:color w:val="1F2329"/>
          <w:shd w:val="clear" w:color="auto" w:fill="EFF0F1"/>
        </w:rPr>
        <w:t>项目，涵盖专线部署、混合云架构搭建、大规模资源迁移等与本次项目高度相关的领域。其不仅熟练掌握项目管理方法论与工具，还拥有出色的跨部门协调、风</w:t>
      </w:r>
      <w:r>
        <w:rPr>
          <w:rFonts w:ascii="Segoe UI" w:hAnsi="Segoe UI" w:cs="Segoe UI"/>
          <w:color w:val="1F2329"/>
          <w:shd w:val="clear" w:color="auto" w:fill="EFF0F1"/>
        </w:rPr>
        <w:lastRenderedPageBreak/>
        <w:t>险预判及应急处理能力，能够充分应对项目实施过程中的各类挑战，保障项目高效、有序推进，高质量达成预期目标。</w:t>
      </w:r>
    </w:p>
    <w:p w14:paraId="7C885CA5" w14:textId="77777777" w:rsidR="00521E55" w:rsidRPr="00521E55" w:rsidRDefault="00521E55" w:rsidP="00521E55">
      <w:pPr>
        <w:snapToGrid w:val="0"/>
        <w:ind w:firstLineChars="177" w:firstLine="372"/>
        <w:rPr>
          <w:rFonts w:ascii="Segoe UI" w:hAnsi="Segoe UI" w:cs="Segoe UI"/>
          <w:shd w:val="clear" w:color="auto" w:fill="F9FAFB"/>
        </w:rPr>
      </w:pPr>
    </w:p>
    <w:p w14:paraId="23D898EE" w14:textId="1DDA0F50" w:rsidR="00BE572F" w:rsidRDefault="00BE572F" w:rsidP="00BE572F">
      <w:pPr>
        <w:pStyle w:val="2"/>
        <w:rPr>
          <w:rFonts w:hint="eastAsia"/>
        </w:rPr>
      </w:pPr>
      <w:r>
        <w:tab/>
        <w:t>★方案</w:t>
      </w:r>
      <w:r w:rsidR="006C6F6D" w:rsidRPr="006C6F6D">
        <w:t>招标文件要求</w:t>
      </w:r>
      <w:r>
        <w:tab/>
      </w:r>
    </w:p>
    <w:p w14:paraId="5ADAB835" w14:textId="3BCA1392" w:rsidR="00F94661" w:rsidRPr="00A31C8F" w:rsidRDefault="006C6F6D" w:rsidP="006C6F6D">
      <w:pPr>
        <w:rPr>
          <w:rFonts w:hint="eastAsia"/>
        </w:rPr>
      </w:pPr>
      <w:r w:rsidRPr="006C6F6D">
        <w:rPr>
          <w:rFonts w:hint="eastAsia"/>
          <w:b/>
        </w:rPr>
        <w:t>招标文件要求</w:t>
      </w:r>
    </w:p>
    <w:p w14:paraId="6B8EA848" w14:textId="77777777" w:rsidR="00F94661" w:rsidRPr="00F94661" w:rsidRDefault="00F94661" w:rsidP="00F94661">
      <w:pPr>
        <w:rPr>
          <w:rFonts w:hint="eastAsia"/>
        </w:rPr>
      </w:pPr>
    </w:p>
    <w:p w14:paraId="4ABFA615" w14:textId="666E8F0F"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提供项目组织方案（投标时提供详细组织方案）；</w:t>
      </w:r>
    </w:p>
    <w:p w14:paraId="355349F3" w14:textId="77777777"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项目组织方案详细全面，在：</w:t>
      </w:r>
    </w:p>
    <w:p w14:paraId="5748AC58" w14:textId="6ED5925D"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项目人员安排能够覆盖项目迁移</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1A08873C" w14:textId="1020BC6D"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项目进度计划匹配项目周期</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5438C56A" w14:textId="5EC490CD"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实施步骤符合混合云架构下的资源迁移</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20FA4B53" w14:textId="6C9096F1"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交付物能够覆盖技术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3D28847F" w14:textId="2A73C561"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文档控制满足安全及保密</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566FD1B4" w14:textId="6207369F" w:rsidR="00521E55"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项目质量控制方面能做到合理安排；</w:t>
      </w:r>
    </w:p>
    <w:p w14:paraId="49C74E99" w14:textId="7F5A781C" w:rsidR="00521E55" w:rsidRDefault="00521E55" w:rsidP="00521E55">
      <w:pPr>
        <w:snapToGrid w:val="0"/>
        <w:ind w:firstLineChars="177" w:firstLine="372"/>
        <w:rPr>
          <w:rFonts w:ascii="Segoe UI" w:hAnsi="Segoe UI" w:cs="Segoe UI"/>
          <w:color w:val="1F2329"/>
          <w:shd w:val="clear" w:color="auto" w:fill="EFF0F1"/>
        </w:rPr>
      </w:pPr>
    </w:p>
    <w:p w14:paraId="4E105A80" w14:textId="724642E3"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CBEC820"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0B06266B" w14:textId="1C03A9FC" w:rsidR="00521E55" w:rsidRDefault="00152F2A"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构建科学、高效的项目组织架构。在人员安排上，组建涵盖项目经理、技术专家、运维工程师等多领域专业人才的团队，确保各岗位人员在专线部署、混合云架构搭建、资源迁移等环节各司其职，充分满足项目迁移</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项目进度计划将依据项目周期，细化里程碑节点，采用甘特图等工具进行可视化管理，精准把控项目节奏。实施步骤严格遵循混合云架构下资源迁移的技术规范与流程，从前期评估、方案设计到迁移执行、测试验收，均有明确的操作指引。交付物包含技术文档、操作手册、测试报告等，全面覆盖项目技术</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在文档控制方面，建立严格的安全保密制度，通过权限管理、加密存储等措施，确保文档安全。项目质量控制贯穿全程，制定详细的质量检查标准与流程，定期开展质量评审，及时发现并解决问题，保障项目高质量交付。投标时，</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将提供包含人员详细履历、进度计划表、实施流程图等内容的详细组织方案。</w:t>
      </w:r>
    </w:p>
    <w:p w14:paraId="7940EAE1"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4A7FC149" w14:textId="709D9F5C" w:rsidR="00F94661" w:rsidRPr="00A31C8F" w:rsidRDefault="006C6F6D" w:rsidP="006C6F6D">
      <w:pPr>
        <w:rPr>
          <w:rFonts w:hint="eastAsia"/>
        </w:rPr>
      </w:pPr>
      <w:r w:rsidRPr="006C6F6D">
        <w:rPr>
          <w:rFonts w:hint="eastAsia"/>
          <w:b/>
        </w:rPr>
        <w:t>招标文件要求</w:t>
      </w:r>
    </w:p>
    <w:p w14:paraId="44D8840E" w14:textId="77777777" w:rsidR="00521E55" w:rsidRPr="00521E55" w:rsidRDefault="00521E55" w:rsidP="00521E55">
      <w:pPr>
        <w:snapToGrid w:val="0"/>
        <w:ind w:firstLineChars="177" w:firstLine="372"/>
        <w:rPr>
          <w:rFonts w:ascii="Segoe UI" w:hAnsi="Segoe UI" w:cs="Segoe UI"/>
          <w:color w:val="1F2329"/>
          <w:shd w:val="clear" w:color="auto" w:fill="EFF0F1"/>
        </w:rPr>
      </w:pPr>
    </w:p>
    <w:p w14:paraId="1ACCD0DE"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提供组网方案设计（投标时提供详细组网方案设计）</w:t>
      </w:r>
    </w:p>
    <w:p w14:paraId="3E758C65"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对</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现有业务需求进行综合分析，并根据</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提供组网方案，方案中包含组网拓扑，技术架构，以及各区域之间的网络连接方案的具体说明。方案设计中详细说明线路实施工程的具体流程，包括线路实施工程中各区域间、室外、楼宇内的施工计划，线路调试计划，业务质量测试计划、验收计划等。</w:t>
      </w:r>
    </w:p>
    <w:p w14:paraId="3E97DDED" w14:textId="525E001E" w:rsidR="00521E55" w:rsidRDefault="00521E55" w:rsidP="00521E55">
      <w:pPr>
        <w:pStyle w:val="a3"/>
        <w:snapToGrid w:val="0"/>
        <w:ind w:left="420" w:firstLineChars="0" w:firstLine="0"/>
        <w:rPr>
          <w:rFonts w:ascii="Arial" w:eastAsia="等线" w:hAnsi="Arial" w:cs="Arial"/>
          <w:color w:val="000000"/>
          <w:sz w:val="24"/>
        </w:rPr>
      </w:pPr>
      <w:r w:rsidRPr="00880FE9">
        <w:rPr>
          <w:rFonts w:ascii="Arial" w:eastAsia="等线" w:hAnsi="Arial" w:cs="Arial"/>
          <w:color w:val="000000"/>
          <w:sz w:val="24"/>
        </w:rPr>
        <w:tab/>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设计方案详细、满足技术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、相关实施计划清晰有条理；</w:t>
      </w:r>
    </w:p>
    <w:p w14:paraId="51F40391" w14:textId="1939AB08" w:rsidR="007671BD" w:rsidRDefault="007671BD" w:rsidP="00521E55">
      <w:pPr>
        <w:snapToGrid w:val="0"/>
        <w:ind w:firstLineChars="177" w:firstLine="372"/>
        <w:rPr>
          <w:rFonts w:ascii="Segoe UI" w:hAnsi="Segoe UI" w:cs="Segoe UI"/>
          <w:color w:val="1F2329"/>
          <w:shd w:val="clear" w:color="auto" w:fill="EFF0F1"/>
        </w:rPr>
      </w:pPr>
    </w:p>
    <w:p w14:paraId="76706B28" w14:textId="475B6A0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4630981"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35099FD5" w14:textId="44D9B688" w:rsidR="00521E55" w:rsidRPr="00521E55" w:rsidRDefault="00152F2A"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将对</w:t>
      </w:r>
      <w:proofErr w:type="spellStart"/>
      <w:r w:rsidR="00521E55">
        <w:rPr>
          <w:rFonts w:ascii="Segoe UI" w:hAnsi="Segoe UI" w:cs="Segoe UI"/>
          <w:color w:val="1F2329"/>
          <w:shd w:val="clear" w:color="auto" w:fill="EFF0F1"/>
        </w:rPr>
        <w:t>Ameco</w:t>
      </w:r>
      <w:proofErr w:type="spellEnd"/>
      <w:r w:rsidR="00521E55">
        <w:rPr>
          <w:rFonts w:ascii="Segoe UI" w:hAnsi="Segoe UI" w:cs="Segoe UI"/>
          <w:color w:val="1F2329"/>
          <w:shd w:val="clear" w:color="auto" w:fill="EFF0F1"/>
        </w:rPr>
        <w:t>现有业务需求进行深入分析，结合业务流量、数据传输需求、安全</w:t>
      </w:r>
      <w:r w:rsidR="006C6F6D" w:rsidRPr="006C6F6D">
        <w:rPr>
          <w:rFonts w:ascii="Segoe UI" w:hAnsi="Segoe UI" w:cs="Segoe UI"/>
          <w:b/>
          <w:color w:val="1F2329"/>
          <w:shd w:val="clear" w:color="auto" w:fill="EFF0F1"/>
        </w:rPr>
        <w:t>招标文</w:t>
      </w:r>
      <w:r w:rsidR="006C6F6D" w:rsidRPr="006C6F6D">
        <w:rPr>
          <w:rFonts w:ascii="Segoe UI" w:hAnsi="Segoe UI" w:cs="Segoe UI"/>
          <w:b/>
          <w:color w:val="1F2329"/>
          <w:shd w:val="clear" w:color="auto" w:fill="EFF0F1"/>
        </w:rPr>
        <w:lastRenderedPageBreak/>
        <w:t>件要求</w:t>
      </w:r>
      <w:r w:rsidR="00521E55">
        <w:rPr>
          <w:rFonts w:ascii="Segoe UI" w:hAnsi="Segoe UI" w:cs="Segoe UI"/>
          <w:color w:val="1F2329"/>
          <w:shd w:val="clear" w:color="auto" w:fill="EFF0F1"/>
        </w:rPr>
        <w:t>等因素，设计组网方案。组网拓扑采用分层架构，清晰呈现核心层、汇聚层、接入层的网络布局，确保网络的稳定性与可靠性。技术架构选用华为先进的网络设备与技术，如</w:t>
      </w:r>
      <w:r w:rsidR="00521E55">
        <w:rPr>
          <w:rFonts w:ascii="Segoe UI" w:hAnsi="Segoe UI" w:cs="Segoe UI"/>
          <w:color w:val="1F2329"/>
          <w:shd w:val="clear" w:color="auto" w:fill="EFF0F1"/>
        </w:rPr>
        <w:t>SDN</w:t>
      </w:r>
      <w:r w:rsidR="00521E55">
        <w:rPr>
          <w:rFonts w:ascii="Segoe UI" w:hAnsi="Segoe UI" w:cs="Segoe UI"/>
          <w:color w:val="1F2329"/>
          <w:shd w:val="clear" w:color="auto" w:fill="EFF0F1"/>
        </w:rPr>
        <w:t>（软件定义网络）技术实现灵活的流量调度与管理。各区域之间的网络连接方案将根据业务场景制定，采用专线或</w:t>
      </w:r>
      <w:r w:rsidR="00521E55">
        <w:rPr>
          <w:rFonts w:ascii="Segoe UI" w:hAnsi="Segoe UI" w:cs="Segoe UI"/>
          <w:color w:val="1F2329"/>
          <w:shd w:val="clear" w:color="auto" w:fill="EFF0F1"/>
        </w:rPr>
        <w:t>VPN</w:t>
      </w:r>
      <w:r w:rsidR="00521E55">
        <w:rPr>
          <w:rFonts w:ascii="Segoe UI" w:hAnsi="Segoe UI" w:cs="Segoe UI"/>
          <w:color w:val="1F2329"/>
          <w:shd w:val="clear" w:color="auto" w:fill="EFF0F1"/>
        </w:rPr>
        <w:t>等方式，保障数据安全、高效传输。线路实施工程具体流程方面，室外施工将合理规划路由，严格按照施工规范进行铺设；楼宇内施工注重与现有设施的对接，确保施工安全与质量。线路调试计划将分阶段进行，从单机测试、链路测试到全网联调，确保网络连通性与性能达标。业务质量测试计划涵盖带宽、延迟、丢包率等指标测试，确保满足业务需求。验收计划将制定详细的验收标准与流程，邀请</w:t>
      </w:r>
      <w:proofErr w:type="spellStart"/>
      <w:r w:rsidR="00521E55">
        <w:rPr>
          <w:rFonts w:ascii="Segoe UI" w:hAnsi="Segoe UI" w:cs="Segoe UI"/>
          <w:color w:val="1F2329"/>
          <w:shd w:val="clear" w:color="auto" w:fill="EFF0F1"/>
        </w:rPr>
        <w:t>Ameco</w:t>
      </w:r>
      <w:proofErr w:type="spellEnd"/>
      <w:r w:rsidR="00521E55">
        <w:rPr>
          <w:rFonts w:ascii="Segoe UI" w:hAnsi="Segoe UI" w:cs="Segoe UI"/>
          <w:color w:val="1F2329"/>
          <w:shd w:val="clear" w:color="auto" w:fill="EFF0F1"/>
        </w:rPr>
        <w:t>参与，共同对组网成果进行验收。投标时，将提供包含组网拓扑图、技术架构说明、施工计划甘特图等内容的详细组网方案设计。</w:t>
      </w:r>
    </w:p>
    <w:p w14:paraId="7D7995AE" w14:textId="5881C522" w:rsidR="00521E55" w:rsidRDefault="00521E55" w:rsidP="00521E55">
      <w:pPr>
        <w:snapToGrid w:val="0"/>
        <w:ind w:firstLineChars="177" w:firstLine="372"/>
        <w:rPr>
          <w:rFonts w:ascii="Segoe UI" w:hAnsi="Segoe UI" w:cs="Segoe UI"/>
          <w:color w:val="1F2329"/>
          <w:shd w:val="clear" w:color="auto" w:fill="EFF0F1"/>
        </w:rPr>
      </w:pPr>
    </w:p>
    <w:p w14:paraId="05748837" w14:textId="629A57CE" w:rsidR="00F94661" w:rsidRDefault="00F94661" w:rsidP="00521E55">
      <w:pPr>
        <w:snapToGrid w:val="0"/>
        <w:ind w:firstLineChars="177" w:firstLine="372"/>
        <w:rPr>
          <w:rFonts w:ascii="Segoe UI" w:hAnsi="Segoe UI" w:cs="Segoe UI"/>
          <w:color w:val="1F2329"/>
          <w:shd w:val="clear" w:color="auto" w:fill="EFF0F1"/>
        </w:rPr>
      </w:pPr>
    </w:p>
    <w:p w14:paraId="424E1125" w14:textId="13B62067" w:rsidR="00F94661" w:rsidRPr="00A31C8F" w:rsidRDefault="006C6F6D" w:rsidP="006C6F6D">
      <w:pPr>
        <w:rPr>
          <w:rFonts w:hint="eastAsia"/>
        </w:rPr>
      </w:pPr>
      <w:r w:rsidRPr="006C6F6D">
        <w:rPr>
          <w:rFonts w:hint="eastAsia"/>
          <w:b/>
        </w:rPr>
        <w:t>招标文件要求</w:t>
      </w:r>
    </w:p>
    <w:p w14:paraId="56277205"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6329A1C4"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提供混合云架构设计方案（投标时提供详细混合云架构设计方案）</w:t>
      </w:r>
    </w:p>
    <w:p w14:paraId="4F2FBFC8"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整体设计：设计方案基于混合云架构最佳实践，明确方案需支撑的核心业务场景（混合云容灾、混合云业务系统运行等），并提供业务需求与技术架构的映射说明。满足业务连续性、可扩展性；</w:t>
      </w:r>
    </w:p>
    <w:p w14:paraId="75DD44DA"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网络架构：提供</w:t>
      </w:r>
      <w:r w:rsidRPr="00880FE9">
        <w:rPr>
          <w:rFonts w:ascii="Arial" w:eastAsia="等线" w:hAnsi="Arial" w:cs="Arial"/>
          <w:color w:val="333333"/>
          <w:sz w:val="24"/>
          <w:shd w:val="clear" w:color="auto" w:fill="FFFFFF"/>
        </w:rPr>
        <w:t>安全隔离机制、流量调度机制；</w:t>
      </w:r>
    </w:p>
    <w:p w14:paraId="44A7604C"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安全体系：明确密钥管理、身份认证及审计日志方案；</w:t>
      </w:r>
    </w:p>
    <w:p w14:paraId="64261C3F"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运维与监控：提供监控方案；</w:t>
      </w:r>
    </w:p>
    <w:p w14:paraId="25169885" w14:textId="6F802EF7" w:rsidR="00521E55"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以上各项方案详细、满足技术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、相关实施计划清晰有条理；</w:t>
      </w:r>
    </w:p>
    <w:p w14:paraId="7F5E4B65" w14:textId="6109706E" w:rsidR="00521E55" w:rsidRDefault="00521E55" w:rsidP="00521E55">
      <w:pPr>
        <w:snapToGrid w:val="0"/>
        <w:ind w:firstLineChars="177" w:firstLine="372"/>
        <w:rPr>
          <w:rFonts w:ascii="Segoe UI" w:hAnsi="Segoe UI" w:cs="Segoe UI"/>
          <w:color w:val="1F2329"/>
          <w:shd w:val="clear" w:color="auto" w:fill="EFF0F1"/>
        </w:rPr>
      </w:pPr>
    </w:p>
    <w:p w14:paraId="3F7C1903" w14:textId="3535A829"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1C3CC29"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35D574C3" w14:textId="78C87C99"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基于混合云架构最佳实践，</w:t>
      </w:r>
      <w:r w:rsidR="00152F2A">
        <w:rPr>
          <w:rFonts w:ascii="Segoe UI" w:hAnsi="Segoe UI" w:cs="Segoe UI"/>
          <w:color w:val="1F2329"/>
          <w:shd w:val="clear" w:color="auto" w:fill="EFF0F1"/>
        </w:rPr>
        <w:t>我公司</w:t>
      </w:r>
      <w:r>
        <w:rPr>
          <w:rFonts w:ascii="Segoe UI" w:hAnsi="Segoe UI" w:cs="Segoe UI"/>
          <w:color w:val="1F2329"/>
          <w:shd w:val="clear" w:color="auto" w:fill="EFF0F1"/>
        </w:rPr>
        <w:t>的设计方案将紧密围绕混合云容灾、混合云业务系统运行等核心业务场景展开。通过对业务需求的深度分析，建立业务需求与技术架构的详细映射关系，确保架构能够满足业务连续性与可扩展性</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。网络架构方面，采用</w:t>
      </w:r>
      <w:r>
        <w:rPr>
          <w:rFonts w:ascii="Segoe UI" w:hAnsi="Segoe UI" w:cs="Segoe UI"/>
          <w:color w:val="1F2329"/>
          <w:shd w:val="clear" w:color="auto" w:fill="EFF0F1"/>
        </w:rPr>
        <w:t>VPC</w:t>
      </w:r>
      <w:r>
        <w:rPr>
          <w:rFonts w:ascii="Segoe UI" w:hAnsi="Segoe UI" w:cs="Segoe UI"/>
          <w:color w:val="1F2329"/>
          <w:shd w:val="clear" w:color="auto" w:fill="EFF0F1"/>
        </w:rPr>
        <w:t>（虚拟私有云）隔离、防火墙策略等安全隔离机制，保障不同业务间的安全；运用智能流量调度技术，根据业务负载与网络状态动态分配流量。安全体系中，密钥管理采用华为云密钥管理服务，实现密钥的全生命周期管理；身份认证采用多因素认证方式，确保用户身份安全；审计日志方案对关键操作进行全面记录与审计，便于追溯与安全分析。运维与监控方面，提供统一的监控平台，对混合云环境中的资源使用、应用运行状态等进行实时监控，及时发现异常并告警，保障混合云架构稳定运行。投标时，将提交包含架构设计图、安全策略说明、监控方案等内容的详细混合云架构设计方案。</w:t>
      </w:r>
    </w:p>
    <w:p w14:paraId="1F60227F" w14:textId="46182F2A" w:rsidR="00521E55" w:rsidRPr="00521E55" w:rsidRDefault="00521E55" w:rsidP="00521E55">
      <w:pPr>
        <w:snapToGrid w:val="0"/>
        <w:ind w:firstLineChars="177" w:firstLine="372"/>
        <w:rPr>
          <w:rFonts w:ascii="Segoe UI" w:hAnsi="Segoe UI" w:cs="Segoe UI"/>
          <w:color w:val="1F2329"/>
          <w:shd w:val="clear" w:color="auto" w:fill="EFF0F1"/>
        </w:rPr>
      </w:pPr>
    </w:p>
    <w:p w14:paraId="28D62D9C" w14:textId="03031348" w:rsidR="00521E55" w:rsidRDefault="00521E55" w:rsidP="00521E55">
      <w:pPr>
        <w:snapToGrid w:val="0"/>
        <w:ind w:firstLineChars="177" w:firstLine="372"/>
        <w:rPr>
          <w:rFonts w:ascii="Segoe UI" w:hAnsi="Segoe UI" w:cs="Segoe UI"/>
          <w:color w:val="1F2329"/>
          <w:shd w:val="clear" w:color="auto" w:fill="EFF0F1"/>
        </w:rPr>
      </w:pPr>
    </w:p>
    <w:p w14:paraId="3F3F05EE" w14:textId="59D161FF" w:rsidR="00F94661" w:rsidRPr="00A31C8F" w:rsidRDefault="006C6F6D" w:rsidP="006C6F6D">
      <w:pPr>
        <w:rPr>
          <w:rFonts w:hint="eastAsia"/>
        </w:rPr>
      </w:pPr>
      <w:r w:rsidRPr="006C6F6D">
        <w:rPr>
          <w:rFonts w:hint="eastAsia"/>
          <w:b/>
        </w:rPr>
        <w:t>招标文件要求</w:t>
      </w:r>
    </w:p>
    <w:p w14:paraId="28076875"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6EE5F4EA"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混合云容灾服务迁移方案（投标时提供详细混合云容灾服务迁移方案）</w:t>
      </w:r>
    </w:p>
    <w:p w14:paraId="06F1A39B"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基于当前云信达混合云容灾平台进行迁移，或提供相同功能的混合云容灾服务。功能如下：</w:t>
      </w:r>
    </w:p>
    <w:p w14:paraId="7F1E28AD" w14:textId="60F5F8F8"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本地数据中心</w:t>
      </w:r>
      <w:r w:rsidRPr="00880FE9">
        <w:rPr>
          <w:rFonts w:ascii="Arial" w:eastAsia="等线" w:hAnsi="Arial" w:cs="Arial"/>
          <w:color w:val="000000"/>
          <w:sz w:val="24"/>
        </w:rPr>
        <w:t>2</w:t>
      </w:r>
      <w:r w:rsidRPr="00880FE9">
        <w:rPr>
          <w:rFonts w:ascii="Arial" w:eastAsia="等线" w:hAnsi="Arial" w:cs="Arial"/>
          <w:color w:val="000000"/>
          <w:sz w:val="24"/>
        </w:rPr>
        <w:t>套</w:t>
      </w:r>
      <w:r w:rsidRPr="00880FE9">
        <w:rPr>
          <w:rFonts w:ascii="Arial" w:eastAsia="等线" w:hAnsi="Arial" w:cs="Arial"/>
          <w:color w:val="000000"/>
          <w:sz w:val="24"/>
        </w:rPr>
        <w:t>Oracle19C</w:t>
      </w:r>
      <w:r w:rsidRPr="00880FE9">
        <w:rPr>
          <w:rFonts w:ascii="Arial" w:eastAsia="等线" w:hAnsi="Arial" w:cs="Arial"/>
          <w:color w:val="000000"/>
          <w:sz w:val="24"/>
        </w:rPr>
        <w:t>的数据备份、数据恢复、数据库拉起；数据实时同步到公有云并可即时数据库拉起，为应用提供数据库服务；操作系统为</w:t>
      </w:r>
      <w:r w:rsidRPr="00880FE9">
        <w:rPr>
          <w:rFonts w:ascii="Arial" w:eastAsia="等线" w:hAnsi="Arial" w:cs="Arial"/>
          <w:color w:val="000000"/>
          <w:sz w:val="24"/>
        </w:rPr>
        <w:t>redhat8.9</w:t>
      </w:r>
      <w:r w:rsidRPr="00880FE9">
        <w:rPr>
          <w:rFonts w:ascii="Arial" w:eastAsia="等线" w:hAnsi="Arial" w:cs="Arial"/>
          <w:color w:val="000000"/>
          <w:sz w:val="24"/>
        </w:rPr>
        <w:t>；</w:t>
      </w:r>
    </w:p>
    <w:p w14:paraId="430B7DF7" w14:textId="0847A409"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本地数据中心</w:t>
      </w:r>
      <w:r w:rsidRPr="00880FE9">
        <w:rPr>
          <w:rFonts w:ascii="Arial" w:eastAsia="等线" w:hAnsi="Arial" w:cs="Arial"/>
          <w:color w:val="000000"/>
          <w:sz w:val="24"/>
        </w:rPr>
        <w:t>1</w:t>
      </w:r>
      <w:r w:rsidRPr="00880FE9">
        <w:rPr>
          <w:rFonts w:ascii="Arial" w:eastAsia="等线" w:hAnsi="Arial" w:cs="Arial"/>
          <w:color w:val="000000"/>
          <w:sz w:val="24"/>
        </w:rPr>
        <w:t>套</w:t>
      </w:r>
      <w:r w:rsidRPr="00880FE9">
        <w:rPr>
          <w:rFonts w:ascii="Arial" w:eastAsia="等线" w:hAnsi="Arial" w:cs="Arial"/>
          <w:color w:val="000000"/>
          <w:sz w:val="24"/>
        </w:rPr>
        <w:t>SAPHANA</w:t>
      </w:r>
      <w:r w:rsidRPr="00880FE9">
        <w:rPr>
          <w:rFonts w:ascii="Arial" w:eastAsia="等线" w:hAnsi="Arial" w:cs="Arial"/>
          <w:color w:val="000000"/>
          <w:sz w:val="24"/>
        </w:rPr>
        <w:t>系统的数据备份、数据恢复；数据实时同步到公有云并可即时拉起，为用户提供</w:t>
      </w:r>
      <w:r w:rsidRPr="00880FE9">
        <w:rPr>
          <w:rFonts w:ascii="Arial" w:eastAsia="等线" w:hAnsi="Arial" w:cs="Arial"/>
          <w:color w:val="000000"/>
          <w:sz w:val="24"/>
        </w:rPr>
        <w:t>SAPHANA</w:t>
      </w:r>
      <w:r w:rsidRPr="00880FE9">
        <w:rPr>
          <w:rFonts w:ascii="Arial" w:eastAsia="等线" w:hAnsi="Arial" w:cs="Arial"/>
          <w:color w:val="000000"/>
          <w:sz w:val="24"/>
        </w:rPr>
        <w:t>服务；操作系统为</w:t>
      </w:r>
      <w:r w:rsidRPr="00880FE9">
        <w:rPr>
          <w:rFonts w:ascii="Arial" w:eastAsia="等线" w:hAnsi="Arial" w:cs="Arial"/>
          <w:color w:val="000000"/>
          <w:sz w:val="24"/>
        </w:rPr>
        <w:t>suse15SP6</w:t>
      </w:r>
      <w:r w:rsidRPr="00880FE9">
        <w:rPr>
          <w:rFonts w:ascii="Arial" w:eastAsia="等线" w:hAnsi="Arial" w:cs="Arial"/>
          <w:color w:val="000000"/>
          <w:sz w:val="24"/>
        </w:rPr>
        <w:t>；</w:t>
      </w:r>
    </w:p>
    <w:p w14:paraId="2AEC5628" w14:textId="0C1EFB33" w:rsidR="00521E55"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lastRenderedPageBreak/>
        <w:t>以上各项方案详细、满足技术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、相关实施计划清晰有条理；</w:t>
      </w:r>
    </w:p>
    <w:p w14:paraId="49C1CA01" w14:textId="2A6F638D" w:rsidR="007671BD" w:rsidRDefault="007671BD" w:rsidP="00521E55">
      <w:pPr>
        <w:snapToGrid w:val="0"/>
        <w:ind w:firstLineChars="177" w:firstLine="372"/>
        <w:rPr>
          <w:rFonts w:ascii="Segoe UI" w:hAnsi="Segoe UI" w:cs="Segoe UI"/>
          <w:color w:val="1F2329"/>
          <w:shd w:val="clear" w:color="auto" w:fill="EFF0F1"/>
        </w:rPr>
      </w:pPr>
    </w:p>
    <w:p w14:paraId="6C887DBB" w14:textId="7AAABCFB"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E4AF43D"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17B887A2" w14:textId="2A63D9DF" w:rsidR="00521E55" w:rsidRPr="00521E55" w:rsidRDefault="00152F2A"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将基于云信达混合云容灾平台或提供功能等同的华为云容灾服务，为</w:t>
      </w:r>
      <w:proofErr w:type="spellStart"/>
      <w:r w:rsidR="00521E55">
        <w:rPr>
          <w:rFonts w:ascii="Segoe UI" w:hAnsi="Segoe UI" w:cs="Segoe UI"/>
          <w:color w:val="1F2329"/>
          <w:shd w:val="clear" w:color="auto" w:fill="EFF0F1"/>
        </w:rPr>
        <w:t>Ameco</w:t>
      </w:r>
      <w:proofErr w:type="spellEnd"/>
      <w:r w:rsidR="00521E55">
        <w:rPr>
          <w:rFonts w:ascii="Segoe UI" w:hAnsi="Segoe UI" w:cs="Segoe UI"/>
          <w:color w:val="1F2329"/>
          <w:shd w:val="clear" w:color="auto" w:fill="EFF0F1"/>
        </w:rPr>
        <w:t>制定迁移方案。针对本地数据中心</w:t>
      </w:r>
      <w:r w:rsidR="00521E55">
        <w:rPr>
          <w:rFonts w:ascii="Segoe UI" w:hAnsi="Segoe UI" w:cs="Segoe UI"/>
          <w:color w:val="1F2329"/>
          <w:shd w:val="clear" w:color="auto" w:fill="EFF0F1"/>
        </w:rPr>
        <w:t>2</w:t>
      </w:r>
      <w:r w:rsidR="00521E55">
        <w:rPr>
          <w:rFonts w:ascii="Segoe UI" w:hAnsi="Segoe UI" w:cs="Segoe UI"/>
          <w:color w:val="1F2329"/>
          <w:shd w:val="clear" w:color="auto" w:fill="EFF0F1"/>
        </w:rPr>
        <w:t>套</w:t>
      </w:r>
      <w:r w:rsidR="00521E55">
        <w:rPr>
          <w:rFonts w:ascii="Segoe UI" w:hAnsi="Segoe UI" w:cs="Segoe UI"/>
          <w:color w:val="1F2329"/>
          <w:shd w:val="clear" w:color="auto" w:fill="EFF0F1"/>
        </w:rPr>
        <w:t>Oracle19C</w:t>
      </w:r>
      <w:r w:rsidR="00521E55">
        <w:rPr>
          <w:rFonts w:ascii="Segoe UI" w:hAnsi="Segoe UI" w:cs="Segoe UI"/>
          <w:color w:val="1F2329"/>
          <w:shd w:val="clear" w:color="auto" w:fill="EFF0F1"/>
        </w:rPr>
        <w:t>，采用数据增量备份、实时同步技术，确保数据完整性与一致性，制定完善的数据恢复与数据库拉起策略，在公有云环境中快速恢复服务。对于</w:t>
      </w:r>
      <w:r w:rsidR="00521E55">
        <w:rPr>
          <w:rFonts w:ascii="Segoe UI" w:hAnsi="Segoe UI" w:cs="Segoe UI"/>
          <w:color w:val="1F2329"/>
          <w:shd w:val="clear" w:color="auto" w:fill="EFF0F1"/>
        </w:rPr>
        <w:t>1</w:t>
      </w:r>
      <w:r w:rsidR="00521E55">
        <w:rPr>
          <w:rFonts w:ascii="Segoe UI" w:hAnsi="Segoe UI" w:cs="Segoe UI"/>
          <w:color w:val="1F2329"/>
          <w:shd w:val="clear" w:color="auto" w:fill="EFF0F1"/>
        </w:rPr>
        <w:t>套</w:t>
      </w:r>
      <w:r w:rsidR="00521E55">
        <w:rPr>
          <w:rFonts w:ascii="Segoe UI" w:hAnsi="Segoe UI" w:cs="Segoe UI"/>
          <w:color w:val="1F2329"/>
          <w:shd w:val="clear" w:color="auto" w:fill="EFF0F1"/>
        </w:rPr>
        <w:t>SAPHANA</w:t>
      </w:r>
      <w:r w:rsidR="00521E55">
        <w:rPr>
          <w:rFonts w:ascii="Segoe UI" w:hAnsi="Segoe UI" w:cs="Segoe UI"/>
          <w:color w:val="1F2329"/>
          <w:shd w:val="clear" w:color="auto" w:fill="EFF0F1"/>
        </w:rPr>
        <w:t>系统，同样实现数据备份、恢复与实时同步，保障在公有云即时拉起并提供服务。操作系统适配方面，针对</w:t>
      </w:r>
      <w:r w:rsidR="00521E55">
        <w:rPr>
          <w:rFonts w:ascii="Segoe UI" w:hAnsi="Segoe UI" w:cs="Segoe UI"/>
          <w:color w:val="1F2329"/>
          <w:shd w:val="clear" w:color="auto" w:fill="EFF0F1"/>
        </w:rPr>
        <w:t>redhat8.9</w:t>
      </w:r>
      <w:r w:rsidR="00521E55">
        <w:rPr>
          <w:rFonts w:ascii="Segoe UI" w:hAnsi="Segoe UI" w:cs="Segoe UI"/>
          <w:color w:val="1F2329"/>
          <w:shd w:val="clear" w:color="auto" w:fill="EFF0F1"/>
        </w:rPr>
        <w:t>和</w:t>
      </w:r>
      <w:r w:rsidR="00521E55">
        <w:rPr>
          <w:rFonts w:ascii="Segoe UI" w:hAnsi="Segoe UI" w:cs="Segoe UI"/>
          <w:color w:val="1F2329"/>
          <w:shd w:val="clear" w:color="auto" w:fill="EFF0F1"/>
        </w:rPr>
        <w:t>suse15SP6</w:t>
      </w:r>
      <w:r w:rsidR="00521E55">
        <w:rPr>
          <w:rFonts w:ascii="Segoe UI" w:hAnsi="Segoe UI" w:cs="Segoe UI"/>
          <w:color w:val="1F2329"/>
          <w:shd w:val="clear" w:color="auto" w:fill="EFF0F1"/>
        </w:rPr>
        <w:t>，优化容灾服务与系统的兼容性。迁移实施计划将分阶段进行，包括环境准备、数据迁移、功能测试、割接上线等环节，每个环节均制定详细的操作步骤与风险应对措施，确保迁移过程平稳、高效，业务中断时间最短。投标时，将提供包含迁移流程图、技术方案、实施计划等内容的详细混合云容灾服务迁移方案。</w:t>
      </w:r>
    </w:p>
    <w:p w14:paraId="0C339688" w14:textId="66919DE0" w:rsidR="00521E55" w:rsidRDefault="00521E55" w:rsidP="00521E55">
      <w:pPr>
        <w:snapToGrid w:val="0"/>
        <w:ind w:firstLineChars="177" w:firstLine="372"/>
        <w:rPr>
          <w:rFonts w:ascii="Segoe UI" w:hAnsi="Segoe UI" w:cs="Segoe UI"/>
          <w:color w:val="1F2329"/>
          <w:shd w:val="clear" w:color="auto" w:fill="EFF0F1"/>
        </w:rPr>
      </w:pPr>
    </w:p>
    <w:p w14:paraId="7B6275DC" w14:textId="0B5070D0" w:rsidR="00F94661" w:rsidRDefault="00F94661" w:rsidP="00521E55">
      <w:pPr>
        <w:snapToGrid w:val="0"/>
        <w:ind w:firstLineChars="177" w:firstLine="372"/>
        <w:rPr>
          <w:rFonts w:ascii="Segoe UI" w:hAnsi="Segoe UI" w:cs="Segoe UI"/>
          <w:color w:val="1F2329"/>
          <w:shd w:val="clear" w:color="auto" w:fill="EFF0F1"/>
        </w:rPr>
      </w:pPr>
    </w:p>
    <w:p w14:paraId="4FC85D22" w14:textId="206AB44B" w:rsidR="00F94661" w:rsidRPr="00A31C8F" w:rsidRDefault="006C6F6D" w:rsidP="006C6F6D">
      <w:pPr>
        <w:rPr>
          <w:rFonts w:hint="eastAsia"/>
        </w:rPr>
      </w:pPr>
      <w:r w:rsidRPr="006C6F6D">
        <w:rPr>
          <w:rFonts w:hint="eastAsia"/>
          <w:b/>
        </w:rPr>
        <w:t>招标文件要求</w:t>
      </w:r>
    </w:p>
    <w:p w14:paraId="280480A7"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47B205D0"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根据附件</w:t>
      </w:r>
      <w:r w:rsidRPr="00880FE9">
        <w:rPr>
          <w:rFonts w:ascii="Arial" w:eastAsia="等线" w:hAnsi="Arial" w:cs="Arial"/>
          <w:color w:val="000000"/>
          <w:sz w:val="24"/>
        </w:rPr>
        <w:t>1</w:t>
      </w:r>
      <w:r w:rsidRPr="00880FE9">
        <w:rPr>
          <w:rFonts w:ascii="Arial" w:eastAsia="等线" w:hAnsi="Arial" w:cs="Arial"/>
          <w:color w:val="000000"/>
          <w:sz w:val="24"/>
        </w:rPr>
        <w:t>提供以下资源的迁移方案（投标时提供每项详细迁移方案）</w:t>
      </w:r>
    </w:p>
    <w:p w14:paraId="1395C8C5" w14:textId="6E49EF45"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windowsserver2016/2019</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proofErr w:type="spellStart"/>
      <w:r w:rsidRPr="00880FE9">
        <w:rPr>
          <w:rFonts w:ascii="Arial" w:eastAsia="等线" w:hAnsi="Arial" w:cs="Arial"/>
          <w:color w:val="000000"/>
          <w:sz w:val="24"/>
        </w:rPr>
        <w:t>windowsserver</w:t>
      </w:r>
      <w:proofErr w:type="spellEnd"/>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地址变更导致的影响）；测试方案充分，可验证迁移后的应用能否正常运行及补丁升级；</w:t>
      </w:r>
    </w:p>
    <w:p w14:paraId="05DEBE16" w14:textId="4D2F0D8F" w:rsidR="007671BD" w:rsidRDefault="007671BD" w:rsidP="00521E55">
      <w:pPr>
        <w:snapToGrid w:val="0"/>
        <w:ind w:firstLineChars="177" w:firstLine="372"/>
        <w:rPr>
          <w:rFonts w:ascii="Segoe UI" w:hAnsi="Segoe UI" w:cs="Segoe UI"/>
          <w:color w:val="1F2329"/>
          <w:shd w:val="clear" w:color="auto" w:fill="EFF0F1"/>
        </w:rPr>
      </w:pPr>
    </w:p>
    <w:p w14:paraId="19061C49" w14:textId="1EEE8093"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128104D"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2CCF0800" w14:textId="6737F39B"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采用华为云迁移工具，结合离线迁移与在线迁移技术，制定安全、高效的迁移方案。充分考虑</w:t>
      </w:r>
      <w:r>
        <w:rPr>
          <w:rFonts w:ascii="Segoe UI" w:hAnsi="Segoe UI" w:cs="Segoe UI"/>
          <w:color w:val="1F2329"/>
          <w:shd w:val="clear" w:color="auto" w:fill="EFF0F1"/>
        </w:rPr>
        <w:t>IP</w:t>
      </w:r>
      <w:r>
        <w:rPr>
          <w:rFonts w:ascii="Segoe UI" w:hAnsi="Segoe UI" w:cs="Segoe UI"/>
          <w:color w:val="1F2329"/>
          <w:shd w:val="clear" w:color="auto" w:fill="EFF0F1"/>
        </w:rPr>
        <w:t>地址变更等因素对应用的影响，提前进行应用配置调整与兼容性测试。迁移前对源主机进行全面评估，迁移过程中实时监控数据传输与系统状态，确保数据完整性。迁移完成后，进行严格的测试，包括应用功能测试、性能测试、补丁升级测试等，验证迁移后的应用能否正常运行，保障业务连续性与安全性。同时，方案具备良好的扩展性，可应对未来业务增长需求。</w:t>
      </w:r>
    </w:p>
    <w:p w14:paraId="54CE3A6F" w14:textId="4DC5C56F" w:rsidR="00521E55" w:rsidRDefault="00521E55" w:rsidP="00521E55">
      <w:pPr>
        <w:snapToGrid w:val="0"/>
        <w:ind w:firstLineChars="177" w:firstLine="372"/>
        <w:rPr>
          <w:rFonts w:ascii="Segoe UI" w:hAnsi="Segoe UI" w:cs="Segoe UI"/>
          <w:color w:val="1F2329"/>
          <w:shd w:val="clear" w:color="auto" w:fill="EFF0F1"/>
        </w:rPr>
      </w:pPr>
    </w:p>
    <w:p w14:paraId="37342418" w14:textId="66596E5B" w:rsidR="00F94661" w:rsidRDefault="00F94661" w:rsidP="00521E55">
      <w:pPr>
        <w:snapToGrid w:val="0"/>
        <w:ind w:firstLineChars="177" w:firstLine="372"/>
        <w:rPr>
          <w:rFonts w:ascii="Segoe UI" w:hAnsi="Segoe UI" w:cs="Segoe UI"/>
          <w:color w:val="1F2329"/>
          <w:shd w:val="clear" w:color="auto" w:fill="EFF0F1"/>
        </w:rPr>
      </w:pPr>
    </w:p>
    <w:p w14:paraId="57502B77" w14:textId="71007843" w:rsidR="00F94661" w:rsidRPr="00A31C8F" w:rsidRDefault="006C6F6D" w:rsidP="006C6F6D">
      <w:pPr>
        <w:rPr>
          <w:rFonts w:hint="eastAsia"/>
        </w:rPr>
      </w:pPr>
      <w:r w:rsidRPr="006C6F6D">
        <w:rPr>
          <w:rFonts w:hint="eastAsia"/>
          <w:b/>
        </w:rPr>
        <w:t>招标文件要求</w:t>
      </w:r>
    </w:p>
    <w:p w14:paraId="0FEB7766"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7443D6A0" w14:textId="7B35130C"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centos7.5</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r w:rsidRPr="00880FE9">
        <w:rPr>
          <w:rFonts w:ascii="Arial" w:eastAsia="等线" w:hAnsi="Arial" w:cs="Arial"/>
          <w:color w:val="000000"/>
          <w:sz w:val="24"/>
        </w:rPr>
        <w:t>centos7.5</w:t>
      </w:r>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6D825B49" w14:textId="54D18D5F" w:rsidR="00521E55" w:rsidRDefault="00521E55" w:rsidP="00521E55">
      <w:pPr>
        <w:snapToGrid w:val="0"/>
        <w:ind w:firstLineChars="177" w:firstLine="372"/>
        <w:rPr>
          <w:rFonts w:ascii="Segoe UI" w:hAnsi="Segoe UI" w:cs="Segoe UI"/>
          <w:color w:val="1F2329"/>
          <w:shd w:val="clear" w:color="auto" w:fill="EFF0F1"/>
        </w:rPr>
      </w:pPr>
    </w:p>
    <w:p w14:paraId="372115F2" w14:textId="00B11E4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E6D0335"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3460A5D4" w14:textId="0E907164"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基于华为云成熟的迁移技术与经验，制定符合技术</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的迁移方案。采用镜像迁移或块级迁移方式，确保数据完整迁移。针对</w:t>
      </w:r>
      <w:r>
        <w:rPr>
          <w:rFonts w:ascii="Segoe UI" w:hAnsi="Segoe UI" w:cs="Segoe UI"/>
          <w:color w:val="1F2329"/>
          <w:shd w:val="clear" w:color="auto" w:fill="EFF0F1"/>
        </w:rPr>
        <w:t>centos7.5</w:t>
      </w:r>
      <w:r>
        <w:rPr>
          <w:rFonts w:ascii="Segoe UI" w:hAnsi="Segoe UI" w:cs="Segoe UI"/>
          <w:color w:val="1F2329"/>
          <w:shd w:val="clear" w:color="auto" w:fill="EFF0F1"/>
        </w:rPr>
        <w:t>系统特性，优化迁移流程，保障迁移后应用正常运行。设计全面的测试方案，对迁移后的云主机进行系统功能、网络连接、应用服务等多方面测试，确保应用稳定运行，满足业务需求。</w:t>
      </w:r>
    </w:p>
    <w:p w14:paraId="2B257D4A" w14:textId="584443D7" w:rsidR="00521E55" w:rsidRPr="00521E55" w:rsidRDefault="00521E55" w:rsidP="00521E55">
      <w:pPr>
        <w:snapToGrid w:val="0"/>
        <w:ind w:firstLineChars="177" w:firstLine="372"/>
        <w:rPr>
          <w:rFonts w:ascii="Segoe UI" w:hAnsi="Segoe UI" w:cs="Segoe UI"/>
          <w:color w:val="1F2329"/>
          <w:shd w:val="clear" w:color="auto" w:fill="EFF0F1"/>
        </w:rPr>
      </w:pPr>
    </w:p>
    <w:p w14:paraId="4DEB85A4" w14:textId="5B56FBC8" w:rsidR="00521E55" w:rsidRDefault="00521E55" w:rsidP="00521E55">
      <w:pPr>
        <w:snapToGrid w:val="0"/>
        <w:ind w:firstLineChars="177" w:firstLine="372"/>
        <w:rPr>
          <w:rFonts w:ascii="Segoe UI" w:hAnsi="Segoe UI" w:cs="Segoe UI"/>
          <w:color w:val="1F2329"/>
          <w:shd w:val="clear" w:color="auto" w:fill="EFF0F1"/>
        </w:rPr>
      </w:pPr>
    </w:p>
    <w:p w14:paraId="0948ED3E" w14:textId="4580BAD0" w:rsidR="00F94661" w:rsidRPr="00A31C8F" w:rsidRDefault="006C6F6D" w:rsidP="006C6F6D">
      <w:pPr>
        <w:rPr>
          <w:rFonts w:hint="eastAsia"/>
        </w:rPr>
      </w:pPr>
      <w:r w:rsidRPr="006C6F6D">
        <w:rPr>
          <w:rFonts w:hint="eastAsia"/>
          <w:b/>
        </w:rPr>
        <w:t>招标文件要求</w:t>
      </w:r>
    </w:p>
    <w:p w14:paraId="3306070B"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698DA6A4" w14:textId="72BC347D"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redhat6.10/8.9</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r w:rsidRPr="00880FE9">
        <w:rPr>
          <w:rFonts w:ascii="Arial" w:eastAsia="等线" w:hAnsi="Arial" w:cs="Arial"/>
          <w:color w:val="000000"/>
          <w:sz w:val="24"/>
        </w:rPr>
        <w:t>redhat6.10/8.9</w:t>
      </w:r>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20188CC7" w14:textId="3987D9C8" w:rsidR="00521E55" w:rsidRDefault="00521E55" w:rsidP="00521E55">
      <w:pPr>
        <w:snapToGrid w:val="0"/>
        <w:ind w:firstLineChars="177" w:firstLine="372"/>
        <w:rPr>
          <w:rFonts w:ascii="Segoe UI" w:hAnsi="Segoe UI" w:cs="Segoe UI"/>
          <w:color w:val="1F2329"/>
          <w:shd w:val="clear" w:color="auto" w:fill="EFF0F1"/>
        </w:rPr>
      </w:pPr>
    </w:p>
    <w:p w14:paraId="2F8269CC" w14:textId="39176825"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BBA9211"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3063D42E" w14:textId="7BB94844"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运用华为云专业迁移工具与技术，根据</w:t>
      </w:r>
      <w:proofErr w:type="spellStart"/>
      <w:r>
        <w:rPr>
          <w:rFonts w:ascii="Segoe UI" w:hAnsi="Segoe UI" w:cs="Segoe UI"/>
          <w:color w:val="1F2329"/>
          <w:shd w:val="clear" w:color="auto" w:fill="EFF0F1"/>
        </w:rPr>
        <w:t>redhat</w:t>
      </w:r>
      <w:proofErr w:type="spellEnd"/>
      <w:r>
        <w:rPr>
          <w:rFonts w:ascii="Segoe UI" w:hAnsi="Segoe UI" w:cs="Segoe UI"/>
          <w:color w:val="1F2329"/>
          <w:shd w:val="clear" w:color="auto" w:fill="EFF0F1"/>
        </w:rPr>
        <w:t>系统特点，制定针对性迁移方案。在迁移过程中，保障数据一致性与系统稳定性，对迁移后的应用进行充分测试，包括应用功能验证、性能调优、兼容性检查等，确保应用能够正常运行，同时方案具备良好的安全性与扩展性。</w:t>
      </w:r>
    </w:p>
    <w:p w14:paraId="3D7B8BFD" w14:textId="378BC416" w:rsidR="00521E55" w:rsidRDefault="00521E55" w:rsidP="00521E55">
      <w:pPr>
        <w:snapToGrid w:val="0"/>
        <w:ind w:firstLineChars="177" w:firstLine="372"/>
        <w:rPr>
          <w:rFonts w:ascii="Segoe UI" w:hAnsi="Segoe UI" w:cs="Segoe UI"/>
          <w:color w:val="1F2329"/>
          <w:shd w:val="clear" w:color="auto" w:fill="EFF0F1"/>
        </w:rPr>
      </w:pPr>
    </w:p>
    <w:p w14:paraId="07EE54D1" w14:textId="5D387AB7" w:rsidR="00F94661" w:rsidRDefault="00F94661" w:rsidP="00521E55">
      <w:pPr>
        <w:snapToGrid w:val="0"/>
        <w:ind w:firstLineChars="177" w:firstLine="372"/>
        <w:rPr>
          <w:rFonts w:ascii="Segoe UI" w:hAnsi="Segoe UI" w:cs="Segoe UI"/>
          <w:color w:val="1F2329"/>
          <w:shd w:val="clear" w:color="auto" w:fill="EFF0F1"/>
        </w:rPr>
      </w:pPr>
    </w:p>
    <w:p w14:paraId="5AC89F70" w14:textId="5D99672C" w:rsidR="00F94661" w:rsidRDefault="00F94661" w:rsidP="00521E55">
      <w:pPr>
        <w:snapToGrid w:val="0"/>
        <w:ind w:firstLineChars="177" w:firstLine="372"/>
        <w:rPr>
          <w:rFonts w:ascii="Segoe UI" w:hAnsi="Segoe UI" w:cs="Segoe UI"/>
          <w:color w:val="1F2329"/>
          <w:shd w:val="clear" w:color="auto" w:fill="EFF0F1"/>
        </w:rPr>
      </w:pPr>
    </w:p>
    <w:p w14:paraId="70000876" w14:textId="119643AD" w:rsidR="00F94661" w:rsidRPr="00A31C8F" w:rsidRDefault="006C6F6D" w:rsidP="006C6F6D">
      <w:pPr>
        <w:rPr>
          <w:rFonts w:hint="eastAsia"/>
        </w:rPr>
      </w:pPr>
      <w:r w:rsidRPr="006C6F6D">
        <w:rPr>
          <w:rFonts w:hint="eastAsia"/>
          <w:b/>
        </w:rPr>
        <w:t>招标文件要求</w:t>
      </w:r>
    </w:p>
    <w:p w14:paraId="6117FADE"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7A3EDEC8" w14:textId="0B12A5F5"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suse15SP6</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r w:rsidRPr="00880FE9">
        <w:rPr>
          <w:rFonts w:ascii="Arial" w:eastAsia="等线" w:hAnsi="Arial" w:cs="Arial"/>
          <w:color w:val="000000"/>
          <w:sz w:val="24"/>
        </w:rPr>
        <w:t>suse15SP6</w:t>
      </w:r>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地址变更导致的影响）；测试方案充分，可验证迁移后的应用能否正常运行及补丁升级；</w:t>
      </w:r>
    </w:p>
    <w:p w14:paraId="25791D6F" w14:textId="7D4543B1" w:rsidR="00521E55" w:rsidRDefault="00521E55" w:rsidP="00521E55">
      <w:pPr>
        <w:snapToGrid w:val="0"/>
        <w:ind w:firstLineChars="177" w:firstLine="372"/>
        <w:rPr>
          <w:rFonts w:ascii="Segoe UI" w:hAnsi="Segoe UI" w:cs="Segoe UI"/>
          <w:color w:val="1F2329"/>
          <w:shd w:val="clear" w:color="auto" w:fill="EFF0F1"/>
        </w:rPr>
      </w:pPr>
    </w:p>
    <w:p w14:paraId="52B3DE8A" w14:textId="5E8F8911"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542E764"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75158344" w14:textId="1785DCC2"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采用安全可靠的迁移策略，结合华为云迁移服务，实现</w:t>
      </w:r>
      <w:r>
        <w:rPr>
          <w:rFonts w:ascii="Segoe UI" w:hAnsi="Segoe UI" w:cs="Segoe UI"/>
          <w:color w:val="1F2329"/>
          <w:shd w:val="clear" w:color="auto" w:fill="EFF0F1"/>
        </w:rPr>
        <w:t>suse15SP6</w:t>
      </w:r>
      <w:r>
        <w:rPr>
          <w:rFonts w:ascii="Segoe UI" w:hAnsi="Segoe UI" w:cs="Segoe UI"/>
          <w:color w:val="1F2329"/>
          <w:shd w:val="clear" w:color="auto" w:fill="EFF0F1"/>
        </w:rPr>
        <w:t>系统云主机的平滑迁移。在迁移前对源主机进行深度评估，迁移中实时监控迁移进度与数据完整性，迁移后进行全面测试，涵盖应用功能、系统性能、补丁升级等方面，确保迁移后的应用正常运行，满足业务安全与扩展需求。</w:t>
      </w:r>
    </w:p>
    <w:p w14:paraId="0FE825AB" w14:textId="479E67B8" w:rsidR="00521E55" w:rsidRDefault="00521E55" w:rsidP="00521E55">
      <w:pPr>
        <w:snapToGrid w:val="0"/>
        <w:ind w:firstLineChars="177" w:firstLine="372"/>
        <w:rPr>
          <w:rFonts w:ascii="Segoe UI" w:hAnsi="Segoe UI" w:cs="Segoe UI"/>
          <w:color w:val="1F2329"/>
          <w:shd w:val="clear" w:color="auto" w:fill="EFF0F1"/>
        </w:rPr>
      </w:pPr>
    </w:p>
    <w:p w14:paraId="22FDD091" w14:textId="7E371287" w:rsidR="00F94661" w:rsidRDefault="00F94661" w:rsidP="00521E55">
      <w:pPr>
        <w:snapToGrid w:val="0"/>
        <w:ind w:firstLineChars="177" w:firstLine="372"/>
        <w:rPr>
          <w:rFonts w:ascii="Segoe UI" w:hAnsi="Segoe UI" w:cs="Segoe UI"/>
          <w:color w:val="1F2329"/>
          <w:shd w:val="clear" w:color="auto" w:fill="EFF0F1"/>
        </w:rPr>
      </w:pPr>
    </w:p>
    <w:p w14:paraId="158E66E8" w14:textId="160D8576" w:rsidR="00F94661" w:rsidRPr="00A31C8F" w:rsidRDefault="006C6F6D" w:rsidP="006C6F6D">
      <w:pPr>
        <w:rPr>
          <w:rFonts w:hint="eastAsia"/>
        </w:rPr>
      </w:pPr>
      <w:r w:rsidRPr="006C6F6D">
        <w:rPr>
          <w:rFonts w:hint="eastAsia"/>
          <w:b/>
        </w:rPr>
        <w:t>招标文件要求</w:t>
      </w:r>
    </w:p>
    <w:p w14:paraId="21CECCAA"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58F58C80" w14:textId="723A1EE6"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proofErr w:type="spellStart"/>
      <w:r w:rsidRPr="00880FE9">
        <w:rPr>
          <w:rFonts w:ascii="Arial" w:eastAsia="等线" w:hAnsi="Arial" w:cs="Arial"/>
          <w:color w:val="000000"/>
          <w:sz w:val="24"/>
        </w:rPr>
        <w:t>AWSlinux</w:t>
      </w:r>
      <w:proofErr w:type="spellEnd"/>
      <w:r w:rsidRPr="00880FE9">
        <w:rPr>
          <w:rFonts w:ascii="Arial" w:eastAsia="等线" w:hAnsi="Arial" w:cs="Arial"/>
          <w:color w:val="000000"/>
          <w:sz w:val="24"/>
        </w:rPr>
        <w:t>可迁移至其他公有云平台</w:t>
      </w:r>
      <w:r w:rsidRPr="00880FE9">
        <w:rPr>
          <w:rFonts w:ascii="Arial" w:eastAsia="等线" w:hAnsi="Arial" w:cs="Arial"/>
          <w:color w:val="000000"/>
          <w:sz w:val="24"/>
        </w:rPr>
        <w:t>Linux</w:t>
      </w:r>
      <w:r w:rsidRPr="00880FE9">
        <w:rPr>
          <w:rFonts w:ascii="Arial" w:eastAsia="等线" w:hAnsi="Arial" w:cs="Arial"/>
          <w:color w:val="000000"/>
          <w:sz w:val="24"/>
        </w:rPr>
        <w:t>系统）：设计方案实用规范，考虑充分，具备可实施性，符合现有技术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proofErr w:type="spellStart"/>
      <w:r w:rsidRPr="00880FE9">
        <w:rPr>
          <w:rFonts w:ascii="Arial" w:eastAsia="等线" w:hAnsi="Arial" w:cs="Arial"/>
          <w:color w:val="000000"/>
          <w:sz w:val="24"/>
        </w:rPr>
        <w:t>AWSlinux</w:t>
      </w:r>
      <w:proofErr w:type="spellEnd"/>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w:t>
      </w:r>
      <w:proofErr w:type="spellStart"/>
      <w:r w:rsidRPr="00880FE9">
        <w:rPr>
          <w:rFonts w:ascii="Arial" w:eastAsia="等线" w:hAnsi="Arial" w:cs="Arial"/>
          <w:color w:val="000000"/>
          <w:sz w:val="24"/>
        </w:rPr>
        <w:t>AWSlinux</w:t>
      </w:r>
      <w:proofErr w:type="spellEnd"/>
      <w:r w:rsidRPr="00880FE9">
        <w:rPr>
          <w:rFonts w:ascii="Arial" w:eastAsia="等线" w:hAnsi="Arial" w:cs="Arial"/>
          <w:color w:val="000000"/>
          <w:sz w:val="24"/>
        </w:rPr>
        <w:t>可迁移至其他公有云平台</w:t>
      </w:r>
      <w:r w:rsidRPr="00880FE9">
        <w:rPr>
          <w:rFonts w:ascii="Arial" w:eastAsia="等线" w:hAnsi="Arial" w:cs="Arial"/>
          <w:color w:val="000000"/>
          <w:sz w:val="24"/>
        </w:rPr>
        <w:t>Linux</w:t>
      </w:r>
      <w:r w:rsidRPr="00880FE9">
        <w:rPr>
          <w:rFonts w:ascii="Arial" w:eastAsia="等线" w:hAnsi="Arial" w:cs="Arial"/>
          <w:color w:val="000000"/>
          <w:sz w:val="24"/>
        </w:rPr>
        <w:t>系统）；测试方案充分，可验证迁移后的应用能否正常运行及补丁升级；</w:t>
      </w:r>
    </w:p>
    <w:p w14:paraId="77E73EF4" w14:textId="7D6704C8" w:rsidR="007671BD" w:rsidRDefault="007671BD" w:rsidP="00521E55">
      <w:pPr>
        <w:snapToGrid w:val="0"/>
        <w:ind w:firstLineChars="177" w:firstLine="372"/>
        <w:rPr>
          <w:rFonts w:ascii="Segoe UI" w:hAnsi="Segoe UI" w:cs="Segoe UI"/>
          <w:color w:val="1F2329"/>
          <w:shd w:val="clear" w:color="auto" w:fill="EFF0F1"/>
        </w:rPr>
      </w:pPr>
    </w:p>
    <w:p w14:paraId="5A8704A2" w14:textId="29E8645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42F6D75"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013AB74F" w14:textId="66A245DD"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利用华为云跨平台迁移技术，制定适配</w:t>
      </w:r>
      <w:proofErr w:type="spellStart"/>
      <w:r>
        <w:rPr>
          <w:rFonts w:ascii="Segoe UI" w:hAnsi="Segoe UI" w:cs="Segoe UI"/>
          <w:color w:val="1F2329"/>
          <w:shd w:val="clear" w:color="auto" w:fill="EFF0F1"/>
        </w:rPr>
        <w:t>AWSlinux</w:t>
      </w:r>
      <w:proofErr w:type="spellEnd"/>
      <w:r>
        <w:rPr>
          <w:rFonts w:ascii="Segoe UI" w:hAnsi="Segoe UI" w:cs="Segoe UI"/>
          <w:color w:val="1F2329"/>
          <w:shd w:val="clear" w:color="auto" w:fill="EFF0F1"/>
        </w:rPr>
        <w:t>迁移至其他公有云平台</w:t>
      </w:r>
      <w:r>
        <w:rPr>
          <w:rFonts w:ascii="Segoe UI" w:hAnsi="Segoe UI" w:cs="Segoe UI"/>
          <w:color w:val="1F2329"/>
          <w:shd w:val="clear" w:color="auto" w:fill="EFF0F1"/>
        </w:rPr>
        <w:t>Linux</w:t>
      </w:r>
      <w:r>
        <w:rPr>
          <w:rFonts w:ascii="Segoe UI" w:hAnsi="Segoe UI" w:cs="Segoe UI"/>
          <w:color w:val="1F2329"/>
          <w:shd w:val="clear" w:color="auto" w:fill="EFF0F1"/>
        </w:rPr>
        <w:t>系统的方案。</w:t>
      </w:r>
      <w:r>
        <w:rPr>
          <w:rFonts w:ascii="Segoe UI" w:hAnsi="Segoe UI" w:cs="Segoe UI"/>
          <w:color w:val="1F2329"/>
          <w:shd w:val="clear" w:color="auto" w:fill="EFF0F1"/>
        </w:rPr>
        <w:lastRenderedPageBreak/>
        <w:t>充分考虑系统差异与兼容性问题，在迁移过程中进行系统配置调整与优化。设计严格的测试流程，对迁移后的应用进行功能测试、性能测试、补丁升级测试等，确保应用能够正常运行，保障迁移的安全性与可扩展性。</w:t>
      </w:r>
    </w:p>
    <w:p w14:paraId="6F523A2C" w14:textId="21AAB505" w:rsidR="00521E55" w:rsidRDefault="00521E55" w:rsidP="00521E55">
      <w:pPr>
        <w:snapToGrid w:val="0"/>
        <w:ind w:firstLineChars="177" w:firstLine="372"/>
        <w:rPr>
          <w:rFonts w:ascii="Segoe UI" w:hAnsi="Segoe UI" w:cs="Segoe UI"/>
          <w:color w:val="1F2329"/>
          <w:shd w:val="clear" w:color="auto" w:fill="EFF0F1"/>
        </w:rPr>
      </w:pPr>
    </w:p>
    <w:p w14:paraId="2CEF48C0" w14:textId="72C6AF9C" w:rsidR="00F94661" w:rsidRDefault="00F94661" w:rsidP="00521E55">
      <w:pPr>
        <w:snapToGrid w:val="0"/>
        <w:ind w:firstLineChars="177" w:firstLine="372"/>
        <w:rPr>
          <w:rFonts w:ascii="Segoe UI" w:hAnsi="Segoe UI" w:cs="Segoe UI"/>
          <w:color w:val="1F2329"/>
          <w:shd w:val="clear" w:color="auto" w:fill="EFF0F1"/>
        </w:rPr>
      </w:pPr>
    </w:p>
    <w:p w14:paraId="39E66092" w14:textId="02E276AA" w:rsidR="00F94661" w:rsidRPr="00A31C8F" w:rsidRDefault="006C6F6D" w:rsidP="006C6F6D">
      <w:pPr>
        <w:rPr>
          <w:rFonts w:hint="eastAsia"/>
        </w:rPr>
      </w:pPr>
      <w:r w:rsidRPr="006C6F6D">
        <w:rPr>
          <w:rFonts w:hint="eastAsia"/>
          <w:b/>
        </w:rPr>
        <w:t>招标文件要求</w:t>
      </w:r>
    </w:p>
    <w:p w14:paraId="4B4BE6E9"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5F1BEF6D" w14:textId="2146F1B5"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云主机云盘：设计方案实用规范，考虑充分，具备可实施性，符合现有技术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并具有良好的安全性及扩展性。云主机云盘迁移方案能够确保迁移后的应用能够正常运行（除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680D1A4E" w14:textId="6E241171" w:rsidR="00521E55" w:rsidRDefault="00521E55" w:rsidP="00521E55">
      <w:pPr>
        <w:snapToGrid w:val="0"/>
        <w:ind w:firstLineChars="177" w:firstLine="372"/>
        <w:rPr>
          <w:rFonts w:ascii="Segoe UI" w:hAnsi="Segoe UI" w:cs="Segoe UI"/>
          <w:color w:val="1F2329"/>
          <w:shd w:val="clear" w:color="auto" w:fill="EFF0F1"/>
        </w:rPr>
      </w:pPr>
    </w:p>
    <w:p w14:paraId="1A21E45E" w14:textId="00D2ADE4"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4AA739C"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23645F91" w14:textId="021681AF"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采用华为云云盘迁移技术，制定安全、高效的迁移方案。在迁移过程中，保障云盘数据的完整性与一致性，避免数据丢失或损坏。迁移完成后，对云盘挂载、数据读写等功能进行全面测试，确保迁移后的应用能够正常使用云盘资源，满足业务运行需求。</w:t>
      </w:r>
    </w:p>
    <w:p w14:paraId="58FC89C7" w14:textId="06A41719" w:rsidR="00521E55" w:rsidRDefault="00521E55" w:rsidP="00521E55">
      <w:pPr>
        <w:snapToGrid w:val="0"/>
        <w:ind w:firstLineChars="177" w:firstLine="372"/>
        <w:rPr>
          <w:rFonts w:ascii="Segoe UI" w:hAnsi="Segoe UI" w:cs="Segoe UI"/>
          <w:color w:val="1F2329"/>
          <w:shd w:val="clear" w:color="auto" w:fill="EFF0F1"/>
        </w:rPr>
      </w:pPr>
    </w:p>
    <w:p w14:paraId="6016D3DA" w14:textId="66CA2DC1" w:rsidR="00F94661" w:rsidRDefault="00F94661" w:rsidP="00521E55">
      <w:pPr>
        <w:snapToGrid w:val="0"/>
        <w:ind w:firstLineChars="177" w:firstLine="372"/>
        <w:rPr>
          <w:rFonts w:ascii="Segoe UI" w:hAnsi="Segoe UI" w:cs="Segoe UI"/>
          <w:color w:val="1F2329"/>
          <w:shd w:val="clear" w:color="auto" w:fill="EFF0F1"/>
        </w:rPr>
      </w:pPr>
    </w:p>
    <w:p w14:paraId="3D1E486D" w14:textId="3311F700" w:rsidR="00F94661" w:rsidRPr="00A31C8F" w:rsidRDefault="006C6F6D" w:rsidP="006C6F6D">
      <w:pPr>
        <w:rPr>
          <w:rFonts w:hint="eastAsia"/>
        </w:rPr>
      </w:pPr>
      <w:r w:rsidRPr="006C6F6D">
        <w:rPr>
          <w:rFonts w:hint="eastAsia"/>
          <w:b/>
        </w:rPr>
        <w:t>招标文件要求</w:t>
      </w:r>
    </w:p>
    <w:p w14:paraId="754A43F7"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4DBD1C23" w14:textId="7C391123"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对象存储</w:t>
      </w:r>
      <w:r w:rsidRPr="00880FE9">
        <w:rPr>
          <w:rFonts w:ascii="Arial" w:eastAsia="等线" w:hAnsi="Arial" w:cs="Arial"/>
          <w:color w:val="000000"/>
          <w:sz w:val="24"/>
        </w:rPr>
        <w:t>OSS</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并具有良好的安全性及扩展性。对象存储</w:t>
      </w:r>
      <w:r w:rsidRPr="00880FE9">
        <w:rPr>
          <w:rFonts w:ascii="Arial" w:eastAsia="等线" w:hAnsi="Arial" w:cs="Arial"/>
          <w:color w:val="000000"/>
          <w:sz w:val="24"/>
        </w:rPr>
        <w:t>OSS</w:t>
      </w:r>
      <w:r w:rsidRPr="00880FE9">
        <w:rPr>
          <w:rFonts w:ascii="Arial" w:eastAsia="等线" w:hAnsi="Arial" w:cs="Arial"/>
          <w:color w:val="000000"/>
          <w:sz w:val="24"/>
        </w:rPr>
        <w:t>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21F686C8" w14:textId="099D7243" w:rsidR="007671BD" w:rsidRDefault="007671BD" w:rsidP="00521E55">
      <w:pPr>
        <w:snapToGrid w:val="0"/>
        <w:ind w:firstLineChars="177" w:firstLine="372"/>
        <w:rPr>
          <w:rFonts w:ascii="Segoe UI" w:hAnsi="Segoe UI" w:cs="Segoe UI"/>
          <w:color w:val="1F2329"/>
          <w:shd w:val="clear" w:color="auto" w:fill="EFF0F1"/>
        </w:rPr>
      </w:pPr>
    </w:p>
    <w:p w14:paraId="2BDA9C5D" w14:textId="31390864"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8353261"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26ED6D14" w14:textId="2E55863A"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运用华为云对象存储迁移工具，制定详细的迁移方案。根据对象存储数据特点，采用增量迁移或全量迁移方式，确保数据完整迁移。迁移过程中，保障数据传输安全，迁移完成后进行数据一致性校验与功能测试，确保应用能够正常访问迁移后的对象存储数据，满足业务需求。</w:t>
      </w:r>
    </w:p>
    <w:p w14:paraId="0D90F67E" w14:textId="524E8A31" w:rsidR="00521E55" w:rsidRDefault="00521E55" w:rsidP="00521E55">
      <w:pPr>
        <w:snapToGrid w:val="0"/>
        <w:ind w:firstLineChars="177" w:firstLine="372"/>
        <w:rPr>
          <w:rFonts w:ascii="Segoe UI" w:hAnsi="Segoe UI" w:cs="Segoe UI"/>
          <w:color w:val="1F2329"/>
          <w:shd w:val="clear" w:color="auto" w:fill="EFF0F1"/>
        </w:rPr>
      </w:pPr>
    </w:p>
    <w:p w14:paraId="2A1848ED" w14:textId="00B27EBF" w:rsidR="00F94661" w:rsidRDefault="00F94661" w:rsidP="00521E55">
      <w:pPr>
        <w:snapToGrid w:val="0"/>
        <w:ind w:firstLineChars="177" w:firstLine="372"/>
        <w:rPr>
          <w:rFonts w:ascii="Segoe UI" w:hAnsi="Segoe UI" w:cs="Segoe UI"/>
          <w:color w:val="1F2329"/>
          <w:shd w:val="clear" w:color="auto" w:fill="EFF0F1"/>
        </w:rPr>
      </w:pPr>
    </w:p>
    <w:p w14:paraId="728A30CE" w14:textId="7E1DF699" w:rsidR="00F94661" w:rsidRPr="00A31C8F" w:rsidRDefault="006C6F6D" w:rsidP="006C6F6D">
      <w:pPr>
        <w:rPr>
          <w:rFonts w:hint="eastAsia"/>
        </w:rPr>
      </w:pPr>
      <w:r w:rsidRPr="006C6F6D">
        <w:rPr>
          <w:rFonts w:hint="eastAsia"/>
          <w:b/>
        </w:rPr>
        <w:t>招标文件要求</w:t>
      </w:r>
    </w:p>
    <w:p w14:paraId="5AB52646"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6AED4800" w14:textId="2B2D1F74"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文件存储</w:t>
      </w:r>
      <w:r w:rsidRPr="00880FE9">
        <w:rPr>
          <w:rFonts w:ascii="Arial" w:eastAsia="等线" w:hAnsi="Arial" w:cs="Arial"/>
          <w:color w:val="000000"/>
          <w:sz w:val="24"/>
        </w:rPr>
        <w:t>NAS</w:t>
      </w:r>
      <w:r w:rsidRPr="00880FE9">
        <w:rPr>
          <w:rFonts w:ascii="Arial" w:eastAsia="等线" w:hAnsi="Arial" w:cs="Arial"/>
          <w:color w:val="000000"/>
          <w:sz w:val="24"/>
        </w:rPr>
        <w:t>（</w:t>
      </w:r>
      <w:r w:rsidRPr="00880FE9">
        <w:rPr>
          <w:rFonts w:ascii="Arial" w:eastAsia="等线" w:hAnsi="Arial" w:cs="Arial"/>
          <w:color w:val="000000"/>
          <w:sz w:val="24"/>
        </w:rPr>
        <w:t>NFS</w:t>
      </w:r>
      <w:r w:rsidRPr="00880FE9">
        <w:rPr>
          <w:rFonts w:ascii="Arial" w:eastAsia="等线" w:hAnsi="Arial" w:cs="Arial"/>
          <w:color w:val="000000"/>
          <w:sz w:val="24"/>
        </w:rPr>
        <w:t>协议）：设计方案实用规范，考虑充分，具备可实施性，符合现有技术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并具有良好的安全性及扩展性。文件存储</w:t>
      </w:r>
      <w:r w:rsidRPr="00880FE9">
        <w:rPr>
          <w:rFonts w:ascii="Arial" w:eastAsia="等线" w:hAnsi="Arial" w:cs="Arial"/>
          <w:color w:val="000000"/>
          <w:sz w:val="24"/>
        </w:rPr>
        <w:t>NAS</w:t>
      </w:r>
      <w:r w:rsidRPr="00880FE9">
        <w:rPr>
          <w:rFonts w:ascii="Arial" w:eastAsia="等线" w:hAnsi="Arial" w:cs="Arial"/>
          <w:color w:val="000000"/>
          <w:sz w:val="24"/>
        </w:rPr>
        <w:t>（</w:t>
      </w:r>
      <w:r w:rsidRPr="00880FE9">
        <w:rPr>
          <w:rFonts w:ascii="Arial" w:eastAsia="等线" w:hAnsi="Arial" w:cs="Arial"/>
          <w:color w:val="000000"/>
          <w:sz w:val="24"/>
        </w:rPr>
        <w:t>NFS</w:t>
      </w:r>
      <w:r w:rsidRPr="00880FE9">
        <w:rPr>
          <w:rFonts w:ascii="Arial" w:eastAsia="等线" w:hAnsi="Arial" w:cs="Arial"/>
          <w:color w:val="000000"/>
          <w:sz w:val="24"/>
        </w:rPr>
        <w:t>协议）迁移方案能够确保迁移后的应用能够正常运行（除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5CD8A445" w14:textId="7E22D7C9" w:rsidR="007671BD" w:rsidRDefault="007671BD" w:rsidP="00521E55">
      <w:pPr>
        <w:snapToGrid w:val="0"/>
        <w:ind w:firstLineChars="177" w:firstLine="372"/>
        <w:rPr>
          <w:rFonts w:ascii="Segoe UI" w:hAnsi="Segoe UI" w:cs="Segoe UI"/>
          <w:color w:val="1F2329"/>
          <w:shd w:val="clear" w:color="auto" w:fill="EFF0F1"/>
        </w:rPr>
      </w:pPr>
    </w:p>
    <w:p w14:paraId="08E8ABA1" w14:textId="4D266A6E"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9BD295E"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20917477" w14:textId="7E9A674F"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基于华为云文件存储迁移技术，制定符合技术</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的迁移方案。在迁移过程中，保障文件存储数据的完整性与可用性，对</w:t>
      </w:r>
      <w:r>
        <w:rPr>
          <w:rFonts w:ascii="Segoe UI" w:hAnsi="Segoe UI" w:cs="Segoe UI"/>
          <w:color w:val="1F2329"/>
          <w:shd w:val="clear" w:color="auto" w:fill="EFF0F1"/>
        </w:rPr>
        <w:t>NFS</w:t>
      </w:r>
      <w:r>
        <w:rPr>
          <w:rFonts w:ascii="Segoe UI" w:hAnsi="Segoe UI" w:cs="Segoe UI"/>
          <w:color w:val="1F2329"/>
          <w:shd w:val="clear" w:color="auto" w:fill="EFF0F1"/>
        </w:rPr>
        <w:t>协议兼容性进行优化。迁移完成后，进行全面测试，包括文件读写、权限管理、共享访问等功能测试，确保迁移后的应用能够正常使用文件存储</w:t>
      </w:r>
      <w:r>
        <w:rPr>
          <w:rFonts w:ascii="Segoe UI" w:hAnsi="Segoe UI" w:cs="Segoe UI"/>
          <w:color w:val="1F2329"/>
          <w:shd w:val="clear" w:color="auto" w:fill="EFF0F1"/>
        </w:rPr>
        <w:t>NAS</w:t>
      </w:r>
      <w:r>
        <w:rPr>
          <w:rFonts w:ascii="Segoe UI" w:hAnsi="Segoe UI" w:cs="Segoe UI"/>
          <w:color w:val="1F2329"/>
          <w:shd w:val="clear" w:color="auto" w:fill="EFF0F1"/>
        </w:rPr>
        <w:t>资源，满足业务安全与扩展需求。投标时，将为每项资源提供包含迁移流程图、技术方案、测试</w:t>
      </w:r>
      <w:r>
        <w:rPr>
          <w:rFonts w:ascii="Segoe UI" w:hAnsi="Segoe UI" w:cs="Segoe UI"/>
          <w:color w:val="1F2329"/>
          <w:shd w:val="clear" w:color="auto" w:fill="EFF0F1"/>
        </w:rPr>
        <w:lastRenderedPageBreak/>
        <w:t>计划等内容的详细迁移方案。</w:t>
      </w:r>
    </w:p>
    <w:p w14:paraId="7FC89C18" w14:textId="77777777" w:rsidR="00521E55" w:rsidRPr="00521E55" w:rsidRDefault="00521E55" w:rsidP="00521E55">
      <w:pPr>
        <w:snapToGrid w:val="0"/>
        <w:ind w:firstLineChars="177" w:firstLine="372"/>
        <w:rPr>
          <w:rFonts w:ascii="Segoe UI" w:hAnsi="Segoe UI" w:cs="Segoe UI"/>
          <w:color w:val="1F2329"/>
          <w:shd w:val="clear" w:color="auto" w:fill="EFF0F1"/>
        </w:rPr>
      </w:pPr>
    </w:p>
    <w:p w14:paraId="18C4BA4B" w14:textId="77777777" w:rsidR="00521E55" w:rsidRPr="00521E55" w:rsidRDefault="00521E55" w:rsidP="00521E55">
      <w:pPr>
        <w:snapToGrid w:val="0"/>
        <w:ind w:firstLineChars="177" w:firstLine="372"/>
        <w:rPr>
          <w:rFonts w:ascii="Segoe UI" w:hAnsi="Segoe UI" w:cs="Segoe UI"/>
          <w:color w:val="1F2329"/>
          <w:shd w:val="clear" w:color="auto" w:fill="EFF0F1"/>
        </w:rPr>
      </w:pPr>
    </w:p>
    <w:p w14:paraId="476FAE5D" w14:textId="12454B17" w:rsidR="00BE572F" w:rsidRDefault="00BE572F" w:rsidP="00BE572F">
      <w:pPr>
        <w:pStyle w:val="3"/>
        <w:rPr>
          <w:rFonts w:hint="eastAsia"/>
        </w:rPr>
      </w:pPr>
      <w:r>
        <w:tab/>
        <w:t>项目组织方案（总集）（重点打分项）</w:t>
      </w:r>
      <w:r>
        <w:tab/>
      </w:r>
    </w:p>
    <w:p w14:paraId="075E7E03" w14:textId="7C315B76" w:rsidR="00BE572F" w:rsidRDefault="00BE572F" w:rsidP="00BE572F">
      <w:pPr>
        <w:pStyle w:val="4"/>
        <w:rPr>
          <w:rFonts w:hint="eastAsia"/>
        </w:rPr>
      </w:pPr>
      <w:r>
        <w:rPr>
          <w:rFonts w:hint="eastAsia"/>
        </w:rPr>
        <w:t>项目概述</w:t>
      </w:r>
    </w:p>
    <w:p w14:paraId="1E042765" w14:textId="07F02359" w:rsidR="00BE572F" w:rsidRDefault="00BE572F" w:rsidP="00BE572F">
      <w:pPr>
        <w:ind w:firstLine="420"/>
        <w:rPr>
          <w:rFonts w:hint="eastAsia"/>
        </w:rPr>
      </w:pPr>
      <w:r>
        <w:rPr>
          <w:rFonts w:hint="eastAsia"/>
        </w:rPr>
        <w:t>北京飞机维修工程有限公司（</w:t>
      </w:r>
      <w:r>
        <w:t>AMECO）正处于关键转型期，其现行主容灾云平台依托的AWS云服务即将迎来服务周期终点。随着服务期限临近，数据存储的安全隐患、计算能力的瓶颈以及容灾体系的稳定性挑战逐渐凸显，这些问题直接威胁着公司核心业务的连续性与可靠性。</w:t>
      </w:r>
      <w:r>
        <w:rPr>
          <w:rFonts w:ascii="MS Gothic" w:eastAsia="MS Gothic" w:hAnsi="MS Gothic" w:cs="MS Gothic" w:hint="eastAsia"/>
        </w:rPr>
        <w:t>​</w:t>
      </w:r>
    </w:p>
    <w:p w14:paraId="0C8EB588" w14:textId="7245A349" w:rsidR="00BE572F" w:rsidRDefault="00BE572F" w:rsidP="00BE572F">
      <w:pPr>
        <w:rPr>
          <w:rFonts w:ascii="MS Gothic" w:hAnsi="MS Gothic" w:cs="MS Gothic" w:hint="eastAsia"/>
        </w:rPr>
      </w:pPr>
      <w:r>
        <w:rPr>
          <w:rFonts w:hint="eastAsia"/>
        </w:rPr>
        <w:t>为打破发展桎梏，确保航空维修业务全流程稳定运转，公司亟需实施战略性技术升级。本项目将围绕云基础设施重构展开，通过重新招标采购高速、安全的云专线，搭建全新公有云平台服务体系，并创新构建</w:t>
      </w:r>
      <w:r>
        <w:t>GPU云端资源池。借助这些举措，不仅能强化数据存储的安全性与高效性，大幅提升计算处理能力，还能打造更具韧性的容灾备份系统，全面满足公司在数字化时代对航空维修业务高效、稳定、智能的发展需求。</w:t>
      </w:r>
      <w:r>
        <w:rPr>
          <w:rFonts w:ascii="MS Gothic" w:eastAsia="MS Gothic" w:hAnsi="MS Gothic" w:cs="MS Gothic" w:hint="eastAsia"/>
        </w:rPr>
        <w:t>​</w:t>
      </w:r>
    </w:p>
    <w:p w14:paraId="28919981" w14:textId="1BE5B84C" w:rsidR="00BE572F" w:rsidRDefault="00BE572F" w:rsidP="00BE572F">
      <w:pPr>
        <w:pStyle w:val="4"/>
        <w:rPr>
          <w:rFonts w:hint="eastAsia"/>
        </w:rPr>
      </w:pPr>
      <w:r>
        <w:rPr>
          <w:rFonts w:hint="eastAsia"/>
        </w:rPr>
        <w:t>项目目标</w:t>
      </w:r>
    </w:p>
    <w:p w14:paraId="117005D1" w14:textId="3B79A441" w:rsidR="00BE572F" w:rsidRDefault="00BE572F" w:rsidP="00BE572F">
      <w:pPr>
        <w:ind w:firstLine="420"/>
        <w:rPr>
          <w:rFonts w:hint="eastAsia"/>
        </w:rPr>
      </w:pPr>
      <w:r>
        <w:rPr>
          <w:rFonts w:hint="eastAsia"/>
        </w:rPr>
        <w:t>本项目聚焦于为北京飞机维修工程有限公司（</w:t>
      </w:r>
      <w:r>
        <w:t>AMECO）打造坚如磐石的主容灾云与GPU资源池生态系统，以全方位满足航空维修业务数字化、智能化发展需求。</w:t>
      </w:r>
      <w:r>
        <w:rPr>
          <w:rFonts w:ascii="MS Gothic" w:eastAsia="MS Gothic" w:hAnsi="MS Gothic" w:cs="MS Gothic" w:hint="eastAsia"/>
        </w:rPr>
        <w:t>​</w:t>
      </w:r>
    </w:p>
    <w:p w14:paraId="119BEFBB" w14:textId="5F71916F" w:rsidR="00BE572F" w:rsidRDefault="00BE572F" w:rsidP="00BE572F">
      <w:pPr>
        <w:ind w:firstLine="420"/>
        <w:rPr>
          <w:rFonts w:hint="eastAsia"/>
        </w:rPr>
      </w:pPr>
      <w:r>
        <w:rPr>
          <w:rFonts w:hint="eastAsia"/>
        </w:rPr>
        <w:t>在资源供应上，构建官方直供的全品类公有云资源库，以固定折扣提供涵盖云主机、存储、网络的一站式服务。其中，云主机将化身</w:t>
      </w:r>
      <w:r>
        <w:t>“多面手”，无缝适配WindowsServer2016/2019、CentOS7.5等多种操作系统，存储方面配备60TB的对象存储OSS与2TiB文件存储NAS，为数据管理筑牢基础。</w:t>
      </w:r>
      <w:r w:rsidRPr="00BE572F">
        <w:rPr>
          <w:rFonts w:ascii="MS Gothic" w:eastAsia="MS Gothic" w:hAnsi="MS Gothic" w:cs="MS Gothic" w:hint="eastAsia"/>
        </w:rPr>
        <w:t>​</w:t>
      </w:r>
    </w:p>
    <w:p w14:paraId="26489361" w14:textId="518AA6D4" w:rsidR="00BE572F" w:rsidRDefault="00BE572F" w:rsidP="00BE572F">
      <w:pPr>
        <w:ind w:firstLine="420"/>
        <w:rPr>
          <w:rFonts w:hint="eastAsia"/>
        </w:rPr>
      </w:pPr>
      <w:r>
        <w:rPr>
          <w:rFonts w:hint="eastAsia"/>
        </w:rPr>
        <w:t>网络连接层面，在公有</w:t>
      </w:r>
      <w:r w:rsidR="00670AA8">
        <w:rPr>
          <w:rFonts w:hint="eastAsia"/>
        </w:rPr>
        <w:t>云</w:t>
      </w:r>
      <w:r>
        <w:rPr>
          <w:rFonts w:hint="eastAsia"/>
        </w:rPr>
        <w:t>与</w:t>
      </w:r>
      <w:r>
        <w:t>AMECO两大核心数据中心间，搭建如高速公路般高效稳定的主备双云专线。确保链路在可用性、延迟、丢包率等关键指标上表现卓越，同时提供灵活带宽配置，满足不同业务场景的网络需求。</w:t>
      </w:r>
      <w:r w:rsidRPr="00BE572F">
        <w:rPr>
          <w:rFonts w:ascii="MS Gothic" w:eastAsia="MS Gothic" w:hAnsi="MS Gothic" w:cs="MS Gothic" w:hint="eastAsia"/>
        </w:rPr>
        <w:t>​</w:t>
      </w:r>
    </w:p>
    <w:p w14:paraId="494ABDCA" w14:textId="1E555173" w:rsidR="00BE572F" w:rsidRDefault="00BE572F" w:rsidP="00BE572F">
      <w:pPr>
        <w:ind w:firstLine="420"/>
        <w:rPr>
          <w:rFonts w:hint="eastAsia"/>
        </w:rPr>
      </w:pPr>
      <w:r>
        <w:rPr>
          <w:rFonts w:hint="eastAsia"/>
        </w:rPr>
        <w:t>针对原</w:t>
      </w:r>
      <w:r>
        <w:t>AWS平台资源迁移，制定精密迁移计划，将120台GPU云主机及配套存储安全、高效地迁移至新平台，实现应用服务的“无感过渡”，维持高可用性与访问速度。</w:t>
      </w:r>
      <w:r w:rsidRPr="00BE572F">
        <w:rPr>
          <w:rFonts w:ascii="MS Gothic" w:eastAsia="MS Gothic" w:hAnsi="MS Gothic" w:cs="MS Gothic" w:hint="eastAsia"/>
        </w:rPr>
        <w:t>​</w:t>
      </w:r>
    </w:p>
    <w:p w14:paraId="535FC825" w14:textId="047A438E" w:rsidR="00BE572F" w:rsidRDefault="00BE572F" w:rsidP="00BE572F">
      <w:pPr>
        <w:ind w:firstLine="420"/>
        <w:rPr>
          <w:rFonts w:hint="eastAsia"/>
        </w:rPr>
      </w:pPr>
      <w:r>
        <w:rPr>
          <w:rFonts w:hint="eastAsia"/>
        </w:rPr>
        <w:t>数据容灾领域，借助先进的容灾系统，让本地</w:t>
      </w:r>
      <w:r>
        <w:t>Oracle19C数据库与</w:t>
      </w:r>
      <w:r w:rsidR="009D6E2A">
        <w:t>SAPHANA</w:t>
      </w:r>
      <w:r>
        <w:t>系统数据实时“对话”，建立起秒级灾备响应机制，保障业务永续运行。</w:t>
      </w:r>
      <w:r w:rsidRPr="00BE572F">
        <w:rPr>
          <w:rFonts w:ascii="MS Gothic" w:eastAsia="MS Gothic" w:hAnsi="MS Gothic" w:cs="MS Gothic" w:hint="eastAsia"/>
        </w:rPr>
        <w:t>​</w:t>
      </w:r>
    </w:p>
    <w:p w14:paraId="1C8E2483" w14:textId="2A39D228" w:rsidR="00BE572F" w:rsidRDefault="00BE572F" w:rsidP="00BE572F">
      <w:pPr>
        <w:ind w:firstLine="420"/>
        <w:rPr>
          <w:rFonts w:hint="eastAsia"/>
        </w:rPr>
      </w:pPr>
      <w:r>
        <w:t>GPU资源池建设上，在远离本地机房的可用区，打造集中化、高性能的GPU资源“能量站”，为AI训练、图形渲染等高负载任务提供澎湃动力。</w:t>
      </w:r>
      <w:r w:rsidRPr="00BE572F">
        <w:rPr>
          <w:rFonts w:ascii="MS Gothic" w:eastAsia="MS Gothic" w:hAnsi="MS Gothic" w:cs="MS Gothic" w:hint="eastAsia"/>
        </w:rPr>
        <w:t>​</w:t>
      </w:r>
    </w:p>
    <w:p w14:paraId="56DC0C3B" w14:textId="3BE47467" w:rsidR="00BE572F" w:rsidRDefault="00BE572F" w:rsidP="00BE572F">
      <w:pPr>
        <w:ind w:firstLine="420"/>
        <w:rPr>
          <w:rFonts w:hint="eastAsia"/>
        </w:rPr>
      </w:pPr>
      <w:r>
        <w:rPr>
          <w:rFonts w:hint="eastAsia"/>
        </w:rPr>
        <w:t>此外，配套</w:t>
      </w:r>
      <w:r>
        <w:t>7×24×4小时全天候免费维保服务，如同专业的“云医生”团队，10分钟极速响应、4小时工程师现场支援，全程护航项目平稳运行。通过精准把控时间节点，实现公有云账号快速交付、专线及时部署、资源高效迁移，确保项目按时高质量落地。</w:t>
      </w:r>
    </w:p>
    <w:p w14:paraId="64334212" w14:textId="00102BBC" w:rsidR="00BE572F" w:rsidRDefault="00BE572F" w:rsidP="00BE572F">
      <w:pPr>
        <w:pStyle w:val="4"/>
        <w:rPr>
          <w:rFonts w:hint="eastAsia"/>
        </w:rPr>
      </w:pPr>
      <w:r>
        <w:rPr>
          <w:rFonts w:hint="eastAsia"/>
        </w:rPr>
        <w:t>项目范围</w:t>
      </w:r>
    </w:p>
    <w:p w14:paraId="2C619AD4" w14:textId="77777777" w:rsidR="00BE572F" w:rsidRDefault="00BE572F" w:rsidP="00BE572F">
      <w:pPr>
        <w:ind w:firstLine="420"/>
        <w:rPr>
          <w:rFonts w:hint="eastAsia"/>
        </w:rPr>
      </w:pPr>
      <w:r>
        <w:rPr>
          <w:rFonts w:hint="eastAsia"/>
        </w:rPr>
        <w:t>本项目旨在为北京飞机维修工程有限公司（</w:t>
      </w:r>
      <w:r>
        <w:t>AMECO）提供全生命周期的云服务升级实施与保</w:t>
      </w:r>
      <w:r>
        <w:lastRenderedPageBreak/>
        <w:t>障，具体服务范围如下：</w:t>
      </w:r>
      <w:r>
        <w:rPr>
          <w:rFonts w:ascii="MS Gothic" w:eastAsia="MS Gothic" w:hAnsi="MS Gothic" w:cs="MS Gothic" w:hint="eastAsia"/>
        </w:rPr>
        <w:t>​</w:t>
      </w:r>
    </w:p>
    <w:p w14:paraId="377D80AC" w14:textId="37ED8E8A" w:rsidR="00BE572F" w:rsidRDefault="00BE572F" w:rsidP="00BE572F">
      <w:pPr>
        <w:pStyle w:val="5"/>
        <w:rPr>
          <w:rFonts w:hint="eastAsia"/>
        </w:rPr>
      </w:pPr>
      <w:r>
        <w:rPr>
          <w:rFonts w:hint="eastAsia"/>
        </w:rPr>
        <w:t>云专线部署服务</w:t>
      </w:r>
      <w:r>
        <w:rPr>
          <w:rFonts w:ascii="MS Gothic" w:eastAsia="MS Gothic" w:hAnsi="MS Gothic" w:cs="MS Gothic" w:hint="eastAsia"/>
        </w:rPr>
        <w:t>​</w:t>
      </w:r>
    </w:p>
    <w:p w14:paraId="64BE0F2A" w14:textId="69A57C41" w:rsidR="00BE572F" w:rsidRDefault="00BE572F" w:rsidP="00BE572F">
      <w:pPr>
        <w:ind w:firstLine="420"/>
        <w:rPr>
          <w:rFonts w:hint="eastAsia"/>
        </w:rPr>
      </w:pPr>
      <w:r>
        <w:rPr>
          <w:rFonts w:hint="eastAsia"/>
        </w:rPr>
        <w:t>投标人需完成从公有</w:t>
      </w:r>
      <w:r w:rsidR="00670AA8">
        <w:rPr>
          <w:rFonts w:hint="eastAsia"/>
        </w:rPr>
        <w:t>云</w:t>
      </w:r>
      <w:r>
        <w:rPr>
          <w:rFonts w:hint="eastAsia"/>
        </w:rPr>
        <w:t>至</w:t>
      </w:r>
      <w:r>
        <w:t>AMECO朝阳区NCS数据中心、顺义区</w:t>
      </w:r>
      <w:r w:rsidR="00152F2A">
        <w:t>A380</w:t>
      </w:r>
      <w:r>
        <w:t>数据中心的线缆铺设工作，并免费提供接入设备的安装调试服务，支持光纤、以太网等多类型接口。需建立链路实时监控管理系统，实现对网络状态的持续监测。云专线采用季度按实际使用带宽计费模式，针对带宽扩容或链路终止需求，须在10个工作日内完成响应处理。同时，投标人需承担7×24小时故障响应责任，30分钟内对故障进行响应；若链路不可用时间超过2.16小时，将依据合同约定，按季度费用的10%-30%进行阶梯式违约金扣除</w:t>
      </w:r>
      <w:r>
        <w:rPr>
          <w:rFonts w:hint="eastAsia"/>
        </w:rPr>
        <w:t>。</w:t>
      </w:r>
      <w:r>
        <w:rPr>
          <w:rFonts w:ascii="MS Gothic" w:eastAsia="MS Gothic" w:hAnsi="MS Gothic" w:cs="MS Gothic" w:hint="eastAsia"/>
        </w:rPr>
        <w:t>​</w:t>
      </w:r>
    </w:p>
    <w:p w14:paraId="6A589F70" w14:textId="6C2E3EDC" w:rsidR="00BE572F" w:rsidRDefault="00BE572F" w:rsidP="00BE572F">
      <w:pPr>
        <w:pStyle w:val="5"/>
        <w:rPr>
          <w:rFonts w:hint="eastAsia"/>
        </w:rPr>
      </w:pPr>
      <w:r>
        <w:rPr>
          <w:rFonts w:hint="eastAsia"/>
        </w:rPr>
        <w:t>云资源迁移服务</w:t>
      </w:r>
      <w:r>
        <w:rPr>
          <w:rFonts w:ascii="MS Gothic" w:eastAsia="MS Gothic" w:hAnsi="MS Gothic" w:cs="MS Gothic" w:hint="eastAsia"/>
        </w:rPr>
        <w:t>​</w:t>
      </w:r>
    </w:p>
    <w:p w14:paraId="64E97C14" w14:textId="291BBD1F" w:rsidR="00BE572F" w:rsidRDefault="00BE572F" w:rsidP="00BE572F">
      <w:pPr>
        <w:ind w:firstLine="420"/>
        <w:rPr>
          <w:rFonts w:hint="eastAsia"/>
        </w:rPr>
      </w:pPr>
      <w:r>
        <w:rPr>
          <w:rFonts w:hint="eastAsia"/>
        </w:rPr>
        <w:t>投标人需对原</w:t>
      </w:r>
      <w:r>
        <w:t>AWS平台资源开展全面调研，基于调研结果设计完整的云资源迁移方案。迁移工作采用分批次实施方式，优先迁移关键业务系统，并配备完善的回滚机制以应对突发情况。迁移完成后，需进行全量测试，并针对Windows、Linux系统分别出具迁移后的功能验证报告，确保云资源迁移工作的完整性与业务系统的可用性。</w:t>
      </w:r>
      <w:r>
        <w:rPr>
          <w:rFonts w:ascii="MS Gothic" w:eastAsia="MS Gothic" w:hAnsi="MS Gothic" w:cs="MS Gothic" w:hint="eastAsia"/>
        </w:rPr>
        <w:t>​</w:t>
      </w:r>
    </w:p>
    <w:p w14:paraId="6C49F6C9" w14:textId="2540F057" w:rsidR="00BE572F" w:rsidRDefault="00BE572F" w:rsidP="00BE572F">
      <w:pPr>
        <w:pStyle w:val="5"/>
        <w:rPr>
          <w:rFonts w:hint="eastAsia"/>
        </w:rPr>
      </w:pPr>
      <w:r>
        <w:rPr>
          <w:rFonts w:hint="eastAsia"/>
        </w:rPr>
        <w:t>混合云容灾服务</w:t>
      </w:r>
      <w:r>
        <w:rPr>
          <w:rFonts w:ascii="MS Gothic" w:eastAsia="MS Gothic" w:hAnsi="MS Gothic" w:cs="MS Gothic" w:hint="eastAsia"/>
        </w:rPr>
        <w:t>​</w:t>
      </w:r>
    </w:p>
    <w:p w14:paraId="6C8D6FF5" w14:textId="617E49D1" w:rsidR="00BE572F" w:rsidRDefault="00BE572F" w:rsidP="00BE572F">
      <w:pPr>
        <w:ind w:firstLine="420"/>
        <w:rPr>
          <w:rFonts w:hint="eastAsia"/>
        </w:rPr>
      </w:pPr>
      <w:r>
        <w:rPr>
          <w:rFonts w:hint="eastAsia"/>
        </w:rPr>
        <w:t>基于云信达架构或具备同等功能的技术方案，投标人需实现</w:t>
      </w:r>
      <w:r>
        <w:t>Oracle19C（RedHat8.9系统）与</w:t>
      </w:r>
      <w:r w:rsidR="009D6E2A">
        <w:t>SAPHANA</w:t>
      </w:r>
      <w:r>
        <w:t>（SUSE15SP6系统）的数据实时同步。每季度开展一次容灾演练，确保系统恢复时间目标（RTO）不超过2小时，恢复点目标（RPO）不超过15分钟，保障数据安全与业务连续性。</w:t>
      </w:r>
      <w:r>
        <w:rPr>
          <w:rFonts w:ascii="MS Gothic" w:eastAsia="MS Gothic" w:hAnsi="MS Gothic" w:cs="MS Gothic" w:hint="eastAsia"/>
        </w:rPr>
        <w:t>​</w:t>
      </w:r>
    </w:p>
    <w:p w14:paraId="090CFC6C" w14:textId="7A6E39EC" w:rsidR="00BE572F" w:rsidRDefault="00BE572F" w:rsidP="00BE572F">
      <w:pPr>
        <w:pStyle w:val="5"/>
        <w:rPr>
          <w:rFonts w:hint="eastAsia"/>
        </w:rPr>
      </w:pPr>
      <w:r>
        <w:t>GPU资源池搭建服务</w:t>
      </w:r>
      <w:r>
        <w:rPr>
          <w:rFonts w:ascii="MS Gothic" w:eastAsia="MS Gothic" w:hAnsi="MS Gothic" w:cs="MS Gothic" w:hint="eastAsia"/>
        </w:rPr>
        <w:t>​</w:t>
      </w:r>
    </w:p>
    <w:p w14:paraId="523C7CCC" w14:textId="099D3370" w:rsidR="00BE572F" w:rsidRDefault="00BE572F" w:rsidP="00BE572F">
      <w:pPr>
        <w:ind w:firstLine="420"/>
        <w:rPr>
          <w:rFonts w:hint="eastAsia"/>
        </w:rPr>
      </w:pPr>
      <w:r>
        <w:rPr>
          <w:rFonts w:hint="eastAsia"/>
        </w:rPr>
        <w:t>投标人需严格按照规格</w:t>
      </w:r>
      <w:r w:rsidR="006C6F6D" w:rsidRPr="006C6F6D">
        <w:rPr>
          <w:rFonts w:hint="eastAsia"/>
          <w:b/>
        </w:rPr>
        <w:t>招标文件要求</w:t>
      </w:r>
      <w:r>
        <w:rPr>
          <w:rFonts w:hint="eastAsia"/>
        </w:rPr>
        <w:t>，完成</w:t>
      </w:r>
      <w:r>
        <w:t>120台GPU云主机的配置工作，涵盖不同硬件组合（如8核61GB内存+V100显卡、128核512GB内存+H20显卡等）。同时，负责完成GPU驱动安装及算力调度系统部署，并通过72小时稳定性测试，确保GPU资源池满足高性能计算需求。</w:t>
      </w:r>
      <w:r>
        <w:rPr>
          <w:rFonts w:ascii="MS Gothic" w:eastAsia="MS Gothic" w:hAnsi="MS Gothic" w:cs="MS Gothic" w:hint="eastAsia"/>
        </w:rPr>
        <w:t>​</w:t>
      </w:r>
    </w:p>
    <w:p w14:paraId="758C7579" w14:textId="0DE84DB1" w:rsidR="00BE572F" w:rsidRDefault="00BE572F" w:rsidP="00BE572F">
      <w:pPr>
        <w:pStyle w:val="5"/>
        <w:rPr>
          <w:rFonts w:hint="eastAsia"/>
        </w:rPr>
      </w:pPr>
      <w:r>
        <w:rPr>
          <w:rFonts w:hint="eastAsia"/>
        </w:rPr>
        <w:t>配套服务</w:t>
      </w:r>
      <w:r>
        <w:rPr>
          <w:rFonts w:ascii="MS Gothic" w:eastAsia="MS Gothic" w:hAnsi="MS Gothic" w:cs="MS Gothic" w:hint="eastAsia"/>
        </w:rPr>
        <w:t>​</w:t>
      </w:r>
    </w:p>
    <w:p w14:paraId="28839B38" w14:textId="53437D41" w:rsidR="00BE572F" w:rsidRDefault="00BE572F" w:rsidP="00BE572F">
      <w:pPr>
        <w:pStyle w:val="a3"/>
        <w:numPr>
          <w:ilvl w:val="0"/>
          <w:numId w:val="2"/>
        </w:numPr>
        <w:ind w:firstLineChars="0"/>
        <w:rPr>
          <w:rFonts w:hint="eastAsia"/>
        </w:rPr>
      </w:pPr>
      <w:r>
        <w:rPr>
          <w:rFonts w:hint="eastAsia"/>
        </w:rPr>
        <w:t>培训服务：为</w:t>
      </w:r>
      <w:r>
        <w:t>AMECO提供2天现场培训，培训人数不超过6人，培训内容包括公有云操作、容灾系统运维、GPU资源管理等。</w:t>
      </w:r>
      <w:r w:rsidRPr="00BE572F">
        <w:rPr>
          <w:rFonts w:ascii="MS Gothic" w:eastAsia="MS Gothic" w:hAnsi="MS Gothic" w:cs="MS Gothic" w:hint="eastAsia"/>
        </w:rPr>
        <w:t>​</w:t>
      </w:r>
    </w:p>
    <w:p w14:paraId="5BE67B59" w14:textId="650933BA" w:rsidR="00BE572F" w:rsidRDefault="00BE572F" w:rsidP="00BE572F">
      <w:pPr>
        <w:pStyle w:val="a3"/>
        <w:numPr>
          <w:ilvl w:val="0"/>
          <w:numId w:val="2"/>
        </w:numPr>
        <w:ind w:firstLineChars="0"/>
        <w:rPr>
          <w:rFonts w:hint="eastAsia"/>
        </w:rPr>
      </w:pPr>
      <w:r>
        <w:rPr>
          <w:rFonts w:hint="eastAsia"/>
        </w:rPr>
        <w:t>文档交付：项目实施过程中及完成后，需向</w:t>
      </w:r>
      <w:r>
        <w:t>AMECO交付设计方案、配置文档、验收报告等9类文件，包含管理员手册、用户手册等，为后续运维管理提供支撑。</w:t>
      </w:r>
      <w:r w:rsidRPr="00BE572F">
        <w:rPr>
          <w:rFonts w:ascii="MS Gothic" w:eastAsia="MS Gothic" w:hAnsi="MS Gothic" w:cs="MS Gothic" w:hint="eastAsia"/>
        </w:rPr>
        <w:t>​</w:t>
      </w:r>
    </w:p>
    <w:p w14:paraId="2886BD25" w14:textId="0F316CD0" w:rsidR="00BE572F" w:rsidRDefault="00BE572F" w:rsidP="00BE572F">
      <w:pPr>
        <w:pStyle w:val="a3"/>
        <w:numPr>
          <w:ilvl w:val="0"/>
          <w:numId w:val="2"/>
        </w:numPr>
        <w:ind w:firstLineChars="0"/>
        <w:rPr>
          <w:rFonts w:hint="eastAsia"/>
        </w:rPr>
      </w:pPr>
      <w:r>
        <w:rPr>
          <w:rFonts w:hint="eastAsia"/>
        </w:rPr>
        <w:t>售后维保：合同期内，提供免费售后维保服务，所有实施服务须由投标人或公有云原厂工程师执行，保障项目服务质量与技术支持的专业性。</w:t>
      </w:r>
    </w:p>
    <w:p w14:paraId="76283389" w14:textId="7F9FB022" w:rsidR="00993831" w:rsidRDefault="00993831" w:rsidP="00993831">
      <w:pPr>
        <w:rPr>
          <w:rFonts w:hint="eastAsia"/>
        </w:rPr>
      </w:pPr>
    </w:p>
    <w:p w14:paraId="4DCF6E8A" w14:textId="0B253DBA" w:rsidR="00993831" w:rsidRDefault="00993831" w:rsidP="00993831">
      <w:pPr>
        <w:pStyle w:val="4"/>
        <w:spacing w:line="360" w:lineRule="auto"/>
        <w:rPr>
          <w:rFonts w:ascii="黑体" w:eastAsia="黑体" w:hAnsi="黑体" w:hint="eastAsia"/>
        </w:rPr>
      </w:pPr>
      <w:bookmarkStart w:id="4" w:name="_Toc472024703"/>
      <w:r>
        <w:rPr>
          <w:rFonts w:ascii="黑体" w:eastAsia="黑体" w:hAnsi="黑体" w:hint="eastAsia"/>
          <w:b w:val="0"/>
          <w:bCs w:val="0"/>
        </w:rPr>
        <w:lastRenderedPageBreak/>
        <w:t>项目组织管理</w:t>
      </w:r>
      <w:bookmarkEnd w:id="4"/>
    </w:p>
    <w:p w14:paraId="29D08684" w14:textId="2D1248F4" w:rsidR="00993831" w:rsidRPr="00993831" w:rsidRDefault="00993831" w:rsidP="00993831">
      <w:pPr>
        <w:ind w:firstLine="420"/>
        <w:rPr>
          <w:rFonts w:hint="eastAsia"/>
        </w:rPr>
      </w:pPr>
      <w:r>
        <w:rPr>
          <w:rFonts w:hint="eastAsia"/>
        </w:rPr>
        <w:t>我公司的管控措施综合了软件工程过程管理、</w:t>
      </w:r>
      <w:r>
        <w:t>RUP</w:t>
      </w:r>
      <w:r>
        <w:rPr>
          <w:rFonts w:hint="eastAsia"/>
        </w:rPr>
        <w:t>开发过程管理、敏捷开发过程管理、</w:t>
      </w:r>
      <w:r>
        <w:t>PMI</w:t>
      </w:r>
      <w:r>
        <w:rPr>
          <w:rFonts w:hint="eastAsia"/>
        </w:rPr>
        <w:t>项目管理方法论、绩效管理咨询方法论，以及基于我公司多个云应用平台进行定制化开发软件的项目实践经验。该方法论具有如下特点：</w:t>
      </w:r>
    </w:p>
    <w:p w14:paraId="3FC53C63" w14:textId="31857F13" w:rsidR="00993831" w:rsidRPr="00993831" w:rsidRDefault="00993831" w:rsidP="00993831">
      <w:pPr>
        <w:ind w:firstLine="420"/>
        <w:rPr>
          <w:rFonts w:hint="eastAsia"/>
        </w:rPr>
      </w:pPr>
      <w:r>
        <w:rPr>
          <w:rFonts w:hint="eastAsia"/>
        </w:rPr>
        <w:t>需求导向、深挖需求：采用管理咨询方法中最成熟的“访谈</w:t>
      </w:r>
      <w:r>
        <w:t>-</w:t>
      </w:r>
      <w:r>
        <w:rPr>
          <w:rFonts w:hint="eastAsia"/>
        </w:rPr>
        <w:t>调研</w:t>
      </w:r>
      <w:r>
        <w:t>-</w:t>
      </w:r>
      <w:r>
        <w:rPr>
          <w:rFonts w:hint="eastAsia"/>
        </w:rPr>
        <w:t>分析</w:t>
      </w:r>
      <w:r>
        <w:t>-</w:t>
      </w:r>
      <w:r>
        <w:rPr>
          <w:rFonts w:hint="eastAsia"/>
        </w:rPr>
        <w:t>验证”四步法，以联通沃云平台项目相关的核心业务流程为中心，通过对高层、中层、基层三类关键用户代表的全面访谈、调研、分析、验证，获得客户全部业务需求（核心需求、一般需求、外围需求），并通过“我公司</w:t>
      </w:r>
      <w:r>
        <w:t>-</w:t>
      </w:r>
      <w:r>
        <w:rPr>
          <w:rFonts w:hint="eastAsia"/>
        </w:rPr>
        <w:t>软件快速开发方法论”，将此业务需求转换为高度可视化和完全结构化描述的软件功能需求和非功能需求的规格文件。</w:t>
      </w:r>
    </w:p>
    <w:p w14:paraId="0CAA71EB" w14:textId="7CFA774A" w:rsidR="00993831" w:rsidRPr="00993831" w:rsidRDefault="00993831" w:rsidP="00993831">
      <w:pPr>
        <w:ind w:firstLine="420"/>
        <w:rPr>
          <w:rFonts w:hint="eastAsia"/>
        </w:rPr>
      </w:pPr>
      <w:r>
        <w:rPr>
          <w:rFonts w:hint="eastAsia"/>
        </w:rPr>
        <w:t>模型驱动、定制软件：</w:t>
      </w:r>
      <w:bookmarkStart w:id="5" w:name="OLE_LINK52"/>
      <w:r>
        <w:rPr>
          <w:rFonts w:hint="eastAsia"/>
        </w:rPr>
        <w:t>我公司</w:t>
      </w:r>
      <w:bookmarkEnd w:id="5"/>
      <w:r>
        <w:rPr>
          <w:rFonts w:hint="eastAsia"/>
        </w:rPr>
        <w:t>以联通沃云平台项目为核心，通过配套的开发、建模方法论和工具，指导需求人员和建模人员最终完成该平台项目管理模型的需求分析，并建立完善管理的软件模型，以此基本获得客户业务</w:t>
      </w:r>
      <w:r w:rsidR="006C6F6D" w:rsidRPr="006C6F6D">
        <w:rPr>
          <w:rFonts w:hint="eastAsia"/>
          <w:b/>
        </w:rPr>
        <w:t>招标文件要求</w:t>
      </w:r>
      <w:r>
        <w:rPr>
          <w:rFonts w:hint="eastAsia"/>
        </w:rPr>
        <w:t>的管理信息系统平台，从而可以极大地缩短管理软件系统的开放周期。</w:t>
      </w:r>
    </w:p>
    <w:p w14:paraId="01E0F095" w14:textId="74613CC3" w:rsidR="00993831" w:rsidRDefault="00993831" w:rsidP="00993831">
      <w:pPr>
        <w:ind w:firstLine="420"/>
        <w:rPr>
          <w:rFonts w:hint="eastAsia"/>
        </w:rPr>
      </w:pPr>
      <w:r>
        <w:rPr>
          <w:rFonts w:hint="eastAsia"/>
        </w:rPr>
        <w:t>迭代开发、持续构建：我公司依据客户的业务需要，除了基于管理模型定制软件功能外，可能还需要在平台上基于标准规范进行个性化开发。此部分的开发工作，完全遵循快速软件开发方法论，其特点就是迭代开发、持续构建，可基本实现每日持续自动构建，从而使得系统的并行开发程度极大提升，为缩短项目建设的总体周期打下了坚实基础。</w:t>
      </w:r>
    </w:p>
    <w:p w14:paraId="2D7A3E0D" w14:textId="587AF639" w:rsidR="00993831" w:rsidRDefault="00993831" w:rsidP="00993831">
      <w:pPr>
        <w:ind w:firstLine="420"/>
        <w:rPr>
          <w:rFonts w:hint="eastAsia"/>
        </w:rPr>
      </w:pPr>
      <w:r>
        <w:rPr>
          <w:rFonts w:hint="eastAsia"/>
        </w:rPr>
        <w:t>多轮测试、优质保障：任何软件产品，不论功能多寡，</w:t>
      </w:r>
      <w:r w:rsidR="006C6F6D" w:rsidRPr="006C6F6D">
        <w:rPr>
          <w:rFonts w:hint="eastAsia"/>
          <w:b/>
        </w:rPr>
        <w:t>招标文件要求</w:t>
      </w:r>
      <w:r>
        <w:rPr>
          <w:rFonts w:hint="eastAsia"/>
        </w:rPr>
        <w:t>其质量必须有保证，否则该软件就难以具有持续生命力，早晚被淘汰。因此，为了提升软件产品的质量，我公司设立了“多轮测试”的软件质量保证体系，所有软件产品或者升级变更，都必须严格遵守“多轮测试”的质量控制规范。其测试包括单元测试、功能测试、集成测试、性能测试、压力测试、准生产环境测试等。</w:t>
      </w:r>
    </w:p>
    <w:p w14:paraId="45AB3BDC" w14:textId="77777777" w:rsidR="00993831" w:rsidRDefault="00993831" w:rsidP="00993831">
      <w:pPr>
        <w:spacing w:line="360" w:lineRule="auto"/>
        <w:rPr>
          <w:rFonts w:hint="eastAsia"/>
        </w:rPr>
      </w:pPr>
    </w:p>
    <w:p w14:paraId="55244E2C" w14:textId="6E6A9FCD" w:rsidR="00993831" w:rsidRDefault="00993831" w:rsidP="00993831">
      <w:pPr>
        <w:pStyle w:val="5"/>
        <w:spacing w:line="360" w:lineRule="auto"/>
        <w:rPr>
          <w:rFonts w:ascii="黑体" w:eastAsia="黑体" w:hAnsi="黑体" w:hint="eastAsia"/>
          <w:sz w:val="30"/>
          <w:szCs w:val="30"/>
        </w:rPr>
      </w:pPr>
      <w:bookmarkStart w:id="6" w:name="_Toc472024704"/>
      <w:r>
        <w:rPr>
          <w:rFonts w:ascii="黑体" w:eastAsia="黑体" w:hAnsi="黑体" w:hint="eastAsia"/>
          <w:b w:val="0"/>
          <w:bCs w:val="0"/>
          <w:sz w:val="30"/>
          <w:szCs w:val="30"/>
        </w:rPr>
        <w:t>人员组织管理</w:t>
      </w:r>
      <w:bookmarkEnd w:id="6"/>
    </w:p>
    <w:p w14:paraId="6CD7D35C" w14:textId="6A105935" w:rsidR="00993831" w:rsidRPr="00993831" w:rsidRDefault="00993831" w:rsidP="00993831">
      <w:pPr>
        <w:ind w:firstLine="420"/>
        <w:rPr>
          <w:rFonts w:hint="eastAsia"/>
        </w:rPr>
      </w:pPr>
      <w:r>
        <w:rPr>
          <w:rFonts w:hint="eastAsia"/>
        </w:rPr>
        <w:t>人员组织架构的建立能够确保在项目中各个人员的权限、职责、责任、报告和沟通方式，它明确了项目成员和管理人员的职责以及在项目中他们被</w:t>
      </w:r>
      <w:r w:rsidR="006C6F6D" w:rsidRPr="006C6F6D">
        <w:rPr>
          <w:rFonts w:hint="eastAsia"/>
          <w:b/>
        </w:rPr>
        <w:t>招标文件要求</w:t>
      </w:r>
      <w:r>
        <w:rPr>
          <w:rFonts w:hint="eastAsia"/>
        </w:rPr>
        <w:t>做的和必须做的工作。该项目我方将成立项目建设协调小组，全程参与实施开展，该</w:t>
      </w:r>
      <w:bookmarkStart w:id="7" w:name="OLE_LINK29"/>
      <w:bookmarkStart w:id="8" w:name="OLE_LINK30"/>
      <w:r>
        <w:rPr>
          <w:rFonts w:hint="eastAsia"/>
        </w:rPr>
        <w:t>项目的组织架构</w:t>
      </w:r>
      <w:bookmarkEnd w:id="7"/>
      <w:bookmarkEnd w:id="8"/>
      <w:r>
        <w:rPr>
          <w:rFonts w:hint="eastAsia"/>
        </w:rPr>
        <w:t>如下：</w:t>
      </w:r>
    </w:p>
    <w:p w14:paraId="2ED46769" w14:textId="77777777" w:rsidR="00993831" w:rsidRDefault="00993831" w:rsidP="00993831">
      <w:pPr>
        <w:spacing w:after="156" w:line="360" w:lineRule="auto"/>
        <w:ind w:firstLineChars="200" w:firstLine="420"/>
        <w:jc w:val="center"/>
        <w:textAlignment w:val="baseline"/>
        <w:rPr>
          <w:rFonts w:ascii="宋体" w:hAnsi="宋体" w:hint="eastAsia"/>
        </w:rPr>
      </w:pPr>
      <w:r>
        <w:rPr>
          <w:rFonts w:ascii="宋体" w:eastAsia="宋体" w:hAnsi="宋体" w:cs="Times New Roman" w:hint="eastAsia"/>
        </w:rPr>
        <w:object w:dxaOrig="9375" w:dyaOrig="5460" w14:anchorId="6A72B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273pt" o:ole="">
            <v:imagedata r:id="rId11" o:title=""/>
          </v:shape>
          <o:OLEObject Type="Embed" ProgID="Visio.Drawing.11" ShapeID="_x0000_i1025" DrawAspect="Content" ObjectID="_1813082548" r:id="rId12"/>
        </w:object>
      </w:r>
    </w:p>
    <w:p w14:paraId="258FEBB5" w14:textId="51650B7C" w:rsidR="00993831" w:rsidRDefault="00993831" w:rsidP="00993831">
      <w:pPr>
        <w:spacing w:after="156" w:line="360" w:lineRule="auto"/>
        <w:ind w:firstLineChars="200" w:firstLine="420"/>
        <w:jc w:val="center"/>
        <w:textAlignment w:val="baseline"/>
        <w:rPr>
          <w:rFonts w:ascii="宋体" w:hAnsi="宋体" w:hint="eastAsia"/>
        </w:rPr>
      </w:pPr>
      <w:r>
        <w:rPr>
          <w:rFonts w:ascii="宋体" w:hAnsi="宋体" w:hint="eastAsia"/>
        </w:rPr>
        <w:t>图</w:t>
      </w:r>
      <w:r>
        <w:rPr>
          <w:rFonts w:ascii="宋体" w:hAnsi="宋体" w:hint="eastAsia"/>
        </w:rPr>
        <w:t>4.4.1</w:t>
      </w:r>
      <w:r>
        <w:rPr>
          <w:rFonts w:ascii="宋体" w:hAnsi="宋体" w:hint="eastAsia"/>
          <w:sz w:val="24"/>
          <w:szCs w:val="28"/>
        </w:rPr>
        <w:t>项目的组织架构</w:t>
      </w:r>
    </w:p>
    <w:p w14:paraId="1D5239F3" w14:textId="77777777" w:rsidR="00993831" w:rsidRPr="00993831" w:rsidRDefault="00993831" w:rsidP="00993831">
      <w:pPr>
        <w:ind w:firstLine="420"/>
        <w:rPr>
          <w:rFonts w:hint="eastAsia"/>
        </w:rPr>
      </w:pPr>
      <w:r w:rsidRPr="00993831">
        <w:rPr>
          <w:rFonts w:hint="eastAsia"/>
        </w:rPr>
        <w:t>各个小组职责如下：</w:t>
      </w:r>
    </w:p>
    <w:p w14:paraId="7685E5C8" w14:textId="77777777" w:rsidR="00993831" w:rsidRPr="00993831" w:rsidRDefault="00993831">
      <w:pPr>
        <w:pStyle w:val="a3"/>
        <w:numPr>
          <w:ilvl w:val="0"/>
          <w:numId w:val="3"/>
        </w:numPr>
        <w:ind w:firstLineChars="0"/>
        <w:rPr>
          <w:rFonts w:hint="eastAsia"/>
          <w:b/>
          <w:bCs/>
        </w:rPr>
      </w:pPr>
      <w:r w:rsidRPr="00993831">
        <w:rPr>
          <w:rFonts w:hint="eastAsia"/>
          <w:b/>
          <w:bCs/>
        </w:rPr>
        <w:t>项目领导</w:t>
      </w:r>
    </w:p>
    <w:p w14:paraId="09CD26F1" w14:textId="77777777" w:rsidR="00993831" w:rsidRPr="00993831" w:rsidRDefault="00993831" w:rsidP="00993831">
      <w:pPr>
        <w:ind w:firstLine="420"/>
        <w:rPr>
          <w:rFonts w:hint="eastAsia"/>
        </w:rPr>
      </w:pPr>
      <w:r>
        <w:rPr>
          <w:rFonts w:hint="eastAsia"/>
        </w:rPr>
        <w:t>本项目实施领导小组负责制，领导小组由建设单位和我方组成。领导小组对项目实施提供全面的指导，一方面，领导小组可以协调各方关系，调动各方力量；另一方面，领导小组对项目实施过程中出现的问题及时提供咨询以帮助解决，对所有实施步骤进行严格的审定，从技术上保证系统的先进性、实用性、可靠性和可扩展性，从组织和管理上保证整个项目统一规划，统一管理，统一标准。</w:t>
      </w:r>
    </w:p>
    <w:p w14:paraId="1E5B93A4" w14:textId="77777777" w:rsidR="00993831" w:rsidRPr="00993831" w:rsidRDefault="00993831">
      <w:pPr>
        <w:pStyle w:val="a3"/>
        <w:numPr>
          <w:ilvl w:val="0"/>
          <w:numId w:val="3"/>
        </w:numPr>
        <w:ind w:firstLineChars="0"/>
        <w:rPr>
          <w:rFonts w:hint="eastAsia"/>
          <w:b/>
          <w:bCs/>
        </w:rPr>
      </w:pPr>
      <w:r w:rsidRPr="00993831">
        <w:rPr>
          <w:rFonts w:hint="eastAsia"/>
          <w:b/>
          <w:bCs/>
        </w:rPr>
        <w:t>项目经理</w:t>
      </w:r>
    </w:p>
    <w:p w14:paraId="3A3BB4DF" w14:textId="77777777" w:rsidR="00993831" w:rsidRPr="00993831" w:rsidRDefault="00993831" w:rsidP="00993831">
      <w:pPr>
        <w:ind w:firstLine="420"/>
        <w:rPr>
          <w:rFonts w:hint="eastAsia"/>
        </w:rPr>
      </w:pPr>
      <w:r>
        <w:rPr>
          <w:rFonts w:hint="eastAsia"/>
        </w:rPr>
        <w:t>本项目中项目经理是整个项目组织中的核心角色，负责整个项目的实施。</w:t>
      </w:r>
    </w:p>
    <w:p w14:paraId="1F96B4FE" w14:textId="77777777" w:rsidR="00993831" w:rsidRDefault="00993831" w:rsidP="00993831">
      <w:pPr>
        <w:ind w:firstLine="420"/>
        <w:rPr>
          <w:rFonts w:hint="eastAsia"/>
        </w:rPr>
      </w:pPr>
      <w:r>
        <w:rPr>
          <w:rFonts w:hint="eastAsia"/>
        </w:rPr>
        <w:t>项目经理将负责所有的管理工作，以及其它相关的工作，如交付物、财务、合约等。他对系统开发服务将承担最终的职责。项目经理将参与日常的系统实施管理，监控项目的进度，与系统架构师、应用开发组经理和系统基础结构经理一起工作以确保系统的开发可以跟踪和控制。项目经理负责向建设单位项目领导汇报系统的开发进度和开发相关的问题。此外，无论何时，项目经理都将得到项目领导小组在技术和处理实施问题上的强力支持。</w:t>
      </w:r>
    </w:p>
    <w:p w14:paraId="73AA2FEA" w14:textId="77777777" w:rsidR="00993831" w:rsidRPr="00993831" w:rsidRDefault="00993831">
      <w:pPr>
        <w:pStyle w:val="a3"/>
        <w:numPr>
          <w:ilvl w:val="0"/>
          <w:numId w:val="3"/>
        </w:numPr>
        <w:ind w:firstLineChars="0"/>
        <w:rPr>
          <w:rFonts w:hint="eastAsia"/>
          <w:b/>
          <w:bCs/>
        </w:rPr>
      </w:pPr>
      <w:r w:rsidRPr="00993831">
        <w:rPr>
          <w:rFonts w:hint="eastAsia"/>
          <w:b/>
          <w:bCs/>
        </w:rPr>
        <w:t>系统架构组</w:t>
      </w:r>
    </w:p>
    <w:p w14:paraId="62FD1453" w14:textId="4C9ABB9B" w:rsidR="00993831" w:rsidRPr="00993831" w:rsidRDefault="00993831" w:rsidP="00993831">
      <w:pPr>
        <w:ind w:firstLine="420"/>
        <w:rPr>
          <w:rFonts w:hint="eastAsia"/>
        </w:rPr>
      </w:pPr>
      <w:r>
        <w:rPr>
          <w:rFonts w:hint="eastAsia"/>
        </w:rPr>
        <w:t>其任务是系统架构的分析设计，包括提供便于小组间技术交流的架构，达到系统的质量</w:t>
      </w:r>
      <w:r w:rsidR="006C6F6D" w:rsidRPr="006C6F6D">
        <w:rPr>
          <w:rFonts w:hint="eastAsia"/>
          <w:b/>
        </w:rPr>
        <w:t>招标文件要求</w:t>
      </w:r>
      <w:r>
        <w:rPr>
          <w:rFonts w:hint="eastAsia"/>
        </w:rPr>
        <w:t>，从而实现应用。系统架构组由一组具有专业技术水平的员工组成。</w:t>
      </w:r>
    </w:p>
    <w:p w14:paraId="220198C8" w14:textId="77777777" w:rsidR="00993831" w:rsidRPr="00993831" w:rsidRDefault="00993831">
      <w:pPr>
        <w:pStyle w:val="a3"/>
        <w:numPr>
          <w:ilvl w:val="0"/>
          <w:numId w:val="3"/>
        </w:numPr>
        <w:ind w:firstLineChars="0"/>
        <w:rPr>
          <w:rFonts w:hint="eastAsia"/>
          <w:b/>
          <w:bCs/>
        </w:rPr>
      </w:pPr>
      <w:r w:rsidRPr="00993831">
        <w:rPr>
          <w:rFonts w:hint="eastAsia"/>
          <w:b/>
          <w:bCs/>
        </w:rPr>
        <w:t>需求分析组</w:t>
      </w:r>
    </w:p>
    <w:p w14:paraId="324F0853" w14:textId="77777777" w:rsidR="00993831" w:rsidRPr="00993831" w:rsidRDefault="00993831" w:rsidP="00993831">
      <w:pPr>
        <w:ind w:firstLine="420"/>
        <w:rPr>
          <w:rFonts w:hint="eastAsia"/>
        </w:rPr>
      </w:pPr>
      <w:r>
        <w:rPr>
          <w:rFonts w:hint="eastAsia"/>
        </w:rPr>
        <w:t>需求分析组负责搜集需求和实现对现有业务系统的分析。</w:t>
      </w:r>
    </w:p>
    <w:p w14:paraId="1CFF1F90" w14:textId="77777777" w:rsidR="00993831" w:rsidRPr="00993831" w:rsidRDefault="00993831" w:rsidP="00993831">
      <w:pPr>
        <w:ind w:firstLine="420"/>
        <w:rPr>
          <w:rFonts w:hint="eastAsia"/>
        </w:rPr>
      </w:pPr>
      <w:r w:rsidRPr="00993831">
        <w:rPr>
          <w:rFonts w:hint="eastAsia"/>
        </w:rPr>
        <w:t>职责范围：</w:t>
      </w:r>
    </w:p>
    <w:p w14:paraId="026A8EC3" w14:textId="77777777" w:rsidR="00993831" w:rsidRPr="00993831" w:rsidRDefault="00993831">
      <w:pPr>
        <w:pStyle w:val="a3"/>
        <w:numPr>
          <w:ilvl w:val="0"/>
          <w:numId w:val="4"/>
        </w:numPr>
        <w:ind w:firstLineChars="0"/>
        <w:rPr>
          <w:rFonts w:hint="eastAsia"/>
        </w:rPr>
      </w:pPr>
      <w:r w:rsidRPr="00993831">
        <w:rPr>
          <w:rFonts w:hint="eastAsia"/>
        </w:rPr>
        <w:t>需求分析</w:t>
      </w:r>
    </w:p>
    <w:p w14:paraId="4CF39233" w14:textId="77777777" w:rsidR="00993831" w:rsidRPr="00993831" w:rsidRDefault="00993831">
      <w:pPr>
        <w:pStyle w:val="a3"/>
        <w:numPr>
          <w:ilvl w:val="0"/>
          <w:numId w:val="4"/>
        </w:numPr>
        <w:ind w:firstLineChars="0"/>
        <w:rPr>
          <w:rFonts w:hint="eastAsia"/>
        </w:rPr>
      </w:pPr>
      <w:r w:rsidRPr="00993831">
        <w:rPr>
          <w:rFonts w:hint="eastAsia"/>
        </w:rPr>
        <w:t>软件组件设计</w:t>
      </w:r>
    </w:p>
    <w:p w14:paraId="373C93AF" w14:textId="77777777" w:rsidR="00993831" w:rsidRPr="00993831" w:rsidRDefault="00993831">
      <w:pPr>
        <w:pStyle w:val="a3"/>
        <w:numPr>
          <w:ilvl w:val="0"/>
          <w:numId w:val="4"/>
        </w:numPr>
        <w:ind w:firstLineChars="0"/>
        <w:rPr>
          <w:rFonts w:hint="eastAsia"/>
        </w:rPr>
      </w:pPr>
      <w:r w:rsidRPr="00993831">
        <w:rPr>
          <w:rFonts w:hint="eastAsia"/>
        </w:rPr>
        <w:t>详细数据分析</w:t>
      </w:r>
    </w:p>
    <w:p w14:paraId="29FA734C" w14:textId="77777777" w:rsidR="00993831" w:rsidRPr="00993831" w:rsidRDefault="00993831">
      <w:pPr>
        <w:pStyle w:val="a3"/>
        <w:numPr>
          <w:ilvl w:val="0"/>
          <w:numId w:val="4"/>
        </w:numPr>
        <w:ind w:firstLineChars="0"/>
        <w:rPr>
          <w:rFonts w:hint="eastAsia"/>
        </w:rPr>
      </w:pPr>
      <w:r w:rsidRPr="00993831">
        <w:rPr>
          <w:rFonts w:hint="eastAsia"/>
        </w:rPr>
        <w:lastRenderedPageBreak/>
        <w:t>软件构造</w:t>
      </w:r>
    </w:p>
    <w:p w14:paraId="0825F278" w14:textId="77777777" w:rsidR="00993831" w:rsidRPr="00993831" w:rsidRDefault="00993831">
      <w:pPr>
        <w:pStyle w:val="a3"/>
        <w:numPr>
          <w:ilvl w:val="0"/>
          <w:numId w:val="4"/>
        </w:numPr>
        <w:ind w:firstLineChars="0"/>
        <w:rPr>
          <w:rFonts w:hint="eastAsia"/>
        </w:rPr>
      </w:pPr>
      <w:r w:rsidRPr="00993831">
        <w:rPr>
          <w:rFonts w:hint="eastAsia"/>
        </w:rPr>
        <w:t>软件组件测试</w:t>
      </w:r>
    </w:p>
    <w:p w14:paraId="32D3A07D" w14:textId="77777777" w:rsidR="00993831" w:rsidRPr="00993831" w:rsidRDefault="00993831">
      <w:pPr>
        <w:pStyle w:val="a3"/>
        <w:numPr>
          <w:ilvl w:val="0"/>
          <w:numId w:val="4"/>
        </w:numPr>
        <w:ind w:firstLineChars="0"/>
        <w:rPr>
          <w:rFonts w:hint="eastAsia"/>
        </w:rPr>
      </w:pPr>
      <w:r w:rsidRPr="00993831">
        <w:rPr>
          <w:rFonts w:hint="eastAsia"/>
        </w:rPr>
        <w:t>文档管理</w:t>
      </w:r>
    </w:p>
    <w:p w14:paraId="7BC0AC68" w14:textId="77777777" w:rsidR="00993831" w:rsidRPr="00993831" w:rsidRDefault="00993831">
      <w:pPr>
        <w:pStyle w:val="a3"/>
        <w:numPr>
          <w:ilvl w:val="0"/>
          <w:numId w:val="4"/>
        </w:numPr>
        <w:ind w:firstLineChars="0"/>
        <w:rPr>
          <w:rFonts w:hint="eastAsia"/>
        </w:rPr>
      </w:pPr>
      <w:r w:rsidRPr="00993831">
        <w:rPr>
          <w:rFonts w:hint="eastAsia"/>
        </w:rPr>
        <w:t>应用开发组</w:t>
      </w:r>
    </w:p>
    <w:p w14:paraId="29A2F92F" w14:textId="77777777" w:rsidR="00993831" w:rsidRPr="00993831" w:rsidRDefault="00993831" w:rsidP="00993831">
      <w:pPr>
        <w:ind w:firstLine="420"/>
        <w:rPr>
          <w:rFonts w:hint="eastAsia"/>
        </w:rPr>
      </w:pPr>
      <w:r>
        <w:rPr>
          <w:rFonts w:hint="eastAsia"/>
        </w:rPr>
        <w:t>负责整个项目的软件开发和维护活动，其中，系统设计完成整体架构设计，系统概要设计，代码审核；软件开发负责软件编码实现。</w:t>
      </w:r>
    </w:p>
    <w:p w14:paraId="6C3E4D06" w14:textId="77777777" w:rsidR="00993831" w:rsidRPr="00993831" w:rsidRDefault="00993831">
      <w:pPr>
        <w:pStyle w:val="a3"/>
        <w:numPr>
          <w:ilvl w:val="0"/>
          <w:numId w:val="3"/>
        </w:numPr>
        <w:ind w:firstLineChars="0"/>
        <w:rPr>
          <w:rFonts w:hint="eastAsia"/>
          <w:b/>
          <w:bCs/>
        </w:rPr>
      </w:pPr>
      <w:r w:rsidRPr="00993831">
        <w:rPr>
          <w:rFonts w:hint="eastAsia"/>
          <w:b/>
          <w:bCs/>
        </w:rPr>
        <w:t>系统测试组</w:t>
      </w:r>
    </w:p>
    <w:p w14:paraId="2D1DCDED" w14:textId="38FF36FC" w:rsidR="00993831" w:rsidRPr="00993831" w:rsidRDefault="00993831" w:rsidP="00993831">
      <w:pPr>
        <w:ind w:firstLine="420"/>
        <w:rPr>
          <w:rFonts w:hint="eastAsia"/>
        </w:rPr>
      </w:pPr>
      <w:r>
        <w:rPr>
          <w:rFonts w:hint="eastAsia"/>
        </w:rPr>
        <w:t>该组是一些负责策划和完成独立的软件系统测试的个人，测试的目的是为了确定软件产品是否满足对它的</w:t>
      </w:r>
      <w:r w:rsidR="006C6F6D" w:rsidRPr="006C6F6D">
        <w:rPr>
          <w:rFonts w:hint="eastAsia"/>
          <w:b/>
        </w:rPr>
        <w:t>招标文件要求</w:t>
      </w:r>
      <w:r>
        <w:rPr>
          <w:rFonts w:hint="eastAsia"/>
        </w:rPr>
        <w:t>。</w:t>
      </w:r>
    </w:p>
    <w:p w14:paraId="6B71C28E" w14:textId="77777777" w:rsidR="00993831" w:rsidRPr="00993831" w:rsidRDefault="00993831">
      <w:pPr>
        <w:pStyle w:val="a3"/>
        <w:numPr>
          <w:ilvl w:val="0"/>
          <w:numId w:val="3"/>
        </w:numPr>
        <w:ind w:firstLineChars="0"/>
        <w:rPr>
          <w:rFonts w:hint="eastAsia"/>
          <w:b/>
          <w:bCs/>
        </w:rPr>
      </w:pPr>
      <w:r w:rsidRPr="00993831">
        <w:rPr>
          <w:rFonts w:hint="eastAsia"/>
          <w:b/>
          <w:bCs/>
        </w:rPr>
        <w:t>质量保证组</w:t>
      </w:r>
    </w:p>
    <w:p w14:paraId="0641AA0A" w14:textId="5137D5CF" w:rsidR="00993831" w:rsidRPr="00993831" w:rsidRDefault="00993831" w:rsidP="00993831">
      <w:pPr>
        <w:ind w:firstLine="420"/>
        <w:rPr>
          <w:rFonts w:hint="eastAsia"/>
        </w:rPr>
      </w:pPr>
      <w:r>
        <w:rPr>
          <w:rFonts w:hint="eastAsia"/>
        </w:rPr>
        <w:t>质量保证组负责执行产品质量保证控制流程和标准，他们应保证向客户提交的技术，程序质量完全符合客户的</w:t>
      </w:r>
      <w:r w:rsidR="006C6F6D" w:rsidRPr="006C6F6D">
        <w:rPr>
          <w:rFonts w:hint="eastAsia"/>
          <w:b/>
        </w:rPr>
        <w:t>招标文件要求</w:t>
      </w:r>
      <w:r>
        <w:rPr>
          <w:rFonts w:hint="eastAsia"/>
        </w:rPr>
        <w:t>。质量保证组同时作为独立的团体陈述与客户</w:t>
      </w:r>
      <w:r w:rsidR="006C6F6D" w:rsidRPr="006C6F6D">
        <w:rPr>
          <w:rFonts w:hint="eastAsia"/>
          <w:b/>
        </w:rPr>
        <w:t>招标文件要求</w:t>
      </w:r>
      <w:r>
        <w:rPr>
          <w:rFonts w:hint="eastAsia"/>
        </w:rPr>
        <w:t>不符的质量缺陷。</w:t>
      </w:r>
    </w:p>
    <w:p w14:paraId="2024FD34" w14:textId="77777777" w:rsidR="00993831" w:rsidRPr="00993831" w:rsidRDefault="00993831">
      <w:pPr>
        <w:pStyle w:val="a3"/>
        <w:numPr>
          <w:ilvl w:val="0"/>
          <w:numId w:val="3"/>
        </w:numPr>
        <w:ind w:firstLineChars="0"/>
        <w:rPr>
          <w:rFonts w:hint="eastAsia"/>
          <w:b/>
          <w:bCs/>
        </w:rPr>
      </w:pPr>
      <w:r w:rsidRPr="00993831">
        <w:rPr>
          <w:rFonts w:hint="eastAsia"/>
          <w:b/>
          <w:bCs/>
        </w:rPr>
        <w:t>系统实施组</w:t>
      </w:r>
    </w:p>
    <w:p w14:paraId="461276E0" w14:textId="5926D70E" w:rsidR="00993831" w:rsidRPr="00993831" w:rsidRDefault="00993831" w:rsidP="00993831">
      <w:pPr>
        <w:ind w:firstLine="420"/>
        <w:rPr>
          <w:rFonts w:hint="eastAsia"/>
        </w:rPr>
      </w:pPr>
      <w:r>
        <w:rPr>
          <w:rFonts w:hint="eastAsia"/>
        </w:rPr>
        <w:t>系统实施组，主要负责系统的安装、调试及配置，以及上云迁移，并提供相关技术支持。</w:t>
      </w:r>
    </w:p>
    <w:p w14:paraId="4D67580D" w14:textId="77777777" w:rsidR="00993831" w:rsidRPr="00993831" w:rsidRDefault="00993831">
      <w:pPr>
        <w:pStyle w:val="a3"/>
        <w:numPr>
          <w:ilvl w:val="0"/>
          <w:numId w:val="3"/>
        </w:numPr>
        <w:ind w:firstLineChars="0"/>
        <w:rPr>
          <w:rFonts w:hint="eastAsia"/>
          <w:b/>
          <w:bCs/>
        </w:rPr>
      </w:pPr>
      <w:r w:rsidRPr="00993831">
        <w:rPr>
          <w:rFonts w:hint="eastAsia"/>
          <w:b/>
          <w:bCs/>
        </w:rPr>
        <w:t>售后服务组</w:t>
      </w:r>
    </w:p>
    <w:p w14:paraId="10A9BB0D" w14:textId="77777777" w:rsidR="00993831" w:rsidRPr="00993831" w:rsidRDefault="00993831" w:rsidP="00993831">
      <w:pPr>
        <w:ind w:firstLine="420"/>
        <w:rPr>
          <w:rFonts w:hint="eastAsia"/>
        </w:rPr>
      </w:pPr>
      <w:r>
        <w:rPr>
          <w:rFonts w:hint="eastAsia"/>
        </w:rPr>
        <w:t>负责系统经过验收后的维护工作，包括在服务期内的维护和服务期外的维护，这部分人员将在合同规定的免费服务期限之内，为用户免费提供各种技术服务，包括在现场数据服务、软件更新、版本升级与技术培训，对于发现的软件自身功能问题，提供支持、及时给予圆满解决；超过免费维护期，也将根据合同规定提供相应技术服务。</w:t>
      </w:r>
    </w:p>
    <w:p w14:paraId="5A798A68" w14:textId="77777777" w:rsidR="00993831" w:rsidRPr="00993831" w:rsidRDefault="00993831" w:rsidP="00993831">
      <w:pPr>
        <w:ind w:firstLine="420"/>
        <w:rPr>
          <w:rFonts w:hint="eastAsia"/>
        </w:rPr>
        <w:sectPr w:rsidR="00993831" w:rsidRPr="00993831">
          <w:pgSz w:w="11906" w:h="16838"/>
          <w:pgMar w:top="1440" w:right="1558" w:bottom="1440" w:left="1560" w:header="851" w:footer="992" w:gutter="0"/>
          <w:cols w:space="720"/>
          <w:docGrid w:type="linesAndChars" w:linePitch="312"/>
        </w:sectPr>
      </w:pPr>
    </w:p>
    <w:p w14:paraId="03BFA9D3" w14:textId="77777777" w:rsidR="00993831" w:rsidRDefault="00993831" w:rsidP="00993831">
      <w:pPr>
        <w:spacing w:line="360" w:lineRule="auto"/>
        <w:rPr>
          <w:rFonts w:hint="eastAsia"/>
        </w:rPr>
      </w:pPr>
    </w:p>
    <w:p w14:paraId="6AE2C8A9" w14:textId="211F550D" w:rsidR="00993831" w:rsidRDefault="00993831" w:rsidP="00993831">
      <w:pPr>
        <w:pStyle w:val="5"/>
        <w:spacing w:line="360" w:lineRule="auto"/>
        <w:rPr>
          <w:rFonts w:ascii="黑体" w:eastAsia="黑体" w:hAnsi="黑体" w:hint="eastAsia"/>
          <w:sz w:val="30"/>
          <w:szCs w:val="30"/>
        </w:rPr>
      </w:pPr>
      <w:bookmarkStart w:id="9" w:name="_Toc472024705"/>
      <w:r>
        <w:rPr>
          <w:rFonts w:ascii="黑体" w:eastAsia="黑体" w:hAnsi="黑体" w:hint="eastAsia"/>
          <w:b w:val="0"/>
          <w:bCs w:val="0"/>
          <w:sz w:val="30"/>
          <w:szCs w:val="30"/>
        </w:rPr>
        <w:t>项目汇报格式</w:t>
      </w:r>
      <w:bookmarkEnd w:id="9"/>
    </w:p>
    <w:p w14:paraId="1938E067" w14:textId="77777777" w:rsidR="00993831" w:rsidRPr="00993831" w:rsidRDefault="00993831" w:rsidP="00993831">
      <w:pPr>
        <w:ind w:firstLine="420"/>
        <w:rPr>
          <w:rFonts w:hint="eastAsia"/>
        </w:rPr>
      </w:pPr>
      <w:r>
        <w:rPr>
          <w:rFonts w:hint="eastAsia"/>
        </w:rPr>
        <w:t>结合既往开发建设项目案例给出适合本项目需求的周报、月报格式文件，未来将在项目进行过程中，进行周报和月报的汇报，详细文件格式如下：</w:t>
      </w:r>
    </w:p>
    <w:tbl>
      <w:tblPr>
        <w:tblW w:w="5000" w:type="pct"/>
        <w:tblLook w:val="04A0" w:firstRow="1" w:lastRow="0" w:firstColumn="1" w:lastColumn="0" w:noHBand="0" w:noVBand="1"/>
      </w:tblPr>
      <w:tblGrid>
        <w:gridCol w:w="2196"/>
        <w:gridCol w:w="7443"/>
      </w:tblGrid>
      <w:tr w:rsidR="00993831" w14:paraId="0BA0E6B2" w14:textId="77777777" w:rsidTr="00993831">
        <w:trPr>
          <w:trHeight w:val="435"/>
        </w:trPr>
        <w:tc>
          <w:tcPr>
            <w:tcW w:w="5000" w:type="pct"/>
            <w:gridSpan w:val="2"/>
            <w:tcBorders>
              <w:top w:val="nil"/>
              <w:left w:val="nil"/>
              <w:bottom w:val="single" w:sz="8" w:space="0" w:color="auto"/>
              <w:right w:val="nil"/>
            </w:tcBorders>
            <w:noWrap/>
            <w:vAlign w:val="center"/>
            <w:hideMark/>
          </w:tcPr>
          <w:p w14:paraId="36057D33" w14:textId="77777777" w:rsidR="00993831" w:rsidRDefault="00993831" w:rsidP="00993831">
            <w:pPr>
              <w:spacing w:after="120" w:line="360" w:lineRule="auto"/>
              <w:jc w:val="center"/>
              <w:rPr>
                <w:rFonts w:hint="eastAsia"/>
                <w:b/>
                <w:bCs/>
                <w:color w:val="000000"/>
                <w:sz w:val="24"/>
              </w:rPr>
            </w:pPr>
            <w:r>
              <w:rPr>
                <w:rFonts w:hint="eastAsia"/>
                <w:b/>
                <w:bCs/>
                <w:color w:val="000000"/>
                <w:sz w:val="24"/>
              </w:rPr>
              <w:t>工作周</w:t>
            </w:r>
            <w:r>
              <w:rPr>
                <w:b/>
                <w:bCs/>
                <w:color w:val="000000"/>
                <w:sz w:val="24"/>
              </w:rPr>
              <w:t>/</w:t>
            </w:r>
            <w:r>
              <w:rPr>
                <w:rFonts w:hint="eastAsia"/>
                <w:b/>
                <w:bCs/>
                <w:color w:val="000000"/>
                <w:sz w:val="24"/>
              </w:rPr>
              <w:t>月报填写说明</w:t>
            </w:r>
          </w:p>
        </w:tc>
      </w:tr>
      <w:tr w:rsidR="00993831" w:rsidRPr="00993831" w14:paraId="41DE5E9D" w14:textId="77777777" w:rsidTr="00993831">
        <w:trPr>
          <w:trHeight w:val="560"/>
        </w:trPr>
        <w:tc>
          <w:tcPr>
            <w:tcW w:w="1078" w:type="pct"/>
            <w:tcBorders>
              <w:top w:val="nil"/>
              <w:left w:val="single" w:sz="8" w:space="0" w:color="auto"/>
              <w:bottom w:val="single" w:sz="4" w:space="0" w:color="auto"/>
              <w:right w:val="single" w:sz="4" w:space="0" w:color="auto"/>
            </w:tcBorders>
            <w:noWrap/>
            <w:vAlign w:val="center"/>
            <w:hideMark/>
          </w:tcPr>
          <w:p w14:paraId="36BEF3FC" w14:textId="77777777" w:rsidR="00993831" w:rsidRPr="00993831" w:rsidRDefault="00993831" w:rsidP="00993831">
            <w:pPr>
              <w:spacing w:after="120" w:line="360" w:lineRule="auto"/>
              <w:rPr>
                <w:rFonts w:hint="eastAsia"/>
                <w:b/>
                <w:bCs/>
                <w:color w:val="000000"/>
                <w:sz w:val="22"/>
                <w:szCs w:val="21"/>
              </w:rPr>
            </w:pPr>
            <w:r w:rsidRPr="00993831">
              <w:rPr>
                <w:rFonts w:hint="eastAsia"/>
                <w:b/>
                <w:bCs/>
                <w:color w:val="000000"/>
                <w:sz w:val="22"/>
                <w:szCs w:val="21"/>
              </w:rPr>
              <w:t>发送周期：</w:t>
            </w:r>
          </w:p>
        </w:tc>
        <w:tc>
          <w:tcPr>
            <w:tcW w:w="3922" w:type="pct"/>
            <w:tcBorders>
              <w:top w:val="nil"/>
              <w:left w:val="nil"/>
              <w:bottom w:val="single" w:sz="4" w:space="0" w:color="auto"/>
              <w:right w:val="single" w:sz="8" w:space="0" w:color="auto"/>
            </w:tcBorders>
            <w:vAlign w:val="center"/>
            <w:hideMark/>
          </w:tcPr>
          <w:p w14:paraId="56A2E2A9" w14:textId="77777777" w:rsidR="00993831" w:rsidRPr="00993831" w:rsidRDefault="00993831" w:rsidP="00993831">
            <w:pPr>
              <w:spacing w:after="120" w:line="360" w:lineRule="auto"/>
              <w:rPr>
                <w:rFonts w:hint="eastAsia"/>
                <w:color w:val="000000"/>
                <w:sz w:val="22"/>
                <w:szCs w:val="21"/>
              </w:rPr>
            </w:pPr>
            <w:r w:rsidRPr="00993831">
              <w:rPr>
                <w:rFonts w:hint="eastAsia"/>
                <w:color w:val="000000"/>
                <w:sz w:val="22"/>
                <w:szCs w:val="21"/>
              </w:rPr>
              <w:t>周报：每周四下班前发送</w:t>
            </w:r>
            <w:r w:rsidRPr="00993831">
              <w:rPr>
                <w:color w:val="000000"/>
                <w:sz w:val="22"/>
                <w:szCs w:val="21"/>
              </w:rPr>
              <w:br/>
            </w:r>
            <w:r w:rsidRPr="00993831">
              <w:rPr>
                <w:rFonts w:hint="eastAsia"/>
                <w:color w:val="000000"/>
                <w:sz w:val="22"/>
                <w:szCs w:val="21"/>
              </w:rPr>
              <w:t>月报：每月</w:t>
            </w:r>
            <w:r w:rsidRPr="00993831">
              <w:rPr>
                <w:color w:val="000000"/>
                <w:sz w:val="22"/>
                <w:szCs w:val="21"/>
              </w:rPr>
              <w:t>28</w:t>
            </w:r>
            <w:r w:rsidRPr="00993831">
              <w:rPr>
                <w:rFonts w:hint="eastAsia"/>
                <w:color w:val="000000"/>
                <w:sz w:val="22"/>
                <w:szCs w:val="21"/>
              </w:rPr>
              <w:t>日填写</w:t>
            </w:r>
          </w:p>
        </w:tc>
      </w:tr>
      <w:tr w:rsidR="00993831" w:rsidRPr="00993831" w14:paraId="52A13F09" w14:textId="77777777" w:rsidTr="00993831">
        <w:trPr>
          <w:trHeight w:val="280"/>
        </w:trPr>
        <w:tc>
          <w:tcPr>
            <w:tcW w:w="1078" w:type="pct"/>
            <w:tcBorders>
              <w:top w:val="nil"/>
              <w:left w:val="single" w:sz="8" w:space="0" w:color="auto"/>
              <w:bottom w:val="single" w:sz="4" w:space="0" w:color="auto"/>
              <w:right w:val="single" w:sz="4" w:space="0" w:color="auto"/>
            </w:tcBorders>
            <w:noWrap/>
            <w:vAlign w:val="center"/>
            <w:hideMark/>
          </w:tcPr>
          <w:p w14:paraId="0AE0721F" w14:textId="77777777" w:rsidR="00993831" w:rsidRPr="00993831" w:rsidRDefault="00993831" w:rsidP="00993831">
            <w:pPr>
              <w:spacing w:after="120" w:line="360" w:lineRule="auto"/>
              <w:rPr>
                <w:rFonts w:hint="eastAsia"/>
                <w:b/>
                <w:bCs/>
                <w:color w:val="000000"/>
                <w:sz w:val="22"/>
                <w:szCs w:val="21"/>
              </w:rPr>
            </w:pPr>
            <w:r w:rsidRPr="00993831">
              <w:rPr>
                <w:rFonts w:hint="eastAsia"/>
                <w:b/>
                <w:bCs/>
                <w:color w:val="000000"/>
                <w:sz w:val="22"/>
                <w:szCs w:val="21"/>
              </w:rPr>
              <w:t>发送范围：</w:t>
            </w:r>
          </w:p>
        </w:tc>
        <w:tc>
          <w:tcPr>
            <w:tcW w:w="3922" w:type="pct"/>
            <w:tcBorders>
              <w:top w:val="nil"/>
              <w:left w:val="nil"/>
              <w:bottom w:val="single" w:sz="4" w:space="0" w:color="auto"/>
              <w:right w:val="single" w:sz="8" w:space="0" w:color="auto"/>
            </w:tcBorders>
            <w:vAlign w:val="center"/>
            <w:hideMark/>
          </w:tcPr>
          <w:p w14:paraId="5F86D4DE" w14:textId="77777777" w:rsidR="00993831" w:rsidRPr="00993831" w:rsidRDefault="00993831" w:rsidP="00993831">
            <w:pPr>
              <w:spacing w:after="120" w:line="360" w:lineRule="auto"/>
              <w:rPr>
                <w:rFonts w:hint="eastAsia"/>
                <w:color w:val="000000"/>
                <w:sz w:val="22"/>
                <w:szCs w:val="21"/>
              </w:rPr>
            </w:pPr>
            <w:r w:rsidRPr="00993831">
              <w:rPr>
                <w:rFonts w:hint="eastAsia"/>
                <w:color w:val="000000"/>
                <w:sz w:val="22"/>
                <w:szCs w:val="21"/>
              </w:rPr>
              <w:t>项目经理及项目相关人员</w:t>
            </w:r>
          </w:p>
        </w:tc>
      </w:tr>
      <w:tr w:rsidR="00993831" w:rsidRPr="00993831" w14:paraId="07DEED4D" w14:textId="77777777" w:rsidTr="00993831">
        <w:trPr>
          <w:trHeight w:val="280"/>
        </w:trPr>
        <w:tc>
          <w:tcPr>
            <w:tcW w:w="1078" w:type="pct"/>
            <w:tcBorders>
              <w:top w:val="nil"/>
              <w:left w:val="single" w:sz="8" w:space="0" w:color="auto"/>
              <w:bottom w:val="single" w:sz="4" w:space="0" w:color="auto"/>
              <w:right w:val="single" w:sz="4" w:space="0" w:color="auto"/>
            </w:tcBorders>
            <w:noWrap/>
            <w:vAlign w:val="center"/>
            <w:hideMark/>
          </w:tcPr>
          <w:p w14:paraId="0EFC15D0" w14:textId="77777777" w:rsidR="00993831" w:rsidRPr="00993831" w:rsidRDefault="00993831" w:rsidP="00993831">
            <w:pPr>
              <w:spacing w:after="120" w:line="360" w:lineRule="auto"/>
              <w:rPr>
                <w:rFonts w:hint="eastAsia"/>
                <w:b/>
                <w:bCs/>
                <w:color w:val="000000"/>
                <w:sz w:val="22"/>
                <w:szCs w:val="21"/>
              </w:rPr>
            </w:pPr>
            <w:r w:rsidRPr="00993831">
              <w:rPr>
                <w:rFonts w:hint="eastAsia"/>
                <w:b/>
                <w:bCs/>
                <w:color w:val="000000"/>
                <w:sz w:val="22"/>
                <w:szCs w:val="21"/>
              </w:rPr>
              <w:t>周报名称：</w:t>
            </w:r>
          </w:p>
        </w:tc>
        <w:tc>
          <w:tcPr>
            <w:tcW w:w="3922" w:type="pct"/>
            <w:tcBorders>
              <w:top w:val="nil"/>
              <w:left w:val="nil"/>
              <w:bottom w:val="single" w:sz="4" w:space="0" w:color="auto"/>
              <w:right w:val="single" w:sz="8" w:space="0" w:color="auto"/>
            </w:tcBorders>
            <w:noWrap/>
            <w:vAlign w:val="center"/>
            <w:hideMark/>
          </w:tcPr>
          <w:p w14:paraId="77DD825C" w14:textId="77777777" w:rsidR="00993831" w:rsidRPr="00993831" w:rsidRDefault="00993831" w:rsidP="00993831">
            <w:pPr>
              <w:spacing w:after="120" w:line="360" w:lineRule="auto"/>
              <w:rPr>
                <w:rFonts w:hint="eastAsia"/>
                <w:color w:val="000000"/>
                <w:sz w:val="22"/>
                <w:szCs w:val="21"/>
              </w:rPr>
            </w:pPr>
            <w:r w:rsidRPr="00993831">
              <w:rPr>
                <w:rFonts w:hint="eastAsia"/>
                <w:color w:val="000000"/>
                <w:sz w:val="22"/>
                <w:szCs w:val="21"/>
              </w:rPr>
              <w:t>《工作报告</w:t>
            </w:r>
            <w:r w:rsidRPr="00993831">
              <w:rPr>
                <w:color w:val="000000"/>
                <w:sz w:val="22"/>
                <w:szCs w:val="21"/>
              </w:rPr>
              <w:t>_</w:t>
            </w:r>
            <w:proofErr w:type="spellStart"/>
            <w:r w:rsidRPr="00993831">
              <w:rPr>
                <w:color w:val="000000"/>
                <w:sz w:val="22"/>
                <w:szCs w:val="21"/>
              </w:rPr>
              <w:t>yyyymmdd</w:t>
            </w:r>
            <w:proofErr w:type="spellEnd"/>
            <w:r w:rsidRPr="00993831">
              <w:rPr>
                <w:rFonts w:hint="eastAsia"/>
                <w:color w:val="000000"/>
                <w:sz w:val="22"/>
                <w:szCs w:val="21"/>
              </w:rPr>
              <w:t>》</w:t>
            </w:r>
          </w:p>
        </w:tc>
      </w:tr>
      <w:tr w:rsidR="00993831" w:rsidRPr="00993831" w14:paraId="4CAE5B31" w14:textId="77777777" w:rsidTr="00993831">
        <w:trPr>
          <w:trHeight w:val="1120"/>
        </w:trPr>
        <w:tc>
          <w:tcPr>
            <w:tcW w:w="1078" w:type="pct"/>
            <w:tcBorders>
              <w:top w:val="nil"/>
              <w:left w:val="single" w:sz="8" w:space="0" w:color="auto"/>
              <w:bottom w:val="single" w:sz="4" w:space="0" w:color="auto"/>
              <w:right w:val="single" w:sz="4" w:space="0" w:color="auto"/>
            </w:tcBorders>
            <w:noWrap/>
            <w:vAlign w:val="center"/>
            <w:hideMark/>
          </w:tcPr>
          <w:p w14:paraId="0E42496A" w14:textId="77777777" w:rsidR="00993831" w:rsidRPr="00993831" w:rsidRDefault="00993831" w:rsidP="00993831">
            <w:pPr>
              <w:spacing w:after="120" w:line="360" w:lineRule="auto"/>
              <w:rPr>
                <w:rFonts w:hint="eastAsia"/>
                <w:b/>
                <w:bCs/>
                <w:color w:val="000000"/>
                <w:sz w:val="22"/>
                <w:szCs w:val="21"/>
              </w:rPr>
            </w:pPr>
            <w:r w:rsidRPr="00993831">
              <w:rPr>
                <w:rFonts w:hint="eastAsia"/>
                <w:b/>
                <w:bCs/>
                <w:color w:val="000000"/>
                <w:sz w:val="22"/>
                <w:szCs w:val="21"/>
              </w:rPr>
              <w:t>内容介绍：</w:t>
            </w:r>
          </w:p>
        </w:tc>
        <w:tc>
          <w:tcPr>
            <w:tcW w:w="3922" w:type="pct"/>
            <w:tcBorders>
              <w:top w:val="nil"/>
              <w:left w:val="nil"/>
              <w:bottom w:val="single" w:sz="4" w:space="0" w:color="auto"/>
              <w:right w:val="single" w:sz="8" w:space="0" w:color="auto"/>
            </w:tcBorders>
            <w:vAlign w:val="center"/>
            <w:hideMark/>
          </w:tcPr>
          <w:p w14:paraId="200721F4" w14:textId="77777777" w:rsidR="00993831" w:rsidRPr="00993831" w:rsidRDefault="00993831" w:rsidP="00993831">
            <w:pPr>
              <w:spacing w:after="120" w:line="360" w:lineRule="auto"/>
              <w:rPr>
                <w:rFonts w:hint="eastAsia"/>
                <w:color w:val="000000"/>
                <w:sz w:val="22"/>
                <w:szCs w:val="21"/>
              </w:rPr>
            </w:pPr>
            <w:r w:rsidRPr="00993831">
              <w:rPr>
                <w:rFonts w:hint="eastAsia"/>
                <w:color w:val="000000"/>
                <w:sz w:val="22"/>
                <w:szCs w:val="21"/>
              </w:rPr>
              <w:t>工作周报包括</w:t>
            </w:r>
            <w:r w:rsidRPr="00993831">
              <w:rPr>
                <w:color w:val="000000"/>
                <w:sz w:val="22"/>
                <w:szCs w:val="21"/>
              </w:rPr>
              <w:t>3</w:t>
            </w:r>
            <w:r w:rsidRPr="00993831">
              <w:rPr>
                <w:rFonts w:hint="eastAsia"/>
                <w:color w:val="000000"/>
                <w:sz w:val="22"/>
                <w:szCs w:val="21"/>
              </w:rPr>
              <w:t>部分内容：</w:t>
            </w:r>
            <w:r w:rsidRPr="00993831">
              <w:rPr>
                <w:color w:val="000000"/>
                <w:sz w:val="22"/>
                <w:szCs w:val="21"/>
              </w:rPr>
              <w:br/>
              <w:t>1</w:t>
            </w:r>
            <w:r w:rsidRPr="00993831">
              <w:rPr>
                <w:rFonts w:hint="eastAsia"/>
                <w:color w:val="000000"/>
                <w:sz w:val="22"/>
                <w:szCs w:val="21"/>
              </w:rPr>
              <w:t>、本周工作内容及完成情况、归属的项目；</w:t>
            </w:r>
            <w:r w:rsidRPr="00993831">
              <w:rPr>
                <w:color w:val="000000"/>
                <w:sz w:val="22"/>
                <w:szCs w:val="21"/>
              </w:rPr>
              <w:br/>
              <w:t>2</w:t>
            </w:r>
            <w:r w:rsidRPr="00993831">
              <w:rPr>
                <w:rFonts w:hint="eastAsia"/>
                <w:color w:val="000000"/>
                <w:sz w:val="22"/>
                <w:szCs w:val="21"/>
              </w:rPr>
              <w:t>、下周工作计划及预期达成的目标；</w:t>
            </w:r>
            <w:r w:rsidRPr="00993831">
              <w:rPr>
                <w:color w:val="000000"/>
                <w:sz w:val="22"/>
                <w:szCs w:val="21"/>
              </w:rPr>
              <w:br/>
              <w:t>3</w:t>
            </w:r>
            <w:r w:rsidRPr="00993831">
              <w:rPr>
                <w:rFonts w:hint="eastAsia"/>
                <w:color w:val="000000"/>
                <w:sz w:val="22"/>
                <w:szCs w:val="21"/>
              </w:rPr>
              <w:t>、本周问题列表。</w:t>
            </w:r>
          </w:p>
        </w:tc>
      </w:tr>
      <w:tr w:rsidR="00993831" w:rsidRPr="00993831" w14:paraId="07EAF7C1" w14:textId="77777777" w:rsidTr="00993831">
        <w:trPr>
          <w:trHeight w:val="840"/>
        </w:trPr>
        <w:tc>
          <w:tcPr>
            <w:tcW w:w="1078" w:type="pct"/>
            <w:vMerge w:val="restart"/>
            <w:tcBorders>
              <w:top w:val="nil"/>
              <w:left w:val="single" w:sz="8" w:space="0" w:color="auto"/>
              <w:bottom w:val="single" w:sz="8" w:space="0" w:color="000000"/>
              <w:right w:val="single" w:sz="4" w:space="0" w:color="auto"/>
            </w:tcBorders>
            <w:noWrap/>
            <w:vAlign w:val="center"/>
            <w:hideMark/>
          </w:tcPr>
          <w:p w14:paraId="57ED4090" w14:textId="64693A3A" w:rsidR="00993831" w:rsidRPr="00993831" w:rsidRDefault="00993831" w:rsidP="00993831">
            <w:pPr>
              <w:spacing w:after="120" w:line="360" w:lineRule="auto"/>
              <w:jc w:val="center"/>
              <w:rPr>
                <w:rFonts w:hint="eastAsia"/>
                <w:b/>
                <w:bCs/>
                <w:color w:val="000000"/>
                <w:sz w:val="22"/>
                <w:szCs w:val="21"/>
              </w:rPr>
            </w:pPr>
            <w:r w:rsidRPr="00993831">
              <w:rPr>
                <w:rFonts w:hint="eastAsia"/>
                <w:b/>
                <w:bCs/>
                <w:color w:val="000000"/>
                <w:sz w:val="22"/>
                <w:szCs w:val="21"/>
              </w:rPr>
              <w:t>内容</w:t>
            </w:r>
            <w:r w:rsidR="006C6F6D" w:rsidRPr="006C6F6D">
              <w:rPr>
                <w:rFonts w:hint="eastAsia"/>
                <w:b/>
                <w:bCs/>
                <w:color w:val="000000"/>
                <w:sz w:val="22"/>
                <w:szCs w:val="21"/>
              </w:rPr>
              <w:t>招标文件要求</w:t>
            </w:r>
            <w:r w:rsidRPr="00993831">
              <w:rPr>
                <w:rFonts w:hint="eastAsia"/>
                <w:b/>
                <w:bCs/>
                <w:color w:val="000000"/>
                <w:sz w:val="22"/>
                <w:szCs w:val="21"/>
              </w:rPr>
              <w:t>：</w:t>
            </w:r>
          </w:p>
        </w:tc>
        <w:tc>
          <w:tcPr>
            <w:tcW w:w="3922" w:type="pct"/>
            <w:tcBorders>
              <w:top w:val="nil"/>
              <w:left w:val="nil"/>
              <w:bottom w:val="single" w:sz="4" w:space="0" w:color="auto"/>
              <w:right w:val="single" w:sz="8" w:space="0" w:color="auto"/>
            </w:tcBorders>
            <w:vAlign w:val="center"/>
            <w:hideMark/>
          </w:tcPr>
          <w:p w14:paraId="43D2C561" w14:textId="50848DDE" w:rsidR="00993831" w:rsidRPr="00993831" w:rsidRDefault="00993831" w:rsidP="00993831">
            <w:pPr>
              <w:spacing w:after="120" w:line="360" w:lineRule="auto"/>
              <w:rPr>
                <w:rFonts w:hint="eastAsia"/>
                <w:color w:val="000000"/>
                <w:sz w:val="22"/>
                <w:szCs w:val="21"/>
              </w:rPr>
            </w:pPr>
            <w:r w:rsidRPr="00993831">
              <w:rPr>
                <w:color w:val="000000"/>
                <w:sz w:val="22"/>
                <w:szCs w:val="21"/>
              </w:rPr>
              <w:t>1</w:t>
            </w:r>
            <w:r w:rsidRPr="00993831">
              <w:rPr>
                <w:rFonts w:hint="eastAsia"/>
                <w:color w:val="000000"/>
                <w:sz w:val="22"/>
                <w:szCs w:val="21"/>
              </w:rPr>
              <w:t>、</w:t>
            </w:r>
            <w:r w:rsidR="006C6F6D" w:rsidRPr="006C6F6D">
              <w:rPr>
                <w:rFonts w:hint="eastAsia"/>
                <w:b/>
                <w:color w:val="000000"/>
                <w:sz w:val="22"/>
                <w:szCs w:val="21"/>
              </w:rPr>
              <w:t>招标文件要求</w:t>
            </w:r>
            <w:r w:rsidRPr="00993831">
              <w:rPr>
                <w:rFonts w:hint="eastAsia"/>
                <w:color w:val="000000"/>
                <w:sz w:val="22"/>
                <w:szCs w:val="21"/>
              </w:rPr>
              <w:t>周报填写必须按照模板的字体、颜色、数据有效性</w:t>
            </w:r>
            <w:r w:rsidR="006C6F6D" w:rsidRPr="006C6F6D">
              <w:rPr>
                <w:rFonts w:hint="eastAsia"/>
                <w:b/>
                <w:color w:val="000000"/>
                <w:sz w:val="22"/>
                <w:szCs w:val="21"/>
              </w:rPr>
              <w:t>招标文件要求</w:t>
            </w:r>
            <w:r w:rsidRPr="00993831">
              <w:rPr>
                <w:rFonts w:hint="eastAsia"/>
                <w:color w:val="000000"/>
                <w:sz w:val="22"/>
                <w:szCs w:val="21"/>
              </w:rPr>
              <w:t>撰写；</w:t>
            </w:r>
            <w:r w:rsidRPr="00993831">
              <w:rPr>
                <w:color w:val="000000"/>
                <w:sz w:val="22"/>
                <w:szCs w:val="21"/>
              </w:rPr>
              <w:br/>
              <w:t>2</w:t>
            </w:r>
            <w:r w:rsidRPr="00993831">
              <w:rPr>
                <w:rFonts w:hint="eastAsia"/>
                <w:color w:val="000000"/>
                <w:sz w:val="22"/>
                <w:szCs w:val="21"/>
              </w:rPr>
              <w:t>、模板中行不够填写，在对应内容项下方自行插入新行。</w:t>
            </w:r>
          </w:p>
        </w:tc>
      </w:tr>
      <w:tr w:rsidR="00993831" w:rsidRPr="00993831" w14:paraId="4A8AF9ED" w14:textId="77777777" w:rsidTr="00993831">
        <w:trPr>
          <w:trHeight w:val="1960"/>
        </w:trPr>
        <w:tc>
          <w:tcPr>
            <w:tcW w:w="0" w:type="auto"/>
            <w:vMerge/>
            <w:tcBorders>
              <w:top w:val="nil"/>
              <w:left w:val="single" w:sz="8" w:space="0" w:color="auto"/>
              <w:bottom w:val="single" w:sz="8" w:space="0" w:color="000000"/>
              <w:right w:val="single" w:sz="4" w:space="0" w:color="auto"/>
            </w:tcBorders>
            <w:vAlign w:val="center"/>
            <w:hideMark/>
          </w:tcPr>
          <w:p w14:paraId="5C2F4E99" w14:textId="77777777" w:rsidR="00993831" w:rsidRPr="00993831" w:rsidRDefault="00993831" w:rsidP="00993831">
            <w:pPr>
              <w:widowControl/>
              <w:jc w:val="left"/>
              <w:rPr>
                <w:rFonts w:cs="Times New Roman" w:hint="eastAsia"/>
                <w:b/>
                <w:bCs/>
                <w:color w:val="000000"/>
                <w:sz w:val="22"/>
                <w:szCs w:val="21"/>
              </w:rPr>
            </w:pPr>
          </w:p>
        </w:tc>
        <w:tc>
          <w:tcPr>
            <w:tcW w:w="3922" w:type="pct"/>
            <w:tcBorders>
              <w:top w:val="nil"/>
              <w:left w:val="nil"/>
              <w:bottom w:val="single" w:sz="4" w:space="0" w:color="auto"/>
              <w:right w:val="single" w:sz="8" w:space="0" w:color="auto"/>
            </w:tcBorders>
            <w:vAlign w:val="center"/>
            <w:hideMark/>
          </w:tcPr>
          <w:p w14:paraId="1DE73939" w14:textId="1B889C30" w:rsidR="00993831" w:rsidRPr="00993831" w:rsidRDefault="00993831" w:rsidP="00993831">
            <w:pPr>
              <w:spacing w:after="120" w:line="360" w:lineRule="auto"/>
              <w:rPr>
                <w:rFonts w:hint="eastAsia"/>
                <w:color w:val="000000"/>
                <w:sz w:val="22"/>
                <w:szCs w:val="21"/>
              </w:rPr>
            </w:pPr>
            <w:r w:rsidRPr="00993831">
              <w:rPr>
                <w:rFonts w:hint="eastAsia"/>
                <w:color w:val="000000"/>
                <w:sz w:val="22"/>
                <w:szCs w:val="21"/>
              </w:rPr>
              <w:t>本周工作内容：</w:t>
            </w:r>
            <w:r w:rsidRPr="00993831">
              <w:rPr>
                <w:color w:val="000000"/>
                <w:sz w:val="22"/>
                <w:szCs w:val="21"/>
              </w:rPr>
              <w:br/>
              <w:t>1</w:t>
            </w:r>
            <w:r w:rsidRPr="00993831">
              <w:rPr>
                <w:rFonts w:hint="eastAsia"/>
                <w:color w:val="000000"/>
                <w:sz w:val="22"/>
                <w:szCs w:val="21"/>
              </w:rPr>
              <w:t>）</w:t>
            </w:r>
            <w:r w:rsidR="006C6F6D" w:rsidRPr="006C6F6D">
              <w:rPr>
                <w:rFonts w:hint="eastAsia"/>
                <w:b/>
                <w:color w:val="000000"/>
                <w:sz w:val="22"/>
                <w:szCs w:val="21"/>
              </w:rPr>
              <w:t>招标文件要求</w:t>
            </w:r>
            <w:r w:rsidRPr="00993831">
              <w:rPr>
                <w:rFonts w:hint="eastAsia"/>
                <w:color w:val="000000"/>
                <w:sz w:val="22"/>
                <w:szCs w:val="21"/>
              </w:rPr>
              <w:t>填写本周主要工作内容及完成情况，无需详细说明；（详细工作内容在日报中填写）</w:t>
            </w:r>
            <w:r w:rsidRPr="00993831">
              <w:rPr>
                <w:color w:val="000000"/>
                <w:sz w:val="22"/>
                <w:szCs w:val="21"/>
              </w:rPr>
              <w:br/>
              <w:t>2</w:t>
            </w:r>
            <w:r w:rsidRPr="00993831">
              <w:rPr>
                <w:rFonts w:hint="eastAsia"/>
                <w:color w:val="000000"/>
                <w:sz w:val="22"/>
                <w:szCs w:val="21"/>
              </w:rPr>
              <w:t>）如非联通沃云项目的临时性工作，在备注栏填写“支持项目的具体名称”；</w:t>
            </w:r>
            <w:r w:rsidRPr="00993831">
              <w:rPr>
                <w:color w:val="000000"/>
                <w:sz w:val="22"/>
                <w:szCs w:val="21"/>
              </w:rPr>
              <w:br/>
              <w:t>3</w:t>
            </w:r>
            <w:r w:rsidRPr="00993831">
              <w:rPr>
                <w:rFonts w:hint="eastAsia"/>
                <w:color w:val="000000"/>
                <w:sz w:val="22"/>
                <w:szCs w:val="21"/>
              </w:rPr>
              <w:t>）工作输出：</w:t>
            </w:r>
          </w:p>
        </w:tc>
      </w:tr>
      <w:tr w:rsidR="00993831" w:rsidRPr="00993831" w14:paraId="2571E5C5" w14:textId="77777777" w:rsidTr="00993831">
        <w:trPr>
          <w:trHeight w:val="840"/>
        </w:trPr>
        <w:tc>
          <w:tcPr>
            <w:tcW w:w="0" w:type="auto"/>
            <w:vMerge/>
            <w:tcBorders>
              <w:top w:val="nil"/>
              <w:left w:val="single" w:sz="8" w:space="0" w:color="auto"/>
              <w:bottom w:val="single" w:sz="8" w:space="0" w:color="000000"/>
              <w:right w:val="single" w:sz="4" w:space="0" w:color="auto"/>
            </w:tcBorders>
            <w:vAlign w:val="center"/>
            <w:hideMark/>
          </w:tcPr>
          <w:p w14:paraId="50A2D81B" w14:textId="77777777" w:rsidR="00993831" w:rsidRPr="00993831" w:rsidRDefault="00993831" w:rsidP="00993831">
            <w:pPr>
              <w:widowControl/>
              <w:jc w:val="left"/>
              <w:rPr>
                <w:rFonts w:cs="Times New Roman" w:hint="eastAsia"/>
                <w:b/>
                <w:bCs/>
                <w:color w:val="000000"/>
                <w:sz w:val="22"/>
                <w:szCs w:val="21"/>
              </w:rPr>
            </w:pPr>
          </w:p>
        </w:tc>
        <w:tc>
          <w:tcPr>
            <w:tcW w:w="3922" w:type="pct"/>
            <w:tcBorders>
              <w:top w:val="nil"/>
              <w:left w:val="nil"/>
              <w:bottom w:val="single" w:sz="4" w:space="0" w:color="auto"/>
              <w:right w:val="single" w:sz="8" w:space="0" w:color="auto"/>
            </w:tcBorders>
            <w:vAlign w:val="center"/>
            <w:hideMark/>
          </w:tcPr>
          <w:p w14:paraId="124969F0" w14:textId="77777777" w:rsidR="00993831" w:rsidRPr="00993831" w:rsidRDefault="00993831" w:rsidP="00993831">
            <w:pPr>
              <w:spacing w:after="120" w:line="360" w:lineRule="auto"/>
              <w:rPr>
                <w:rFonts w:hint="eastAsia"/>
                <w:color w:val="000000"/>
                <w:sz w:val="22"/>
                <w:szCs w:val="21"/>
              </w:rPr>
            </w:pPr>
            <w:r w:rsidRPr="00993831">
              <w:rPr>
                <w:rFonts w:hint="eastAsia"/>
                <w:color w:val="000000"/>
                <w:sz w:val="22"/>
                <w:szCs w:val="21"/>
              </w:rPr>
              <w:t>下周工作计划</w:t>
            </w:r>
            <w:r w:rsidRPr="00993831">
              <w:rPr>
                <w:color w:val="000000"/>
                <w:sz w:val="22"/>
                <w:szCs w:val="21"/>
              </w:rPr>
              <w:br/>
              <w:t>1</w:t>
            </w:r>
            <w:r w:rsidRPr="00993831">
              <w:rPr>
                <w:rFonts w:hint="eastAsia"/>
                <w:color w:val="000000"/>
                <w:sz w:val="22"/>
                <w:szCs w:val="21"/>
              </w:rPr>
              <w:t>）概括下周计划安排的主要工作及预期达成的目标；</w:t>
            </w:r>
            <w:r w:rsidRPr="00993831">
              <w:rPr>
                <w:color w:val="000000"/>
                <w:sz w:val="22"/>
                <w:szCs w:val="21"/>
              </w:rPr>
              <w:br/>
              <w:t>2</w:t>
            </w:r>
            <w:r w:rsidRPr="00993831">
              <w:rPr>
                <w:rFonts w:hint="eastAsia"/>
                <w:color w:val="000000"/>
                <w:sz w:val="22"/>
                <w:szCs w:val="21"/>
              </w:rPr>
              <w:t>）对重要工作计划，请填写预期工作步骤。</w:t>
            </w:r>
          </w:p>
        </w:tc>
      </w:tr>
      <w:tr w:rsidR="00993831" w:rsidRPr="00993831" w14:paraId="69B185BC" w14:textId="77777777" w:rsidTr="00993831">
        <w:trPr>
          <w:trHeight w:val="860"/>
        </w:trPr>
        <w:tc>
          <w:tcPr>
            <w:tcW w:w="0" w:type="auto"/>
            <w:vMerge/>
            <w:tcBorders>
              <w:top w:val="nil"/>
              <w:left w:val="single" w:sz="8" w:space="0" w:color="auto"/>
              <w:bottom w:val="single" w:sz="8" w:space="0" w:color="000000"/>
              <w:right w:val="single" w:sz="4" w:space="0" w:color="auto"/>
            </w:tcBorders>
            <w:vAlign w:val="center"/>
            <w:hideMark/>
          </w:tcPr>
          <w:p w14:paraId="1D887848" w14:textId="77777777" w:rsidR="00993831" w:rsidRPr="00993831" w:rsidRDefault="00993831" w:rsidP="00993831">
            <w:pPr>
              <w:widowControl/>
              <w:jc w:val="left"/>
              <w:rPr>
                <w:rFonts w:cs="Times New Roman" w:hint="eastAsia"/>
                <w:b/>
                <w:bCs/>
                <w:color w:val="000000"/>
                <w:sz w:val="22"/>
                <w:szCs w:val="21"/>
              </w:rPr>
            </w:pPr>
          </w:p>
        </w:tc>
        <w:tc>
          <w:tcPr>
            <w:tcW w:w="3922" w:type="pct"/>
            <w:tcBorders>
              <w:top w:val="nil"/>
              <w:left w:val="nil"/>
              <w:bottom w:val="single" w:sz="8" w:space="0" w:color="auto"/>
              <w:right w:val="single" w:sz="8" w:space="0" w:color="auto"/>
            </w:tcBorders>
            <w:vAlign w:val="center"/>
            <w:hideMark/>
          </w:tcPr>
          <w:p w14:paraId="177B2119" w14:textId="434B6BB2" w:rsidR="00993831" w:rsidRPr="00993831" w:rsidRDefault="00993831" w:rsidP="00993831">
            <w:pPr>
              <w:spacing w:after="120" w:line="360" w:lineRule="auto"/>
              <w:rPr>
                <w:rFonts w:hint="eastAsia"/>
                <w:color w:val="000000"/>
                <w:sz w:val="22"/>
                <w:szCs w:val="21"/>
              </w:rPr>
            </w:pPr>
            <w:r w:rsidRPr="00993831">
              <w:rPr>
                <w:rFonts w:hint="eastAsia"/>
                <w:color w:val="000000"/>
                <w:sz w:val="22"/>
                <w:szCs w:val="21"/>
              </w:rPr>
              <w:t>问题列表</w:t>
            </w:r>
            <w:r w:rsidRPr="00993831">
              <w:rPr>
                <w:color w:val="000000"/>
                <w:sz w:val="22"/>
                <w:szCs w:val="21"/>
              </w:rPr>
              <w:br/>
              <w:t>1</w:t>
            </w:r>
            <w:r w:rsidRPr="00993831">
              <w:rPr>
                <w:rFonts w:hint="eastAsia"/>
                <w:color w:val="000000"/>
                <w:sz w:val="22"/>
                <w:szCs w:val="21"/>
              </w:rPr>
              <w:t>）填写本周工作中遇到的问题及状态，如需支持，请高亮显示，并写明</w:t>
            </w:r>
            <w:r w:rsidR="006C6F6D" w:rsidRPr="006C6F6D">
              <w:rPr>
                <w:rFonts w:hint="eastAsia"/>
                <w:b/>
                <w:color w:val="000000"/>
                <w:sz w:val="22"/>
                <w:szCs w:val="21"/>
              </w:rPr>
              <w:t>招标</w:t>
            </w:r>
            <w:r w:rsidR="006C6F6D" w:rsidRPr="006C6F6D">
              <w:rPr>
                <w:rFonts w:hint="eastAsia"/>
                <w:b/>
                <w:color w:val="000000"/>
                <w:sz w:val="22"/>
                <w:szCs w:val="21"/>
              </w:rPr>
              <w:lastRenderedPageBreak/>
              <w:t>文件要求</w:t>
            </w:r>
            <w:r w:rsidRPr="00993831">
              <w:rPr>
                <w:rFonts w:hint="eastAsia"/>
                <w:color w:val="000000"/>
                <w:sz w:val="22"/>
                <w:szCs w:val="21"/>
              </w:rPr>
              <w:t>的支持。</w:t>
            </w:r>
          </w:p>
        </w:tc>
      </w:tr>
    </w:tbl>
    <w:p w14:paraId="5A646C57" w14:textId="77777777" w:rsidR="00993831" w:rsidRPr="00993831" w:rsidRDefault="00993831" w:rsidP="00993831">
      <w:pPr>
        <w:ind w:firstLine="420"/>
        <w:rPr>
          <w:rFonts w:hint="eastAsia"/>
        </w:rPr>
      </w:pPr>
    </w:p>
    <w:p w14:paraId="0A44851E" w14:textId="77777777" w:rsidR="00993831" w:rsidRDefault="00993831" w:rsidP="00993831">
      <w:pPr>
        <w:pStyle w:val="4"/>
        <w:rPr>
          <w:rFonts w:hint="eastAsia"/>
        </w:rPr>
      </w:pPr>
      <w:bookmarkStart w:id="10" w:name="_Toc291049549"/>
      <w:bookmarkStart w:id="11" w:name="_Toc300869225"/>
      <w:bookmarkStart w:id="12" w:name="_Toc372273014"/>
      <w:bookmarkStart w:id="13" w:name="_Toc420747105"/>
      <w:bookmarkStart w:id="14" w:name="_Toc248028641"/>
      <w:bookmarkStart w:id="15" w:name="_Toc279766713"/>
      <w:bookmarkStart w:id="16" w:name="_Toc280388422"/>
      <w:r>
        <w:rPr>
          <w:rFonts w:hint="eastAsia"/>
        </w:rPr>
        <w:t>人员安排</w:t>
      </w:r>
      <w:bookmarkEnd w:id="10"/>
      <w:bookmarkEnd w:id="11"/>
      <w:bookmarkEnd w:id="12"/>
      <w:bookmarkEnd w:id="13"/>
    </w:p>
    <w:p w14:paraId="01B392AA" w14:textId="6678DD54" w:rsidR="00993831" w:rsidRDefault="001C2850" w:rsidP="00993831">
      <w:pPr>
        <w:pStyle w:val="5"/>
        <w:rPr>
          <w:rFonts w:hint="eastAsia"/>
        </w:rPr>
      </w:pPr>
      <w:bookmarkStart w:id="17" w:name="_Toc372273015"/>
      <w:r>
        <w:rPr>
          <w:rFonts w:hint="eastAsia"/>
        </w:rPr>
        <w:t>***项目高管</w:t>
      </w:r>
      <w:bookmarkEnd w:id="17"/>
    </w:p>
    <w:p w14:paraId="610E312A" w14:textId="77777777" w:rsidR="00993831" w:rsidRDefault="00993831" w:rsidP="00993831">
      <w:pPr>
        <w:rPr>
          <w:rFonts w:hint="eastAsia"/>
          <w:sz w:val="22"/>
        </w:rPr>
      </w:pPr>
    </w:p>
    <w:tbl>
      <w:tblPr>
        <w:tblW w:w="83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41"/>
        <w:gridCol w:w="1260"/>
        <w:gridCol w:w="5760"/>
      </w:tblGrid>
      <w:tr w:rsidR="00993831" w14:paraId="60384219" w14:textId="77777777" w:rsidTr="00993831">
        <w:trPr>
          <w:jc w:val="center"/>
        </w:trPr>
        <w:tc>
          <w:tcPr>
            <w:tcW w:w="1341" w:type="dxa"/>
            <w:tcBorders>
              <w:top w:val="single" w:sz="4" w:space="0" w:color="auto"/>
              <w:left w:val="single" w:sz="4" w:space="0" w:color="auto"/>
              <w:bottom w:val="single" w:sz="6" w:space="0" w:color="auto"/>
              <w:right w:val="single" w:sz="6" w:space="0" w:color="auto"/>
            </w:tcBorders>
            <w:shd w:val="clear" w:color="auto" w:fill="B8CCE4"/>
            <w:hideMark/>
          </w:tcPr>
          <w:p w14:paraId="7880F4F1" w14:textId="77777777" w:rsidR="00993831" w:rsidRDefault="00993831">
            <w:pPr>
              <w:pStyle w:val="a6"/>
              <w:ind w:firstLineChars="0" w:firstLine="0"/>
              <w:jc w:val="center"/>
              <w:rPr>
                <w:b/>
              </w:rPr>
            </w:pPr>
            <w:r>
              <w:rPr>
                <w:rFonts w:hint="eastAsia"/>
                <w:b/>
              </w:rPr>
              <w:t>角色</w:t>
            </w:r>
          </w:p>
        </w:tc>
        <w:tc>
          <w:tcPr>
            <w:tcW w:w="1260" w:type="dxa"/>
            <w:tcBorders>
              <w:top w:val="single" w:sz="4" w:space="0" w:color="auto"/>
              <w:left w:val="single" w:sz="6" w:space="0" w:color="auto"/>
              <w:bottom w:val="single" w:sz="6" w:space="0" w:color="auto"/>
              <w:right w:val="single" w:sz="6" w:space="0" w:color="auto"/>
            </w:tcBorders>
            <w:shd w:val="clear" w:color="auto" w:fill="B8CCE4"/>
            <w:hideMark/>
          </w:tcPr>
          <w:p w14:paraId="0641CCD9" w14:textId="77777777" w:rsidR="00993831" w:rsidRDefault="00993831">
            <w:pPr>
              <w:pStyle w:val="a6"/>
              <w:ind w:firstLineChars="0" w:firstLine="0"/>
              <w:jc w:val="center"/>
              <w:rPr>
                <w:b/>
              </w:rPr>
            </w:pPr>
            <w:r>
              <w:rPr>
                <w:rFonts w:hint="eastAsia"/>
                <w:b/>
              </w:rPr>
              <w:t>人员</w:t>
            </w:r>
          </w:p>
        </w:tc>
        <w:tc>
          <w:tcPr>
            <w:tcW w:w="5760" w:type="dxa"/>
            <w:tcBorders>
              <w:top w:val="single" w:sz="4" w:space="0" w:color="auto"/>
              <w:left w:val="single" w:sz="6" w:space="0" w:color="auto"/>
              <w:bottom w:val="single" w:sz="6" w:space="0" w:color="auto"/>
              <w:right w:val="single" w:sz="4" w:space="0" w:color="auto"/>
            </w:tcBorders>
            <w:shd w:val="clear" w:color="auto" w:fill="B8CCE4"/>
            <w:hideMark/>
          </w:tcPr>
          <w:p w14:paraId="255C47B9" w14:textId="77777777" w:rsidR="00993831" w:rsidRDefault="00993831">
            <w:pPr>
              <w:pStyle w:val="a6"/>
              <w:ind w:firstLineChars="0" w:firstLine="0"/>
              <w:jc w:val="center"/>
              <w:rPr>
                <w:b/>
              </w:rPr>
            </w:pPr>
            <w:r>
              <w:rPr>
                <w:rFonts w:hint="eastAsia"/>
                <w:b/>
              </w:rPr>
              <w:t>职责</w:t>
            </w:r>
          </w:p>
        </w:tc>
      </w:tr>
      <w:tr w:rsidR="00993831" w14:paraId="1B561DDD" w14:textId="77777777" w:rsidTr="001C2850">
        <w:trPr>
          <w:jc w:val="center"/>
        </w:trPr>
        <w:tc>
          <w:tcPr>
            <w:tcW w:w="1341" w:type="dxa"/>
            <w:tcBorders>
              <w:top w:val="single" w:sz="6" w:space="0" w:color="auto"/>
              <w:left w:val="single" w:sz="4" w:space="0" w:color="auto"/>
              <w:bottom w:val="single" w:sz="6" w:space="0" w:color="auto"/>
              <w:right w:val="single" w:sz="6" w:space="0" w:color="auto"/>
            </w:tcBorders>
            <w:hideMark/>
          </w:tcPr>
          <w:p w14:paraId="694C9444" w14:textId="77777777" w:rsidR="00993831" w:rsidRDefault="00993831">
            <w:pPr>
              <w:pStyle w:val="a6"/>
              <w:ind w:firstLineChars="0" w:firstLine="0"/>
              <w:rPr>
                <w:rFonts w:ascii="宋体" w:hAnsi="宋体" w:hint="eastAsia"/>
                <w:szCs w:val="21"/>
              </w:rPr>
            </w:pPr>
            <w:r>
              <w:rPr>
                <w:rFonts w:ascii="宋体" w:hAnsi="宋体" w:hint="eastAsia"/>
                <w:szCs w:val="21"/>
              </w:rPr>
              <w:t>项目高管</w:t>
            </w:r>
          </w:p>
        </w:tc>
        <w:tc>
          <w:tcPr>
            <w:tcW w:w="1260" w:type="dxa"/>
            <w:tcBorders>
              <w:top w:val="single" w:sz="6" w:space="0" w:color="auto"/>
              <w:left w:val="single" w:sz="6" w:space="0" w:color="auto"/>
              <w:bottom w:val="single" w:sz="6" w:space="0" w:color="auto"/>
              <w:right w:val="single" w:sz="6" w:space="0" w:color="auto"/>
            </w:tcBorders>
          </w:tcPr>
          <w:p w14:paraId="39E0F714" w14:textId="0F520690" w:rsidR="00993831" w:rsidRDefault="00993831">
            <w:pPr>
              <w:pStyle w:val="a6"/>
              <w:ind w:firstLineChars="0" w:firstLine="0"/>
              <w:rPr>
                <w:rFonts w:ascii="宋体" w:hAnsi="宋体" w:hint="eastAsia"/>
                <w:szCs w:val="21"/>
              </w:rPr>
            </w:pPr>
          </w:p>
        </w:tc>
        <w:tc>
          <w:tcPr>
            <w:tcW w:w="5760" w:type="dxa"/>
            <w:tcBorders>
              <w:top w:val="single" w:sz="6" w:space="0" w:color="auto"/>
              <w:left w:val="single" w:sz="6" w:space="0" w:color="auto"/>
              <w:bottom w:val="single" w:sz="6" w:space="0" w:color="auto"/>
              <w:right w:val="single" w:sz="4" w:space="0" w:color="auto"/>
            </w:tcBorders>
          </w:tcPr>
          <w:p w14:paraId="06739635" w14:textId="17AE2870" w:rsidR="00993831" w:rsidRDefault="00993831">
            <w:pPr>
              <w:pStyle w:val="a6"/>
              <w:ind w:firstLineChars="0" w:firstLine="0"/>
              <w:rPr>
                <w:rFonts w:ascii="宋体" w:hAnsi="宋体" w:hint="eastAsia"/>
                <w:szCs w:val="21"/>
              </w:rPr>
            </w:pPr>
          </w:p>
        </w:tc>
      </w:tr>
      <w:tr w:rsidR="00993831" w14:paraId="27A93775" w14:textId="77777777" w:rsidTr="001C2850">
        <w:trPr>
          <w:jc w:val="center"/>
        </w:trPr>
        <w:tc>
          <w:tcPr>
            <w:tcW w:w="1341" w:type="dxa"/>
            <w:tcBorders>
              <w:top w:val="single" w:sz="6" w:space="0" w:color="auto"/>
              <w:left w:val="single" w:sz="4" w:space="0" w:color="auto"/>
              <w:bottom w:val="single" w:sz="4" w:space="0" w:color="auto"/>
              <w:right w:val="single" w:sz="6" w:space="0" w:color="auto"/>
            </w:tcBorders>
            <w:hideMark/>
          </w:tcPr>
          <w:p w14:paraId="51C45A03" w14:textId="77777777" w:rsidR="00993831" w:rsidRDefault="00993831">
            <w:pPr>
              <w:pStyle w:val="a6"/>
              <w:ind w:firstLineChars="0" w:firstLine="0"/>
              <w:rPr>
                <w:rFonts w:ascii="宋体" w:hAnsi="宋体" w:hint="eastAsia"/>
                <w:szCs w:val="21"/>
              </w:rPr>
            </w:pPr>
            <w:r>
              <w:rPr>
                <w:rFonts w:ascii="宋体" w:hAnsi="宋体" w:hint="eastAsia"/>
                <w:szCs w:val="21"/>
              </w:rPr>
              <w:t>项目高管</w:t>
            </w:r>
          </w:p>
        </w:tc>
        <w:tc>
          <w:tcPr>
            <w:tcW w:w="1260" w:type="dxa"/>
            <w:tcBorders>
              <w:top w:val="single" w:sz="6" w:space="0" w:color="auto"/>
              <w:left w:val="single" w:sz="6" w:space="0" w:color="auto"/>
              <w:bottom w:val="single" w:sz="4" w:space="0" w:color="auto"/>
              <w:right w:val="single" w:sz="6" w:space="0" w:color="auto"/>
            </w:tcBorders>
          </w:tcPr>
          <w:p w14:paraId="74BDFDCD" w14:textId="2070105B" w:rsidR="00993831" w:rsidRDefault="00993831">
            <w:pPr>
              <w:pStyle w:val="a6"/>
              <w:ind w:firstLineChars="0" w:firstLine="0"/>
              <w:rPr>
                <w:rFonts w:ascii="宋体" w:hAnsi="宋体" w:hint="eastAsia"/>
                <w:szCs w:val="21"/>
              </w:rPr>
            </w:pPr>
          </w:p>
        </w:tc>
        <w:tc>
          <w:tcPr>
            <w:tcW w:w="5760" w:type="dxa"/>
            <w:tcBorders>
              <w:top w:val="single" w:sz="6" w:space="0" w:color="auto"/>
              <w:left w:val="single" w:sz="6" w:space="0" w:color="auto"/>
              <w:bottom w:val="single" w:sz="4" w:space="0" w:color="auto"/>
              <w:right w:val="single" w:sz="4" w:space="0" w:color="auto"/>
            </w:tcBorders>
          </w:tcPr>
          <w:p w14:paraId="37BEA413" w14:textId="58D28CCA" w:rsidR="00993831" w:rsidRDefault="00993831">
            <w:pPr>
              <w:pStyle w:val="a6"/>
              <w:ind w:firstLineChars="0" w:firstLine="0"/>
              <w:rPr>
                <w:rFonts w:ascii="宋体" w:hAnsi="宋体" w:hint="eastAsia"/>
                <w:szCs w:val="21"/>
              </w:rPr>
            </w:pPr>
          </w:p>
        </w:tc>
      </w:tr>
    </w:tbl>
    <w:p w14:paraId="21C15314" w14:textId="77777777" w:rsidR="00993831" w:rsidRDefault="00993831" w:rsidP="00993831">
      <w:pPr>
        <w:rPr>
          <w:rFonts w:hint="eastAsia"/>
          <w:sz w:val="22"/>
          <w:szCs w:val="21"/>
        </w:rPr>
      </w:pPr>
    </w:p>
    <w:p w14:paraId="109CFC5D" w14:textId="6EACFAE4" w:rsidR="00993831" w:rsidRDefault="001C2850" w:rsidP="00993831">
      <w:pPr>
        <w:pStyle w:val="5"/>
        <w:rPr>
          <w:rFonts w:hint="eastAsia"/>
          <w:sz w:val="24"/>
        </w:rPr>
      </w:pPr>
      <w:bookmarkStart w:id="18" w:name="_Toc300869226"/>
      <w:bookmarkStart w:id="19" w:name="_Toc372273016"/>
      <w:r>
        <w:rPr>
          <w:rFonts w:hint="eastAsia"/>
        </w:rPr>
        <w:t>***</w:t>
      </w:r>
      <w:r w:rsidR="00993831">
        <w:rPr>
          <w:rFonts w:hint="eastAsia"/>
        </w:rPr>
        <w:t>项目经理</w:t>
      </w:r>
      <w:bookmarkEnd w:id="18"/>
      <w:bookmarkEnd w:id="19"/>
    </w:p>
    <w:p w14:paraId="718A23F2" w14:textId="1C685EB9" w:rsidR="00993831" w:rsidRPr="00993831" w:rsidRDefault="00993831" w:rsidP="00993831">
      <w:pPr>
        <w:ind w:firstLine="420"/>
        <w:rPr>
          <w:rFonts w:hint="eastAsia"/>
        </w:rPr>
      </w:pPr>
      <w:r w:rsidRPr="00993831">
        <w:rPr>
          <w:rFonts w:hint="eastAsia"/>
        </w:rPr>
        <w:t>我公司为了保证系统实施中的各项工作能按期达到预定目标，根据组织机构的状况确定了各组的项目负责人，并按照工作任务的分类指定了相应的技术负责人。</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41"/>
        <w:gridCol w:w="1260"/>
        <w:gridCol w:w="5904"/>
      </w:tblGrid>
      <w:tr w:rsidR="00993831" w14:paraId="42703A92" w14:textId="77777777" w:rsidTr="00993831">
        <w:trPr>
          <w:jc w:val="center"/>
        </w:trPr>
        <w:tc>
          <w:tcPr>
            <w:tcW w:w="1341" w:type="dxa"/>
            <w:tcBorders>
              <w:top w:val="single" w:sz="4" w:space="0" w:color="auto"/>
              <w:left w:val="single" w:sz="4" w:space="0" w:color="auto"/>
              <w:bottom w:val="single" w:sz="6" w:space="0" w:color="auto"/>
              <w:right w:val="single" w:sz="6" w:space="0" w:color="auto"/>
            </w:tcBorders>
            <w:shd w:val="clear" w:color="auto" w:fill="B8CCE4"/>
            <w:hideMark/>
          </w:tcPr>
          <w:p w14:paraId="5B91E28A" w14:textId="77777777" w:rsidR="00993831" w:rsidRDefault="00993831">
            <w:pPr>
              <w:pStyle w:val="a6"/>
              <w:spacing w:before="120"/>
              <w:ind w:firstLineChars="0" w:firstLine="0"/>
              <w:jc w:val="center"/>
              <w:rPr>
                <w:b/>
              </w:rPr>
            </w:pPr>
            <w:r>
              <w:rPr>
                <w:rFonts w:hint="eastAsia"/>
                <w:b/>
              </w:rPr>
              <w:t>角色</w:t>
            </w:r>
          </w:p>
        </w:tc>
        <w:tc>
          <w:tcPr>
            <w:tcW w:w="1260" w:type="dxa"/>
            <w:tcBorders>
              <w:top w:val="single" w:sz="4" w:space="0" w:color="auto"/>
              <w:left w:val="single" w:sz="6" w:space="0" w:color="auto"/>
              <w:bottom w:val="single" w:sz="6" w:space="0" w:color="auto"/>
              <w:right w:val="single" w:sz="6" w:space="0" w:color="auto"/>
            </w:tcBorders>
            <w:shd w:val="clear" w:color="auto" w:fill="B8CCE4"/>
            <w:hideMark/>
          </w:tcPr>
          <w:p w14:paraId="06ACAA11" w14:textId="77777777" w:rsidR="00993831" w:rsidRDefault="00993831">
            <w:pPr>
              <w:pStyle w:val="a6"/>
              <w:spacing w:before="120"/>
              <w:ind w:firstLineChars="0" w:firstLine="0"/>
              <w:jc w:val="center"/>
              <w:rPr>
                <w:b/>
              </w:rPr>
            </w:pPr>
            <w:r>
              <w:rPr>
                <w:rFonts w:hint="eastAsia"/>
                <w:b/>
              </w:rPr>
              <w:t>人员</w:t>
            </w:r>
          </w:p>
        </w:tc>
        <w:tc>
          <w:tcPr>
            <w:tcW w:w="5904" w:type="dxa"/>
            <w:tcBorders>
              <w:top w:val="single" w:sz="4" w:space="0" w:color="auto"/>
              <w:left w:val="single" w:sz="6" w:space="0" w:color="auto"/>
              <w:bottom w:val="single" w:sz="6" w:space="0" w:color="auto"/>
              <w:right w:val="single" w:sz="4" w:space="0" w:color="auto"/>
            </w:tcBorders>
            <w:shd w:val="clear" w:color="auto" w:fill="B8CCE4"/>
            <w:hideMark/>
          </w:tcPr>
          <w:p w14:paraId="2905112A" w14:textId="77777777" w:rsidR="00993831" w:rsidRDefault="00993831">
            <w:pPr>
              <w:pStyle w:val="a6"/>
              <w:spacing w:before="120"/>
              <w:ind w:firstLineChars="0" w:firstLine="0"/>
              <w:jc w:val="center"/>
              <w:rPr>
                <w:b/>
              </w:rPr>
            </w:pPr>
            <w:r>
              <w:rPr>
                <w:rFonts w:hint="eastAsia"/>
                <w:b/>
              </w:rPr>
              <w:t>职责</w:t>
            </w:r>
          </w:p>
        </w:tc>
      </w:tr>
      <w:tr w:rsidR="00993831" w14:paraId="15673A3F" w14:textId="77777777" w:rsidTr="001C2850">
        <w:trPr>
          <w:jc w:val="center"/>
        </w:trPr>
        <w:tc>
          <w:tcPr>
            <w:tcW w:w="1341" w:type="dxa"/>
            <w:tcBorders>
              <w:top w:val="single" w:sz="6" w:space="0" w:color="auto"/>
              <w:left w:val="single" w:sz="4" w:space="0" w:color="auto"/>
              <w:bottom w:val="single" w:sz="4" w:space="0" w:color="auto"/>
              <w:right w:val="single" w:sz="6" w:space="0" w:color="auto"/>
            </w:tcBorders>
            <w:hideMark/>
          </w:tcPr>
          <w:p w14:paraId="6683C35C" w14:textId="77777777" w:rsidR="00993831" w:rsidRDefault="00993831">
            <w:pPr>
              <w:pStyle w:val="a6"/>
              <w:spacing w:before="120"/>
              <w:ind w:firstLineChars="0" w:firstLine="0"/>
            </w:pPr>
            <w:r>
              <w:rPr>
                <w:rFonts w:hint="eastAsia"/>
              </w:rPr>
              <w:t>项目经理</w:t>
            </w:r>
          </w:p>
        </w:tc>
        <w:tc>
          <w:tcPr>
            <w:tcW w:w="1260" w:type="dxa"/>
            <w:tcBorders>
              <w:top w:val="single" w:sz="6" w:space="0" w:color="auto"/>
              <w:left w:val="single" w:sz="6" w:space="0" w:color="auto"/>
              <w:bottom w:val="single" w:sz="4" w:space="0" w:color="auto"/>
              <w:right w:val="single" w:sz="6" w:space="0" w:color="auto"/>
            </w:tcBorders>
          </w:tcPr>
          <w:p w14:paraId="67EA95D5" w14:textId="005186CD" w:rsidR="00993831" w:rsidRDefault="00993831">
            <w:pPr>
              <w:pStyle w:val="a6"/>
              <w:spacing w:before="120"/>
              <w:ind w:firstLineChars="0" w:firstLine="0"/>
            </w:pPr>
          </w:p>
        </w:tc>
        <w:tc>
          <w:tcPr>
            <w:tcW w:w="5904" w:type="dxa"/>
            <w:tcBorders>
              <w:top w:val="single" w:sz="6" w:space="0" w:color="auto"/>
              <w:left w:val="single" w:sz="6" w:space="0" w:color="auto"/>
              <w:bottom w:val="single" w:sz="4" w:space="0" w:color="auto"/>
              <w:right w:val="single" w:sz="4" w:space="0" w:color="auto"/>
            </w:tcBorders>
          </w:tcPr>
          <w:p w14:paraId="2D82FE6C" w14:textId="063026EA" w:rsidR="00993831" w:rsidRDefault="00993831">
            <w:pPr>
              <w:pStyle w:val="a6"/>
              <w:spacing w:before="120"/>
              <w:ind w:firstLineChars="0" w:firstLine="0"/>
            </w:pPr>
          </w:p>
        </w:tc>
      </w:tr>
    </w:tbl>
    <w:p w14:paraId="448A2E25" w14:textId="5626709B" w:rsidR="001C2850" w:rsidRDefault="001C2850" w:rsidP="00993831">
      <w:pPr>
        <w:pStyle w:val="5"/>
        <w:rPr>
          <w:rFonts w:ascii="Arial" w:eastAsia="黑体" w:hAnsi="Arial" w:cs="Times New Roman"/>
          <w:sz w:val="24"/>
          <w:szCs w:val="24"/>
        </w:rPr>
      </w:pPr>
      <w:bookmarkStart w:id="20" w:name="_Toc300869227"/>
      <w:bookmarkStart w:id="21" w:name="_Toc372273017"/>
      <w:r>
        <w:rPr>
          <w:rFonts w:hint="eastAsia"/>
        </w:rPr>
        <w:t>***拟任项目负责人简历及资质材料</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619"/>
        <w:gridCol w:w="635"/>
        <w:gridCol w:w="464"/>
        <w:gridCol w:w="1303"/>
        <w:gridCol w:w="865"/>
        <w:gridCol w:w="1714"/>
      </w:tblGrid>
      <w:tr w:rsidR="001C2850" w14:paraId="49642437" w14:textId="77777777" w:rsidTr="00993831">
        <w:trPr>
          <w:trHeight w:hRule="exact" w:val="511"/>
          <w:jc w:val="center"/>
        </w:trPr>
        <w:tc>
          <w:tcPr>
            <w:tcW w:w="2155" w:type="dxa"/>
            <w:tcBorders>
              <w:top w:val="single" w:sz="4" w:space="0" w:color="auto"/>
              <w:left w:val="single" w:sz="4" w:space="0" w:color="auto"/>
              <w:bottom w:val="single" w:sz="4" w:space="0" w:color="auto"/>
              <w:right w:val="single" w:sz="4" w:space="0" w:color="auto"/>
            </w:tcBorders>
            <w:vAlign w:val="center"/>
            <w:hideMark/>
          </w:tcPr>
          <w:p w14:paraId="04191464" w14:textId="77777777" w:rsidR="001C2850" w:rsidRDefault="001C2850">
            <w:pPr>
              <w:spacing w:line="500" w:lineRule="exact"/>
              <w:rPr>
                <w:rFonts w:asciiTheme="minorEastAsia" w:hAnsiTheme="minorEastAsia" w:hint="eastAsia"/>
              </w:rPr>
            </w:pPr>
            <w:r>
              <w:rPr>
                <w:rFonts w:asciiTheme="minorEastAsia" w:hAnsiTheme="minorEastAsia" w:hint="eastAsia"/>
              </w:rPr>
              <w:t>姓名</w:t>
            </w:r>
          </w:p>
        </w:tc>
        <w:tc>
          <w:tcPr>
            <w:tcW w:w="1619" w:type="dxa"/>
            <w:tcBorders>
              <w:top w:val="single" w:sz="4" w:space="0" w:color="auto"/>
              <w:left w:val="single" w:sz="4" w:space="0" w:color="auto"/>
              <w:bottom w:val="single" w:sz="4" w:space="0" w:color="auto"/>
              <w:right w:val="single" w:sz="4" w:space="0" w:color="auto"/>
            </w:tcBorders>
            <w:vAlign w:val="center"/>
            <w:hideMark/>
          </w:tcPr>
          <w:p w14:paraId="512FF6BA" w14:textId="77777777" w:rsidR="001C2850" w:rsidRDefault="001C2850">
            <w:pPr>
              <w:spacing w:line="500" w:lineRule="exact"/>
              <w:jc w:val="left"/>
              <w:rPr>
                <w:rFonts w:asciiTheme="minorEastAsia" w:hAnsiTheme="minorEastAsia" w:hint="eastAsia"/>
              </w:rPr>
            </w:pPr>
            <w:r>
              <w:rPr>
                <w:rFonts w:asciiTheme="minorEastAsia" w:hAnsiTheme="minorEastAsia" w:hint="eastAsia"/>
              </w:rPr>
              <w:t>刘振业</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8191277" w14:textId="77777777" w:rsidR="001C2850" w:rsidRDefault="001C2850">
            <w:pPr>
              <w:spacing w:line="500" w:lineRule="exact"/>
              <w:rPr>
                <w:rFonts w:asciiTheme="minorEastAsia" w:hAnsiTheme="minorEastAsia" w:hint="eastAsia"/>
              </w:rPr>
            </w:pPr>
            <w:r>
              <w:rPr>
                <w:rFonts w:asciiTheme="minorEastAsia" w:hAnsiTheme="minorEastAsia" w:hint="eastAsia"/>
              </w:rPr>
              <w:t>性别</w:t>
            </w:r>
          </w:p>
        </w:tc>
        <w:tc>
          <w:tcPr>
            <w:tcW w:w="1303" w:type="dxa"/>
            <w:tcBorders>
              <w:top w:val="single" w:sz="4" w:space="0" w:color="auto"/>
              <w:left w:val="single" w:sz="4" w:space="0" w:color="auto"/>
              <w:bottom w:val="single" w:sz="4" w:space="0" w:color="auto"/>
              <w:right w:val="single" w:sz="4" w:space="0" w:color="auto"/>
            </w:tcBorders>
            <w:vAlign w:val="center"/>
            <w:hideMark/>
          </w:tcPr>
          <w:p w14:paraId="34E6315A" w14:textId="77777777" w:rsidR="001C2850" w:rsidRDefault="001C2850">
            <w:pPr>
              <w:spacing w:line="500" w:lineRule="exact"/>
              <w:rPr>
                <w:rFonts w:asciiTheme="minorEastAsia" w:hAnsiTheme="minorEastAsia" w:hint="eastAsia"/>
              </w:rPr>
            </w:pPr>
            <w:r>
              <w:rPr>
                <w:rFonts w:asciiTheme="minorEastAsia" w:hAnsiTheme="minorEastAsia" w:hint="eastAsia"/>
              </w:rPr>
              <w:t>男</w:t>
            </w:r>
          </w:p>
        </w:tc>
        <w:tc>
          <w:tcPr>
            <w:tcW w:w="865" w:type="dxa"/>
            <w:tcBorders>
              <w:top w:val="single" w:sz="4" w:space="0" w:color="auto"/>
              <w:left w:val="single" w:sz="4" w:space="0" w:color="auto"/>
              <w:bottom w:val="single" w:sz="4" w:space="0" w:color="auto"/>
              <w:right w:val="single" w:sz="4" w:space="0" w:color="auto"/>
            </w:tcBorders>
            <w:vAlign w:val="center"/>
            <w:hideMark/>
          </w:tcPr>
          <w:p w14:paraId="7E002687" w14:textId="77777777" w:rsidR="001C2850" w:rsidRDefault="001C2850">
            <w:pPr>
              <w:spacing w:line="500" w:lineRule="exact"/>
              <w:rPr>
                <w:rFonts w:asciiTheme="minorEastAsia" w:hAnsiTheme="minorEastAsia" w:hint="eastAsia"/>
              </w:rPr>
            </w:pPr>
            <w:r>
              <w:rPr>
                <w:rFonts w:asciiTheme="minorEastAsia" w:hAnsiTheme="minorEastAsia" w:hint="eastAsia"/>
              </w:rPr>
              <w:t>年龄</w:t>
            </w:r>
          </w:p>
        </w:tc>
        <w:tc>
          <w:tcPr>
            <w:tcW w:w="1714" w:type="dxa"/>
            <w:tcBorders>
              <w:top w:val="single" w:sz="4" w:space="0" w:color="auto"/>
              <w:left w:val="single" w:sz="4" w:space="0" w:color="auto"/>
              <w:bottom w:val="single" w:sz="4" w:space="0" w:color="auto"/>
              <w:right w:val="single" w:sz="4" w:space="0" w:color="auto"/>
            </w:tcBorders>
            <w:vAlign w:val="center"/>
            <w:hideMark/>
          </w:tcPr>
          <w:p w14:paraId="66D30B44" w14:textId="77777777" w:rsidR="001C2850" w:rsidRDefault="001C2850">
            <w:pPr>
              <w:spacing w:line="500" w:lineRule="exact"/>
              <w:rPr>
                <w:rFonts w:asciiTheme="minorEastAsia" w:hAnsiTheme="minorEastAsia" w:hint="eastAsia"/>
              </w:rPr>
            </w:pPr>
            <w:r>
              <w:rPr>
                <w:rFonts w:asciiTheme="minorEastAsia" w:hAnsiTheme="minorEastAsia" w:hint="eastAsia"/>
              </w:rPr>
              <w:t>38</w:t>
            </w:r>
          </w:p>
        </w:tc>
      </w:tr>
      <w:tr w:rsidR="001C2850" w14:paraId="5F7D6DFD" w14:textId="77777777" w:rsidTr="00993831">
        <w:trPr>
          <w:trHeight w:hRule="exact" w:val="556"/>
          <w:jc w:val="center"/>
        </w:trPr>
        <w:tc>
          <w:tcPr>
            <w:tcW w:w="2155" w:type="dxa"/>
            <w:tcBorders>
              <w:top w:val="single" w:sz="4" w:space="0" w:color="auto"/>
              <w:left w:val="single" w:sz="4" w:space="0" w:color="auto"/>
              <w:bottom w:val="single" w:sz="4" w:space="0" w:color="auto"/>
              <w:right w:val="single" w:sz="4" w:space="0" w:color="auto"/>
            </w:tcBorders>
            <w:vAlign w:val="center"/>
            <w:hideMark/>
          </w:tcPr>
          <w:p w14:paraId="21CE3D21" w14:textId="77777777" w:rsidR="001C2850" w:rsidRDefault="001C2850">
            <w:pPr>
              <w:spacing w:line="500" w:lineRule="exact"/>
              <w:rPr>
                <w:rFonts w:asciiTheme="minorEastAsia" w:hAnsiTheme="minorEastAsia" w:hint="eastAsia"/>
              </w:rPr>
            </w:pPr>
            <w:r>
              <w:rPr>
                <w:rFonts w:asciiTheme="minorEastAsia" w:hAnsiTheme="minorEastAsia" w:hint="eastAsia"/>
              </w:rPr>
              <w:t>职务</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00BEB17" w14:textId="77777777" w:rsidR="001C2850" w:rsidRDefault="001C2850">
            <w:pPr>
              <w:spacing w:line="500" w:lineRule="exact"/>
              <w:rPr>
                <w:rFonts w:asciiTheme="minorEastAsia" w:hAnsiTheme="minorEastAsia" w:hint="eastAsia"/>
              </w:rPr>
            </w:pPr>
            <w:r>
              <w:rPr>
                <w:rFonts w:asciiTheme="minorEastAsia" w:hAnsiTheme="minorEastAsia" w:hint="eastAsia"/>
              </w:rPr>
              <w:t>项目经理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4468B7F" w14:textId="77777777" w:rsidR="001C2850" w:rsidRDefault="001C2850">
            <w:pPr>
              <w:spacing w:line="500" w:lineRule="exact"/>
              <w:rPr>
                <w:rFonts w:asciiTheme="minorEastAsia" w:hAnsiTheme="minorEastAsia" w:hint="eastAsia"/>
              </w:rPr>
            </w:pPr>
            <w:r>
              <w:rPr>
                <w:rFonts w:asciiTheme="minorEastAsia" w:hAnsiTheme="minorEastAsia" w:hint="eastAsia"/>
              </w:rPr>
              <w:t>职称</w:t>
            </w:r>
          </w:p>
          <w:p w14:paraId="0162858C" w14:textId="77777777" w:rsidR="001C2850" w:rsidRDefault="001C2850">
            <w:pPr>
              <w:spacing w:line="500" w:lineRule="exact"/>
              <w:rPr>
                <w:rFonts w:asciiTheme="minorEastAsia" w:hAnsiTheme="minorEastAsia" w:hint="eastAsia"/>
              </w:rPr>
            </w:pPr>
            <w:r>
              <w:rPr>
                <w:rFonts w:asciiTheme="minorEastAsia" w:hAnsiTheme="minorEastAsia" w:hint="eastAsia"/>
              </w:rPr>
              <w:t>执业资格</w:t>
            </w:r>
          </w:p>
        </w:tc>
        <w:tc>
          <w:tcPr>
            <w:tcW w:w="1303" w:type="dxa"/>
            <w:tcBorders>
              <w:top w:val="single" w:sz="4" w:space="0" w:color="auto"/>
              <w:left w:val="single" w:sz="4" w:space="0" w:color="auto"/>
              <w:bottom w:val="single" w:sz="4" w:space="0" w:color="auto"/>
              <w:right w:val="single" w:sz="4" w:space="0" w:color="auto"/>
            </w:tcBorders>
            <w:vAlign w:val="center"/>
            <w:hideMark/>
          </w:tcPr>
          <w:p w14:paraId="3BA9F705" w14:textId="77777777" w:rsidR="001C2850" w:rsidRDefault="001C2850">
            <w:pPr>
              <w:spacing w:line="500" w:lineRule="exact"/>
              <w:rPr>
                <w:rFonts w:asciiTheme="minorEastAsia" w:hAnsiTheme="minorEastAsia" w:hint="eastAsia"/>
              </w:rPr>
            </w:pPr>
            <w:r>
              <w:rPr>
                <w:rFonts w:asciiTheme="minorEastAsia" w:hAnsiTheme="minorEastAsia" w:hint="eastAsia"/>
              </w:rPr>
              <w:t>高级工程师</w:t>
            </w:r>
          </w:p>
        </w:tc>
        <w:tc>
          <w:tcPr>
            <w:tcW w:w="865" w:type="dxa"/>
            <w:tcBorders>
              <w:top w:val="single" w:sz="4" w:space="0" w:color="auto"/>
              <w:left w:val="single" w:sz="4" w:space="0" w:color="auto"/>
              <w:bottom w:val="single" w:sz="4" w:space="0" w:color="auto"/>
              <w:right w:val="single" w:sz="4" w:space="0" w:color="auto"/>
            </w:tcBorders>
            <w:vAlign w:val="center"/>
            <w:hideMark/>
          </w:tcPr>
          <w:p w14:paraId="02764646" w14:textId="77777777" w:rsidR="001C2850" w:rsidRDefault="001C2850">
            <w:pPr>
              <w:spacing w:line="500" w:lineRule="exact"/>
              <w:rPr>
                <w:rFonts w:asciiTheme="minorEastAsia" w:hAnsiTheme="minorEastAsia" w:hint="eastAsia"/>
              </w:rPr>
            </w:pPr>
            <w:r>
              <w:rPr>
                <w:rFonts w:asciiTheme="minorEastAsia" w:hAnsiTheme="minorEastAsia" w:hint="eastAsia"/>
              </w:rPr>
              <w:t>学历</w:t>
            </w:r>
          </w:p>
        </w:tc>
        <w:tc>
          <w:tcPr>
            <w:tcW w:w="1714" w:type="dxa"/>
            <w:tcBorders>
              <w:top w:val="single" w:sz="4" w:space="0" w:color="auto"/>
              <w:left w:val="single" w:sz="4" w:space="0" w:color="auto"/>
              <w:bottom w:val="single" w:sz="4" w:space="0" w:color="auto"/>
              <w:right w:val="single" w:sz="4" w:space="0" w:color="auto"/>
            </w:tcBorders>
            <w:vAlign w:val="center"/>
            <w:hideMark/>
          </w:tcPr>
          <w:p w14:paraId="0E72A700" w14:textId="77777777" w:rsidR="001C2850" w:rsidRDefault="001C2850">
            <w:pPr>
              <w:spacing w:line="500" w:lineRule="exact"/>
              <w:rPr>
                <w:rFonts w:asciiTheme="minorEastAsia" w:hAnsiTheme="minorEastAsia" w:hint="eastAsia"/>
              </w:rPr>
            </w:pPr>
            <w:r>
              <w:rPr>
                <w:rFonts w:asciiTheme="minorEastAsia" w:hAnsiTheme="minorEastAsia" w:hint="eastAsia"/>
              </w:rPr>
              <w:t>硕士</w:t>
            </w:r>
          </w:p>
        </w:tc>
      </w:tr>
      <w:tr w:rsidR="001C2850" w14:paraId="0452239C" w14:textId="77777777" w:rsidTr="001C2850">
        <w:trPr>
          <w:trHeight w:hRule="exact" w:val="1643"/>
          <w:jc w:val="center"/>
        </w:trPr>
        <w:tc>
          <w:tcPr>
            <w:tcW w:w="2155" w:type="dxa"/>
            <w:tcBorders>
              <w:top w:val="single" w:sz="4" w:space="0" w:color="auto"/>
              <w:left w:val="single" w:sz="4" w:space="0" w:color="auto"/>
              <w:bottom w:val="single" w:sz="4" w:space="0" w:color="auto"/>
              <w:right w:val="single" w:sz="4" w:space="0" w:color="auto"/>
            </w:tcBorders>
            <w:vAlign w:val="center"/>
          </w:tcPr>
          <w:p w14:paraId="69F15C39" w14:textId="77777777" w:rsidR="001C2850" w:rsidRDefault="001C2850">
            <w:pPr>
              <w:spacing w:line="500" w:lineRule="exact"/>
              <w:rPr>
                <w:rFonts w:asciiTheme="minorEastAsia" w:hAnsiTheme="minorEastAsia" w:hint="eastAsia"/>
              </w:rPr>
            </w:pPr>
          </w:p>
        </w:tc>
        <w:tc>
          <w:tcPr>
            <w:tcW w:w="2718" w:type="dxa"/>
            <w:gridSpan w:val="3"/>
            <w:tcBorders>
              <w:top w:val="single" w:sz="4" w:space="0" w:color="auto"/>
              <w:left w:val="single" w:sz="4" w:space="0" w:color="auto"/>
              <w:bottom w:val="single" w:sz="4" w:space="0" w:color="auto"/>
              <w:right w:val="single" w:sz="4" w:space="0" w:color="auto"/>
            </w:tcBorders>
            <w:vAlign w:val="center"/>
          </w:tcPr>
          <w:p w14:paraId="6B6BE453" w14:textId="77777777" w:rsidR="001C2850" w:rsidRDefault="001C2850">
            <w:pPr>
              <w:spacing w:line="500" w:lineRule="exact"/>
              <w:rPr>
                <w:rFonts w:asciiTheme="minorEastAsia" w:hAnsiTheme="minorEastAsia" w:hint="eastAsia"/>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5233A64" w14:textId="77777777" w:rsidR="001C2850" w:rsidRDefault="001C2850">
            <w:pPr>
              <w:spacing w:line="500" w:lineRule="exact"/>
              <w:rPr>
                <w:rFonts w:asciiTheme="minorEastAsia" w:hAnsiTheme="minorEastAsia" w:hint="eastAsia"/>
              </w:rPr>
            </w:pPr>
          </w:p>
        </w:tc>
        <w:tc>
          <w:tcPr>
            <w:tcW w:w="1714" w:type="dxa"/>
            <w:tcBorders>
              <w:top w:val="single" w:sz="4" w:space="0" w:color="auto"/>
              <w:left w:val="single" w:sz="4" w:space="0" w:color="auto"/>
              <w:bottom w:val="single" w:sz="4" w:space="0" w:color="auto"/>
              <w:right w:val="single" w:sz="4" w:space="0" w:color="auto"/>
            </w:tcBorders>
            <w:vAlign w:val="center"/>
          </w:tcPr>
          <w:p w14:paraId="5383DA14" w14:textId="77777777" w:rsidR="001C2850" w:rsidRDefault="001C2850">
            <w:pPr>
              <w:spacing w:line="500" w:lineRule="exact"/>
              <w:rPr>
                <w:rFonts w:asciiTheme="minorEastAsia" w:hAnsiTheme="minorEastAsia" w:hint="eastAsia"/>
              </w:rPr>
            </w:pPr>
          </w:p>
        </w:tc>
      </w:tr>
      <w:tr w:rsidR="001C2850" w14:paraId="78887651" w14:textId="77777777" w:rsidTr="001C2850">
        <w:trPr>
          <w:trHeight w:val="511"/>
          <w:jc w:val="center"/>
        </w:trPr>
        <w:tc>
          <w:tcPr>
            <w:tcW w:w="8755" w:type="dxa"/>
            <w:gridSpan w:val="7"/>
            <w:tcBorders>
              <w:top w:val="single" w:sz="4" w:space="0" w:color="auto"/>
              <w:left w:val="single" w:sz="4" w:space="0" w:color="auto"/>
              <w:bottom w:val="single" w:sz="4" w:space="0" w:color="auto"/>
              <w:right w:val="single" w:sz="4" w:space="0" w:color="auto"/>
            </w:tcBorders>
            <w:vAlign w:val="center"/>
          </w:tcPr>
          <w:p w14:paraId="5E2CD230" w14:textId="77777777" w:rsidR="001C2850" w:rsidRDefault="001C2850">
            <w:pPr>
              <w:spacing w:line="500" w:lineRule="exact"/>
              <w:jc w:val="center"/>
              <w:rPr>
                <w:rFonts w:asciiTheme="minorEastAsia" w:hAnsiTheme="minorEastAsia" w:hint="eastAsia"/>
              </w:rPr>
            </w:pPr>
          </w:p>
        </w:tc>
      </w:tr>
      <w:tr w:rsidR="001C2850" w14:paraId="25B2C789" w14:textId="77777777" w:rsidTr="001C2850">
        <w:trPr>
          <w:trHeight w:hRule="exact" w:val="1053"/>
          <w:jc w:val="center"/>
        </w:trPr>
        <w:tc>
          <w:tcPr>
            <w:tcW w:w="2155" w:type="dxa"/>
            <w:tcBorders>
              <w:top w:val="single" w:sz="4" w:space="0" w:color="auto"/>
              <w:left w:val="single" w:sz="4" w:space="0" w:color="auto"/>
              <w:bottom w:val="single" w:sz="4" w:space="0" w:color="auto"/>
              <w:right w:val="single" w:sz="4" w:space="0" w:color="auto"/>
            </w:tcBorders>
            <w:vAlign w:val="center"/>
          </w:tcPr>
          <w:p w14:paraId="262FFD6F" w14:textId="77777777" w:rsidR="001C2850" w:rsidRDefault="001C2850">
            <w:pPr>
              <w:spacing w:line="500" w:lineRule="exact"/>
              <w:rPr>
                <w:rFonts w:asciiTheme="minorEastAsia" w:hAnsiTheme="minorEastAsia" w:hint="eastAsia"/>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1A1A567B" w14:textId="77777777" w:rsidR="001C2850" w:rsidRDefault="001C2850">
            <w:pPr>
              <w:spacing w:line="500" w:lineRule="exact"/>
              <w:rPr>
                <w:rFonts w:asciiTheme="minorEastAsia" w:hAnsiTheme="minorEastAsia" w:hint="eastAsia"/>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7F746746" w14:textId="77777777" w:rsidR="001C2850" w:rsidRDefault="001C2850">
            <w:pPr>
              <w:spacing w:line="500" w:lineRule="exact"/>
              <w:rPr>
                <w:rFonts w:asciiTheme="minorEastAsia" w:hAnsiTheme="minorEastAsia" w:hint="eastAsia"/>
              </w:rPr>
            </w:pPr>
          </w:p>
        </w:tc>
        <w:tc>
          <w:tcPr>
            <w:tcW w:w="865" w:type="dxa"/>
            <w:tcBorders>
              <w:top w:val="single" w:sz="4" w:space="0" w:color="auto"/>
              <w:left w:val="single" w:sz="4" w:space="0" w:color="auto"/>
              <w:bottom w:val="single" w:sz="4" w:space="0" w:color="auto"/>
              <w:right w:val="single" w:sz="4" w:space="0" w:color="auto"/>
            </w:tcBorders>
            <w:vAlign w:val="center"/>
          </w:tcPr>
          <w:p w14:paraId="2FAAEA48" w14:textId="77777777" w:rsidR="001C2850" w:rsidRDefault="001C2850">
            <w:pPr>
              <w:spacing w:line="500" w:lineRule="exact"/>
              <w:rPr>
                <w:rFonts w:asciiTheme="minorEastAsia" w:hAnsiTheme="minorEastAsia" w:hint="eastAsia"/>
              </w:rPr>
            </w:pPr>
          </w:p>
        </w:tc>
        <w:tc>
          <w:tcPr>
            <w:tcW w:w="1714" w:type="dxa"/>
            <w:tcBorders>
              <w:top w:val="single" w:sz="4" w:space="0" w:color="auto"/>
              <w:left w:val="single" w:sz="4" w:space="0" w:color="auto"/>
              <w:bottom w:val="single" w:sz="4" w:space="0" w:color="auto"/>
              <w:right w:val="single" w:sz="4" w:space="0" w:color="auto"/>
            </w:tcBorders>
            <w:vAlign w:val="center"/>
          </w:tcPr>
          <w:p w14:paraId="4AEA9DC1" w14:textId="77777777" w:rsidR="001C2850" w:rsidRDefault="001C2850">
            <w:pPr>
              <w:spacing w:line="500" w:lineRule="exact"/>
              <w:rPr>
                <w:rFonts w:asciiTheme="minorEastAsia" w:hAnsiTheme="minorEastAsia" w:hint="eastAsia"/>
              </w:rPr>
            </w:pPr>
          </w:p>
        </w:tc>
      </w:tr>
      <w:tr w:rsidR="001C2850" w14:paraId="6C73A42B" w14:textId="77777777" w:rsidTr="001C2850">
        <w:trPr>
          <w:trHeight w:hRule="exact" w:val="3545"/>
          <w:jc w:val="center"/>
        </w:trPr>
        <w:tc>
          <w:tcPr>
            <w:tcW w:w="2155" w:type="dxa"/>
            <w:tcBorders>
              <w:top w:val="single" w:sz="4" w:space="0" w:color="auto"/>
              <w:left w:val="single" w:sz="4" w:space="0" w:color="auto"/>
              <w:bottom w:val="single" w:sz="4" w:space="0" w:color="auto"/>
              <w:right w:val="single" w:sz="4" w:space="0" w:color="auto"/>
            </w:tcBorders>
            <w:vAlign w:val="center"/>
          </w:tcPr>
          <w:p w14:paraId="569DA51D" w14:textId="77777777" w:rsidR="001C2850" w:rsidRDefault="001C2850">
            <w:pPr>
              <w:spacing w:line="500" w:lineRule="exact"/>
              <w:rPr>
                <w:rFonts w:asciiTheme="minorEastAsia" w:hAnsiTheme="minorEastAsia" w:hint="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8D43B46" w14:textId="77777777" w:rsidR="001C2850" w:rsidRDefault="001C2850">
            <w:pPr>
              <w:spacing w:line="500" w:lineRule="exact"/>
              <w:rPr>
                <w:rFonts w:asciiTheme="minorEastAsia" w:hAnsiTheme="minorEastAsia" w:hint="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00F2E24C" w14:textId="77777777" w:rsidR="001C2850" w:rsidRDefault="001C2850">
            <w:pPr>
              <w:spacing w:line="500" w:lineRule="exact"/>
              <w:rPr>
                <w:rFonts w:asciiTheme="minorEastAsia" w:hAnsiTheme="minorEastAsia" w:hint="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00E02673" w14:textId="77777777" w:rsidR="001C2850" w:rsidRDefault="001C2850">
            <w:pPr>
              <w:spacing w:line="500" w:lineRule="exact"/>
              <w:rPr>
                <w:rFonts w:asciiTheme="minorEastAsia" w:hAnsiTheme="minorEastAsia" w:hint="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322FBD08" w14:textId="77777777" w:rsidR="001C2850" w:rsidRDefault="001C2850">
            <w:pPr>
              <w:spacing w:line="500" w:lineRule="exact"/>
              <w:rPr>
                <w:rFonts w:asciiTheme="minorEastAsia" w:hAnsiTheme="minorEastAsia" w:hint="eastAsia"/>
                <w:sz w:val="18"/>
                <w:szCs w:val="18"/>
              </w:rPr>
            </w:pPr>
          </w:p>
        </w:tc>
      </w:tr>
      <w:tr w:rsidR="001C2850" w14:paraId="5FD2FA74" w14:textId="77777777" w:rsidTr="001C2850">
        <w:trPr>
          <w:trHeight w:hRule="exact" w:val="3256"/>
          <w:jc w:val="center"/>
        </w:trPr>
        <w:tc>
          <w:tcPr>
            <w:tcW w:w="2155" w:type="dxa"/>
            <w:tcBorders>
              <w:top w:val="single" w:sz="4" w:space="0" w:color="auto"/>
              <w:left w:val="single" w:sz="4" w:space="0" w:color="auto"/>
              <w:bottom w:val="single" w:sz="4" w:space="0" w:color="auto"/>
              <w:right w:val="single" w:sz="4" w:space="0" w:color="auto"/>
            </w:tcBorders>
            <w:vAlign w:val="center"/>
          </w:tcPr>
          <w:p w14:paraId="2B6E0962" w14:textId="77777777" w:rsidR="001C2850" w:rsidRDefault="001C2850">
            <w:pPr>
              <w:spacing w:line="500" w:lineRule="exact"/>
              <w:rPr>
                <w:rFonts w:asciiTheme="minorEastAsia" w:hAnsiTheme="minorEastAsia" w:hint="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376ACB4B" w14:textId="77777777" w:rsidR="001C2850" w:rsidRDefault="001C2850">
            <w:pPr>
              <w:spacing w:line="500" w:lineRule="exact"/>
              <w:rPr>
                <w:rFonts w:asciiTheme="minorEastAsia" w:hAnsiTheme="minorEastAsia" w:hint="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1705DC28" w14:textId="77777777" w:rsidR="001C2850" w:rsidRDefault="001C2850">
            <w:pPr>
              <w:spacing w:line="500" w:lineRule="exact"/>
              <w:rPr>
                <w:rFonts w:ascii="宋体" w:hAnsi="宋体" w:hint="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6DBB130" w14:textId="77777777" w:rsidR="001C2850" w:rsidRDefault="001C2850">
            <w:pPr>
              <w:spacing w:line="500" w:lineRule="exact"/>
              <w:rPr>
                <w:rFonts w:asciiTheme="minorEastAsia" w:hAnsiTheme="minorEastAsia" w:hint="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4529634A" w14:textId="77777777" w:rsidR="001C2850" w:rsidRDefault="001C2850">
            <w:pPr>
              <w:spacing w:line="500" w:lineRule="exact"/>
              <w:rPr>
                <w:rFonts w:asciiTheme="minorEastAsia" w:hAnsiTheme="minorEastAsia" w:hint="eastAsia"/>
                <w:sz w:val="18"/>
                <w:szCs w:val="18"/>
              </w:rPr>
            </w:pPr>
          </w:p>
        </w:tc>
      </w:tr>
      <w:tr w:rsidR="001C2850" w14:paraId="419F73B5" w14:textId="77777777" w:rsidTr="001C2850">
        <w:trPr>
          <w:trHeight w:hRule="exact" w:val="3980"/>
          <w:jc w:val="center"/>
        </w:trPr>
        <w:tc>
          <w:tcPr>
            <w:tcW w:w="2155" w:type="dxa"/>
            <w:tcBorders>
              <w:top w:val="single" w:sz="4" w:space="0" w:color="auto"/>
              <w:left w:val="single" w:sz="4" w:space="0" w:color="auto"/>
              <w:bottom w:val="single" w:sz="4" w:space="0" w:color="auto"/>
              <w:right w:val="single" w:sz="4" w:space="0" w:color="auto"/>
            </w:tcBorders>
            <w:vAlign w:val="center"/>
          </w:tcPr>
          <w:p w14:paraId="3BDF158C" w14:textId="77777777" w:rsidR="001C2850" w:rsidRDefault="001C2850">
            <w:pPr>
              <w:spacing w:line="500" w:lineRule="exact"/>
              <w:rPr>
                <w:rFonts w:asciiTheme="minorEastAsia" w:hAnsiTheme="minorEastAsia" w:hint="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84A7ACA" w14:textId="77777777" w:rsidR="001C2850" w:rsidRDefault="001C2850">
            <w:pPr>
              <w:spacing w:line="500" w:lineRule="exact"/>
              <w:rPr>
                <w:rFonts w:asciiTheme="minorEastAsia" w:hAnsiTheme="minorEastAsia" w:hint="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5C559CE7" w14:textId="77777777" w:rsidR="001C2850" w:rsidRDefault="001C2850">
            <w:pPr>
              <w:spacing w:line="500" w:lineRule="exact"/>
              <w:rPr>
                <w:rFonts w:asciiTheme="minorEastAsia" w:hAnsiTheme="minorEastAsia" w:hint="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B713E21" w14:textId="77777777" w:rsidR="001C2850" w:rsidRDefault="001C2850">
            <w:pPr>
              <w:spacing w:line="500" w:lineRule="exact"/>
              <w:rPr>
                <w:rFonts w:asciiTheme="minorEastAsia" w:hAnsiTheme="minorEastAsia" w:hint="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22696DA1" w14:textId="77777777" w:rsidR="001C2850" w:rsidRDefault="001C2850">
            <w:pPr>
              <w:spacing w:line="500" w:lineRule="exact"/>
              <w:rPr>
                <w:rFonts w:asciiTheme="minorEastAsia" w:hAnsiTheme="minorEastAsia" w:hint="eastAsia"/>
                <w:sz w:val="18"/>
                <w:szCs w:val="18"/>
              </w:rPr>
            </w:pPr>
          </w:p>
        </w:tc>
      </w:tr>
      <w:tr w:rsidR="001C2850" w14:paraId="2F18BE33" w14:textId="77777777" w:rsidTr="001C2850">
        <w:trPr>
          <w:trHeight w:hRule="exact" w:val="4262"/>
          <w:jc w:val="center"/>
        </w:trPr>
        <w:tc>
          <w:tcPr>
            <w:tcW w:w="2155" w:type="dxa"/>
            <w:tcBorders>
              <w:top w:val="single" w:sz="4" w:space="0" w:color="auto"/>
              <w:left w:val="single" w:sz="4" w:space="0" w:color="auto"/>
              <w:bottom w:val="single" w:sz="4" w:space="0" w:color="auto"/>
              <w:right w:val="single" w:sz="4" w:space="0" w:color="auto"/>
            </w:tcBorders>
            <w:vAlign w:val="center"/>
          </w:tcPr>
          <w:p w14:paraId="1D26C5C4" w14:textId="77777777" w:rsidR="001C2850" w:rsidRDefault="001C2850">
            <w:pPr>
              <w:spacing w:line="500" w:lineRule="exact"/>
              <w:rPr>
                <w:rFonts w:ascii="宋体" w:hAnsi="宋体" w:hint="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37DAFF7" w14:textId="77777777" w:rsidR="001C2850" w:rsidRDefault="001C2850">
            <w:pPr>
              <w:widowControl/>
              <w:jc w:val="left"/>
              <w:rPr>
                <w:rFonts w:ascii="宋体" w:eastAsia="宋体" w:hAnsi="宋体" w:cs="宋体" w:hint="eastAsia"/>
                <w:kern w:val="0"/>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37D486AD" w14:textId="77777777" w:rsidR="001C2850" w:rsidRDefault="001C2850">
            <w:pPr>
              <w:spacing w:line="500" w:lineRule="exact"/>
              <w:rPr>
                <w:rFonts w:ascii="宋体" w:hAnsi="宋体" w:hint="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6F3F5CB5" w14:textId="77777777" w:rsidR="001C2850" w:rsidRDefault="001C2850">
            <w:pPr>
              <w:spacing w:line="500" w:lineRule="exact"/>
              <w:rPr>
                <w:rFonts w:asciiTheme="minorEastAsia" w:hAnsiTheme="minorEastAsia" w:hint="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6CD47EFE" w14:textId="77777777" w:rsidR="001C2850" w:rsidRDefault="001C2850">
            <w:pPr>
              <w:spacing w:line="500" w:lineRule="exact"/>
              <w:rPr>
                <w:rFonts w:asciiTheme="minorEastAsia" w:hAnsiTheme="minorEastAsia" w:hint="eastAsia"/>
                <w:sz w:val="18"/>
                <w:szCs w:val="18"/>
              </w:rPr>
            </w:pPr>
          </w:p>
        </w:tc>
      </w:tr>
      <w:tr w:rsidR="001C2850" w14:paraId="094E94EB" w14:textId="77777777" w:rsidTr="001C2850">
        <w:trPr>
          <w:trHeight w:hRule="exact" w:val="2561"/>
          <w:jc w:val="center"/>
        </w:trPr>
        <w:tc>
          <w:tcPr>
            <w:tcW w:w="2155" w:type="dxa"/>
            <w:tcBorders>
              <w:top w:val="single" w:sz="4" w:space="0" w:color="auto"/>
              <w:left w:val="single" w:sz="4" w:space="0" w:color="auto"/>
              <w:bottom w:val="single" w:sz="4" w:space="0" w:color="auto"/>
              <w:right w:val="single" w:sz="4" w:space="0" w:color="auto"/>
            </w:tcBorders>
            <w:vAlign w:val="center"/>
          </w:tcPr>
          <w:p w14:paraId="634581F8" w14:textId="77777777" w:rsidR="001C2850" w:rsidRDefault="001C2850">
            <w:pPr>
              <w:spacing w:line="500" w:lineRule="exact"/>
              <w:rPr>
                <w:rFonts w:asciiTheme="minorEastAsia" w:hAnsiTheme="minorEastAsia" w:hint="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C97DFF5" w14:textId="77777777" w:rsidR="001C2850" w:rsidRDefault="001C2850">
            <w:pPr>
              <w:spacing w:line="500" w:lineRule="exact"/>
              <w:rPr>
                <w:rFonts w:ascii="宋体" w:eastAsia="宋体" w:hAnsi="宋体" w:cs="宋体" w:hint="eastAsia"/>
                <w:kern w:val="0"/>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6977A42D" w14:textId="77777777" w:rsidR="001C2850" w:rsidRDefault="001C2850">
            <w:pPr>
              <w:spacing w:line="500" w:lineRule="exact"/>
              <w:rPr>
                <w:rFonts w:asciiTheme="minorEastAsia" w:hAnsiTheme="minorEastAsia" w:hint="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2DE23B06" w14:textId="77777777" w:rsidR="001C2850" w:rsidRDefault="001C2850">
            <w:pPr>
              <w:spacing w:line="500" w:lineRule="exact"/>
              <w:rPr>
                <w:rFonts w:asciiTheme="minorEastAsia" w:hAnsiTheme="minorEastAsia" w:hint="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5AFF2580" w14:textId="77777777" w:rsidR="001C2850" w:rsidRDefault="001C2850">
            <w:pPr>
              <w:spacing w:line="500" w:lineRule="exact"/>
              <w:rPr>
                <w:rFonts w:asciiTheme="minorEastAsia" w:hAnsiTheme="minorEastAsia" w:hint="eastAsia"/>
                <w:sz w:val="18"/>
                <w:szCs w:val="18"/>
              </w:rPr>
            </w:pPr>
          </w:p>
        </w:tc>
      </w:tr>
      <w:tr w:rsidR="001C2850" w14:paraId="231ACA95" w14:textId="77777777" w:rsidTr="001C2850">
        <w:trPr>
          <w:trHeight w:hRule="exact" w:val="2682"/>
          <w:jc w:val="center"/>
        </w:trPr>
        <w:tc>
          <w:tcPr>
            <w:tcW w:w="2155" w:type="dxa"/>
            <w:tcBorders>
              <w:top w:val="single" w:sz="4" w:space="0" w:color="auto"/>
              <w:left w:val="single" w:sz="4" w:space="0" w:color="auto"/>
              <w:bottom w:val="single" w:sz="4" w:space="0" w:color="auto"/>
              <w:right w:val="single" w:sz="4" w:space="0" w:color="auto"/>
            </w:tcBorders>
            <w:vAlign w:val="center"/>
          </w:tcPr>
          <w:p w14:paraId="26B3A0B0" w14:textId="77777777" w:rsidR="001C2850" w:rsidRDefault="001C2850">
            <w:pPr>
              <w:spacing w:line="500" w:lineRule="exact"/>
              <w:rPr>
                <w:rFonts w:ascii="宋体" w:hAnsi="宋体" w:hint="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542844F2" w14:textId="77777777" w:rsidR="001C2850" w:rsidRDefault="001C2850">
            <w:pPr>
              <w:spacing w:line="500" w:lineRule="exact"/>
              <w:rPr>
                <w:rFonts w:ascii="宋体" w:hAnsi="宋体" w:hint="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27E9DCEB" w14:textId="77777777" w:rsidR="001C2850" w:rsidRDefault="001C2850">
            <w:pPr>
              <w:spacing w:line="500" w:lineRule="exact"/>
              <w:rPr>
                <w:rFonts w:ascii="宋体" w:hAnsi="宋体" w:hint="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1CCF784" w14:textId="77777777" w:rsidR="001C2850" w:rsidRDefault="001C2850">
            <w:pPr>
              <w:spacing w:line="500" w:lineRule="exact"/>
              <w:rPr>
                <w:rFonts w:ascii="宋体" w:hAnsi="宋体" w:hint="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3F405C1E" w14:textId="77777777" w:rsidR="001C2850" w:rsidRDefault="001C2850">
            <w:pPr>
              <w:spacing w:line="500" w:lineRule="exact"/>
              <w:rPr>
                <w:rFonts w:ascii="宋体" w:hAnsi="宋体" w:hint="eastAsia"/>
                <w:sz w:val="18"/>
                <w:szCs w:val="18"/>
              </w:rPr>
            </w:pPr>
          </w:p>
        </w:tc>
      </w:tr>
    </w:tbl>
    <w:p w14:paraId="55DA8E3E" w14:textId="77777777" w:rsidR="001C2850" w:rsidRDefault="001C2850" w:rsidP="00993831">
      <w:pPr>
        <w:rPr>
          <w:rFonts w:ascii="宋体" w:eastAsia="宋体" w:hAnsi="宋体" w:cs="Times New Roman" w:hint="eastAsia"/>
          <w:szCs w:val="21"/>
        </w:rPr>
      </w:pPr>
    </w:p>
    <w:p w14:paraId="3C8FD1BE" w14:textId="77777777" w:rsidR="001C2850" w:rsidRDefault="001C2850" w:rsidP="00993831">
      <w:pPr>
        <w:rPr>
          <w:rFonts w:ascii="宋体" w:eastAsia="宋体" w:hAnsi="宋体" w:cs="Times New Roman" w:hint="eastAsia"/>
        </w:rPr>
      </w:pPr>
    </w:p>
    <w:p w14:paraId="746E2B1B" w14:textId="77777777" w:rsidR="001C2850" w:rsidRDefault="001C2850" w:rsidP="00993831">
      <w:pPr>
        <w:rPr>
          <w:rFonts w:ascii="宋体" w:eastAsia="宋体" w:hAnsi="宋体" w:cs="Times New Roman" w:hint="eastAsia"/>
        </w:rPr>
      </w:pPr>
    </w:p>
    <w:p w14:paraId="417896C8" w14:textId="77777777" w:rsidR="001C2850" w:rsidRDefault="001C2850" w:rsidP="00993831">
      <w:pPr>
        <w:rPr>
          <w:rFonts w:ascii="宋体" w:eastAsia="宋体" w:hAnsi="宋体" w:cs="Times New Roman" w:hint="eastAsia"/>
        </w:rPr>
      </w:pPr>
    </w:p>
    <w:p w14:paraId="4A3D46C1" w14:textId="77777777" w:rsidR="001C2850" w:rsidRDefault="001C2850" w:rsidP="00993831">
      <w:pPr>
        <w:rPr>
          <w:rFonts w:ascii="宋体" w:eastAsia="宋体" w:hAnsi="宋体" w:cs="Times New Roman" w:hint="eastAsia"/>
        </w:rPr>
      </w:pPr>
    </w:p>
    <w:p w14:paraId="2BD03A9F" w14:textId="77777777" w:rsidR="001C2850" w:rsidRDefault="001C2850" w:rsidP="00993831">
      <w:pPr>
        <w:rPr>
          <w:rFonts w:ascii="宋体" w:eastAsia="宋体" w:hAnsi="宋体" w:cs="Times New Roman" w:hint="eastAsia"/>
        </w:rPr>
      </w:pPr>
    </w:p>
    <w:p w14:paraId="6E65BDCD" w14:textId="77777777" w:rsidR="001C2850" w:rsidRDefault="001C2850" w:rsidP="00993831">
      <w:pPr>
        <w:rPr>
          <w:rFonts w:ascii="宋体" w:eastAsia="宋体" w:hAnsi="宋体" w:cs="Times New Roman" w:hint="eastAsia"/>
        </w:rPr>
      </w:pPr>
    </w:p>
    <w:p w14:paraId="502F4BB8" w14:textId="77777777" w:rsidR="001C2850" w:rsidRDefault="001C2850" w:rsidP="00993831">
      <w:pPr>
        <w:rPr>
          <w:rFonts w:ascii="宋体" w:eastAsia="宋体" w:hAnsi="宋体" w:cs="Times New Roman" w:hint="eastAsia"/>
        </w:rPr>
      </w:pPr>
    </w:p>
    <w:p w14:paraId="4178C190" w14:textId="77777777" w:rsidR="001C2850" w:rsidRDefault="001C2850" w:rsidP="00993831">
      <w:pPr>
        <w:rPr>
          <w:rFonts w:ascii="宋体" w:eastAsia="宋体" w:hAnsi="宋体" w:cs="Times New Roman" w:hint="eastAsia"/>
        </w:rPr>
      </w:pPr>
    </w:p>
    <w:p w14:paraId="50A6847B" w14:textId="77777777" w:rsidR="001C2850" w:rsidRDefault="001C2850" w:rsidP="00993831">
      <w:pPr>
        <w:rPr>
          <w:rFonts w:ascii="宋体" w:eastAsia="宋体" w:hAnsi="宋体" w:cs="Times New Roman" w:hint="eastAsia"/>
        </w:rPr>
      </w:pPr>
    </w:p>
    <w:p w14:paraId="1F35545A" w14:textId="77777777" w:rsidR="001C2850" w:rsidRDefault="001C2850" w:rsidP="00993831">
      <w:pPr>
        <w:rPr>
          <w:rFonts w:ascii="宋体" w:eastAsia="宋体" w:hAnsi="宋体" w:cs="Times New Roman" w:hint="eastAsia"/>
        </w:rPr>
      </w:pPr>
    </w:p>
    <w:p w14:paraId="5BF1C939" w14:textId="77777777" w:rsidR="001C2850" w:rsidRDefault="001C2850" w:rsidP="00993831">
      <w:pPr>
        <w:rPr>
          <w:rFonts w:ascii="宋体" w:eastAsia="宋体" w:hAnsi="宋体" w:cs="Times New Roman" w:hint="eastAsia"/>
        </w:rPr>
      </w:pPr>
    </w:p>
    <w:p w14:paraId="65C18950" w14:textId="77777777" w:rsidR="001C2850" w:rsidRDefault="001C2850" w:rsidP="00993831">
      <w:pPr>
        <w:rPr>
          <w:rFonts w:ascii="宋体" w:eastAsia="宋体" w:hAnsi="宋体" w:cs="Times New Roman" w:hint="eastAsia"/>
        </w:rPr>
      </w:pPr>
    </w:p>
    <w:p w14:paraId="4CBDBAB2" w14:textId="77777777" w:rsidR="001C2850" w:rsidRDefault="001C2850" w:rsidP="00993831">
      <w:pPr>
        <w:rPr>
          <w:rFonts w:ascii="宋体" w:eastAsia="宋体" w:hAnsi="宋体" w:cs="Times New Roman" w:hint="eastAsia"/>
        </w:rPr>
      </w:pPr>
    </w:p>
    <w:p w14:paraId="25B02970" w14:textId="77777777" w:rsidR="001C2850" w:rsidRDefault="001C2850" w:rsidP="00993831">
      <w:pPr>
        <w:rPr>
          <w:rFonts w:ascii="宋体" w:eastAsia="宋体" w:hAnsi="宋体" w:cs="Times New Roman" w:hint="eastAsia"/>
        </w:rPr>
      </w:pPr>
    </w:p>
    <w:p w14:paraId="7232814E" w14:textId="77777777" w:rsidR="001C2850" w:rsidRDefault="001C2850" w:rsidP="00993831">
      <w:pPr>
        <w:rPr>
          <w:rFonts w:ascii="宋体" w:eastAsia="宋体" w:hAnsi="宋体" w:cs="Times New Roman" w:hint="eastAsia"/>
        </w:rPr>
      </w:pPr>
    </w:p>
    <w:p w14:paraId="16978274" w14:textId="77777777" w:rsidR="001C2850" w:rsidRDefault="001C2850" w:rsidP="00993831">
      <w:pPr>
        <w:rPr>
          <w:rFonts w:ascii="宋体" w:eastAsia="宋体" w:hAnsi="宋体" w:cs="Times New Roman" w:hint="eastAsia"/>
        </w:rPr>
      </w:pPr>
    </w:p>
    <w:p w14:paraId="4D744C05" w14:textId="77777777" w:rsidR="001C2850" w:rsidRDefault="001C2850" w:rsidP="00993831">
      <w:pPr>
        <w:adjustRightInd w:val="0"/>
        <w:snapToGrid w:val="0"/>
        <w:spacing w:line="360" w:lineRule="auto"/>
        <w:ind w:firstLineChars="100" w:firstLine="240"/>
        <w:rPr>
          <w:rFonts w:asciiTheme="minorEastAsia" w:hAnsiTheme="minorEastAsia" w:hint="eastAsia"/>
          <w:sz w:val="24"/>
        </w:rPr>
      </w:pPr>
    </w:p>
    <w:p w14:paraId="01953848" w14:textId="77777777" w:rsidR="001C2850" w:rsidRDefault="001C2850" w:rsidP="00993831">
      <w:pPr>
        <w:adjustRightInd w:val="0"/>
        <w:snapToGrid w:val="0"/>
        <w:spacing w:line="360" w:lineRule="auto"/>
        <w:ind w:firstLineChars="100" w:firstLine="240"/>
        <w:rPr>
          <w:rFonts w:asciiTheme="minorEastAsia" w:hAnsiTheme="minorEastAsia" w:hint="eastAsia"/>
          <w:sz w:val="24"/>
        </w:rPr>
      </w:pPr>
    </w:p>
    <w:p w14:paraId="549CDB2D" w14:textId="77777777" w:rsidR="001C2850" w:rsidRDefault="001C2850" w:rsidP="00993831">
      <w:pPr>
        <w:jc w:val="center"/>
        <w:rPr>
          <w:rFonts w:asciiTheme="minorEastAsia" w:hAnsiTheme="minorEastAsia" w:hint="eastAsia"/>
          <w:snapToGrid w:val="0"/>
          <w:color w:val="000000"/>
          <w:w w:val="1"/>
          <w:kern w:val="0"/>
          <w:sz w:val="2"/>
          <w:szCs w:val="2"/>
          <w:bdr w:val="none" w:sz="0" w:space="0" w:color="auto" w:frame="1"/>
          <w:shd w:val="clear" w:color="auto" w:fill="000000"/>
          <w:lang w:val="x-none" w:bidi="x-none"/>
        </w:rPr>
      </w:pPr>
    </w:p>
    <w:p w14:paraId="20912FF5" w14:textId="77777777" w:rsidR="001C2850" w:rsidRDefault="001C2850" w:rsidP="00993831">
      <w:pPr>
        <w:widowControl/>
        <w:jc w:val="left"/>
        <w:rPr>
          <w:rFonts w:hint="eastAsia"/>
          <w:szCs w:val="21"/>
        </w:rPr>
      </w:pPr>
      <w:r>
        <w:rPr>
          <w:kern w:val="0"/>
        </w:rPr>
        <w:br w:type="page"/>
      </w:r>
    </w:p>
    <w:p w14:paraId="1DE1F8D7" w14:textId="7CE98A70" w:rsidR="00993831" w:rsidRDefault="001C2850" w:rsidP="00993831">
      <w:pPr>
        <w:pStyle w:val="5"/>
        <w:rPr>
          <w:rFonts w:hint="eastAsia"/>
        </w:rPr>
      </w:pPr>
      <w:r>
        <w:rPr>
          <w:rFonts w:hint="eastAsia"/>
        </w:rPr>
        <w:lastRenderedPageBreak/>
        <w:t>***具体人员安排</w:t>
      </w:r>
      <w:bookmarkEnd w:id="20"/>
      <w:bookmarkEnd w:id="21"/>
    </w:p>
    <w:p w14:paraId="011413EB" w14:textId="0F61DA17" w:rsidR="00993831" w:rsidRPr="00993831" w:rsidRDefault="00993831" w:rsidP="00993831">
      <w:pPr>
        <w:ind w:firstLine="420"/>
        <w:rPr>
          <w:rFonts w:hint="eastAsia"/>
        </w:rPr>
      </w:pPr>
      <w:r w:rsidRPr="00993831">
        <w:rPr>
          <w:rFonts w:hint="eastAsia"/>
        </w:rPr>
        <w:t>针对该项目，我公司将发挥国家大型软件企业的优势，调动公司优秀技术人员相互配合，协同工作。为了保证应用集成中的各项工作能按期达到预定目标，公司将组成28人的项目队伍，包括1名项目经理、6人的咨询设计团队、10人系统开发团队、3人的质量保障团队、3人运营团队、5人的现场实施团队，并按照工作任务分类指定了相应的负责人。</w:t>
      </w:r>
      <w:bookmarkEnd w:id="14"/>
      <w:bookmarkEnd w:id="15"/>
      <w:bookmarkEnd w:id="16"/>
    </w:p>
    <w:p w14:paraId="7A4CE09B" w14:textId="77777777" w:rsidR="00993831" w:rsidRDefault="00993831" w:rsidP="00993831">
      <w:pPr>
        <w:widowControl/>
        <w:jc w:val="left"/>
        <w:rPr>
          <w:rFonts w:hint="eastAs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205"/>
        <w:gridCol w:w="1306"/>
        <w:gridCol w:w="1306"/>
        <w:gridCol w:w="1306"/>
        <w:gridCol w:w="2201"/>
      </w:tblGrid>
      <w:tr w:rsidR="00993831" w14:paraId="641AC6EC"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vAlign w:val="center"/>
            <w:hideMark/>
          </w:tcPr>
          <w:p w14:paraId="72518A06" w14:textId="77777777" w:rsidR="00993831" w:rsidRDefault="00993831">
            <w:pPr>
              <w:snapToGrid w:val="0"/>
              <w:jc w:val="center"/>
              <w:rPr>
                <w:rFonts w:asciiTheme="minorEastAsia" w:hAnsiTheme="minorEastAsia" w:hint="eastAsia"/>
                <w:b/>
                <w:bCs/>
                <w:sz w:val="24"/>
                <w:szCs w:val="24"/>
              </w:rPr>
            </w:pPr>
            <w:r>
              <w:rPr>
                <w:rFonts w:asciiTheme="minorEastAsia" w:hAnsiTheme="minorEastAsia" w:hint="eastAsia"/>
                <w:b/>
                <w:bCs/>
                <w:sz w:val="24"/>
                <w:szCs w:val="24"/>
              </w:rPr>
              <w:t>姓名</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D290D54" w14:textId="77777777" w:rsidR="00993831" w:rsidRDefault="00993831">
            <w:pPr>
              <w:snapToGrid w:val="0"/>
              <w:jc w:val="center"/>
              <w:rPr>
                <w:rFonts w:asciiTheme="minorEastAsia" w:hAnsiTheme="minorEastAsia" w:hint="eastAsia"/>
                <w:b/>
                <w:bCs/>
                <w:sz w:val="24"/>
                <w:szCs w:val="24"/>
              </w:rPr>
            </w:pPr>
            <w:r>
              <w:rPr>
                <w:rFonts w:asciiTheme="minorEastAsia" w:hAnsiTheme="minorEastAsia" w:hint="eastAsia"/>
                <w:b/>
                <w:bCs/>
                <w:sz w:val="24"/>
                <w:szCs w:val="24"/>
              </w:rPr>
              <w:t>岗位名称</w:t>
            </w:r>
          </w:p>
        </w:tc>
        <w:tc>
          <w:tcPr>
            <w:tcW w:w="678" w:type="pct"/>
            <w:tcBorders>
              <w:top w:val="single" w:sz="4" w:space="0" w:color="auto"/>
              <w:left w:val="single" w:sz="4" w:space="0" w:color="auto"/>
              <w:bottom w:val="single" w:sz="4" w:space="0" w:color="auto"/>
              <w:right w:val="single" w:sz="4" w:space="0" w:color="auto"/>
            </w:tcBorders>
            <w:vAlign w:val="center"/>
            <w:hideMark/>
          </w:tcPr>
          <w:p w14:paraId="6AF120CF" w14:textId="77777777" w:rsidR="00993831" w:rsidRDefault="00993831">
            <w:pPr>
              <w:snapToGrid w:val="0"/>
              <w:jc w:val="center"/>
              <w:rPr>
                <w:rFonts w:asciiTheme="minorEastAsia" w:hAnsiTheme="minorEastAsia" w:hint="eastAsia"/>
                <w:b/>
                <w:bCs/>
                <w:sz w:val="24"/>
                <w:szCs w:val="24"/>
              </w:rPr>
            </w:pPr>
            <w:r>
              <w:rPr>
                <w:rFonts w:asciiTheme="minorEastAsia" w:hAnsiTheme="minorEastAsia" w:hint="eastAsia"/>
                <w:b/>
                <w:bCs/>
                <w:sz w:val="24"/>
                <w:szCs w:val="24"/>
              </w:rPr>
              <w:t>年龄</w:t>
            </w:r>
          </w:p>
        </w:tc>
        <w:tc>
          <w:tcPr>
            <w:tcW w:w="678" w:type="pct"/>
            <w:tcBorders>
              <w:top w:val="single" w:sz="4" w:space="0" w:color="auto"/>
              <w:left w:val="single" w:sz="4" w:space="0" w:color="auto"/>
              <w:bottom w:val="single" w:sz="4" w:space="0" w:color="auto"/>
              <w:right w:val="single" w:sz="4" w:space="0" w:color="auto"/>
            </w:tcBorders>
            <w:vAlign w:val="center"/>
            <w:hideMark/>
          </w:tcPr>
          <w:p w14:paraId="3F84A879" w14:textId="77777777" w:rsidR="00993831" w:rsidRDefault="00993831">
            <w:pPr>
              <w:snapToGrid w:val="0"/>
              <w:jc w:val="center"/>
              <w:rPr>
                <w:rFonts w:asciiTheme="minorEastAsia" w:hAnsiTheme="minorEastAsia" w:hint="eastAsia"/>
                <w:b/>
                <w:bCs/>
                <w:sz w:val="24"/>
                <w:szCs w:val="24"/>
              </w:rPr>
            </w:pPr>
            <w:r>
              <w:rPr>
                <w:rFonts w:asciiTheme="minorEastAsia" w:hAnsiTheme="minorEastAsia" w:hint="eastAsia"/>
                <w:b/>
                <w:bCs/>
                <w:sz w:val="24"/>
                <w:szCs w:val="24"/>
              </w:rPr>
              <w:t>专业</w:t>
            </w:r>
          </w:p>
        </w:tc>
        <w:tc>
          <w:tcPr>
            <w:tcW w:w="678" w:type="pct"/>
            <w:tcBorders>
              <w:top w:val="single" w:sz="4" w:space="0" w:color="auto"/>
              <w:left w:val="single" w:sz="4" w:space="0" w:color="auto"/>
              <w:bottom w:val="single" w:sz="4" w:space="0" w:color="auto"/>
              <w:right w:val="single" w:sz="4" w:space="0" w:color="auto"/>
            </w:tcBorders>
            <w:vAlign w:val="center"/>
            <w:hideMark/>
          </w:tcPr>
          <w:p w14:paraId="5F400CC9" w14:textId="77777777" w:rsidR="00993831" w:rsidRDefault="00993831">
            <w:pPr>
              <w:snapToGrid w:val="0"/>
              <w:jc w:val="center"/>
              <w:rPr>
                <w:rFonts w:asciiTheme="minorEastAsia" w:hAnsiTheme="minorEastAsia" w:hint="eastAsia"/>
                <w:b/>
                <w:bCs/>
                <w:sz w:val="24"/>
                <w:szCs w:val="24"/>
              </w:rPr>
            </w:pPr>
            <w:r>
              <w:rPr>
                <w:rFonts w:asciiTheme="minorEastAsia" w:hAnsiTheme="minorEastAsia" w:hint="eastAsia"/>
                <w:b/>
                <w:bCs/>
                <w:sz w:val="24"/>
                <w:szCs w:val="24"/>
              </w:rPr>
              <w:t>职称</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7376B43" w14:textId="77777777" w:rsidR="00993831" w:rsidRDefault="00993831">
            <w:pPr>
              <w:snapToGrid w:val="0"/>
              <w:jc w:val="center"/>
              <w:rPr>
                <w:rFonts w:asciiTheme="minorEastAsia" w:hAnsiTheme="minorEastAsia" w:hint="eastAsia"/>
                <w:b/>
                <w:bCs/>
                <w:sz w:val="24"/>
                <w:szCs w:val="24"/>
              </w:rPr>
            </w:pPr>
            <w:r>
              <w:rPr>
                <w:rFonts w:asciiTheme="minorEastAsia" w:hAnsiTheme="minorEastAsia" w:hint="eastAsia"/>
                <w:b/>
                <w:bCs/>
                <w:sz w:val="24"/>
                <w:szCs w:val="24"/>
              </w:rPr>
              <w:t>执业资格</w:t>
            </w:r>
          </w:p>
        </w:tc>
      </w:tr>
      <w:tr w:rsidR="00993831" w14:paraId="770DFFB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24E46EA" w14:textId="5AF9460E" w:rsidR="00993831" w:rsidRDefault="00993831">
            <w:pPr>
              <w:spacing w:line="500" w:lineRule="exact"/>
              <w:rPr>
                <w:rFonts w:asciiTheme="minorEastAsia" w:hAnsiTheme="minorEastAsia" w:hint="eastAsia"/>
                <w:szCs w:val="21"/>
              </w:rPr>
            </w:pPr>
          </w:p>
        </w:tc>
        <w:tc>
          <w:tcPr>
            <w:tcW w:w="1145" w:type="pct"/>
            <w:tcBorders>
              <w:top w:val="single" w:sz="4" w:space="0" w:color="auto"/>
              <w:left w:val="single" w:sz="4" w:space="0" w:color="auto"/>
              <w:bottom w:val="single" w:sz="4" w:space="0" w:color="auto"/>
              <w:right w:val="single" w:sz="4" w:space="0" w:color="auto"/>
            </w:tcBorders>
          </w:tcPr>
          <w:p w14:paraId="40037086" w14:textId="3AA4AFCE"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F00A5B6" w14:textId="1EAF0021"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6E21993" w14:textId="33DC1F71"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1AFBE9CE"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D454FAA" w14:textId="77777777" w:rsidR="00993831" w:rsidRDefault="00993831">
            <w:pPr>
              <w:spacing w:line="500" w:lineRule="exact"/>
              <w:rPr>
                <w:rFonts w:asciiTheme="minorEastAsia" w:hAnsiTheme="minorEastAsia" w:hint="eastAsia"/>
              </w:rPr>
            </w:pPr>
          </w:p>
        </w:tc>
      </w:tr>
      <w:tr w:rsidR="00993831" w14:paraId="60B7776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F177926" w14:textId="464E9943"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728FA235" w14:textId="64665EC5"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B4ED1C1" w14:textId="58E1AAE8"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9D18E63" w14:textId="28016739"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7504B6D"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E6A57CF" w14:textId="77777777" w:rsidR="00993831" w:rsidRDefault="00993831">
            <w:pPr>
              <w:spacing w:line="500" w:lineRule="exact"/>
              <w:rPr>
                <w:rFonts w:asciiTheme="minorEastAsia" w:hAnsiTheme="minorEastAsia" w:hint="eastAsia"/>
              </w:rPr>
            </w:pPr>
          </w:p>
        </w:tc>
      </w:tr>
      <w:tr w:rsidR="00993831" w14:paraId="50C350A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96D07D4" w14:textId="1B9B0164"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6D2468D" w14:textId="4CA61C5D"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BE976DA" w14:textId="3974B08E"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68144B0" w14:textId="505A762E"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1834F652"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2DA6E39" w14:textId="77777777" w:rsidR="00993831" w:rsidRDefault="00993831">
            <w:pPr>
              <w:spacing w:line="500" w:lineRule="exact"/>
              <w:rPr>
                <w:rFonts w:asciiTheme="minorEastAsia" w:hAnsiTheme="minorEastAsia" w:hint="eastAsia"/>
              </w:rPr>
            </w:pPr>
          </w:p>
        </w:tc>
      </w:tr>
      <w:tr w:rsidR="00993831" w14:paraId="47765C4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FFA0F9A" w14:textId="174E4B55"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735673A" w14:textId="68C6378F"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6C605A6" w14:textId="6D657855"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5D36228" w14:textId="2491187F"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96982DB"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FCDDBCE" w14:textId="77777777" w:rsidR="00993831" w:rsidRDefault="00993831">
            <w:pPr>
              <w:spacing w:line="500" w:lineRule="exact"/>
              <w:rPr>
                <w:rFonts w:asciiTheme="minorEastAsia" w:hAnsiTheme="minorEastAsia" w:hint="eastAsia"/>
              </w:rPr>
            </w:pPr>
          </w:p>
        </w:tc>
      </w:tr>
      <w:tr w:rsidR="00993831" w14:paraId="5A42B3C2"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2BF061B" w14:textId="45F803AD"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155A0C62" w14:textId="6B5C10A9"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A99C586" w14:textId="4BA74703"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83B68D1" w14:textId="31ACC250"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A30EA2C"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2194886E" w14:textId="77777777" w:rsidR="00993831" w:rsidRDefault="00993831">
            <w:pPr>
              <w:spacing w:line="500" w:lineRule="exact"/>
              <w:rPr>
                <w:rFonts w:asciiTheme="minorEastAsia" w:hAnsiTheme="minorEastAsia" w:hint="eastAsia"/>
              </w:rPr>
            </w:pPr>
          </w:p>
        </w:tc>
      </w:tr>
      <w:tr w:rsidR="00993831" w14:paraId="4B477E87"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BF70479" w14:textId="2981DA9F"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5E737E7B" w14:textId="0439691B"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FC81D70" w14:textId="02EE1F74"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B1E029F" w14:textId="56B1ED6C"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19573254"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1328C91" w14:textId="77777777" w:rsidR="00993831" w:rsidRDefault="00993831">
            <w:pPr>
              <w:spacing w:line="500" w:lineRule="exact"/>
              <w:rPr>
                <w:rFonts w:asciiTheme="minorEastAsia" w:hAnsiTheme="minorEastAsia" w:hint="eastAsia"/>
              </w:rPr>
            </w:pPr>
          </w:p>
        </w:tc>
      </w:tr>
      <w:tr w:rsidR="00993831" w14:paraId="298548A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0CDD172" w14:textId="26B16818"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2E8B212" w14:textId="3B6EDA17"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4042418" w14:textId="03C86F9F"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DE99877" w14:textId="75ACDDDD"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58AEEDC"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1DFA61C3" w14:textId="77777777" w:rsidR="00993831" w:rsidRDefault="00993831">
            <w:pPr>
              <w:spacing w:line="500" w:lineRule="exact"/>
              <w:rPr>
                <w:rFonts w:asciiTheme="minorEastAsia" w:hAnsiTheme="minorEastAsia" w:hint="eastAsia"/>
              </w:rPr>
            </w:pPr>
          </w:p>
        </w:tc>
      </w:tr>
      <w:tr w:rsidR="00993831" w14:paraId="1155C14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9406409" w14:textId="0CF00569"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4AB0C5" w14:textId="508156E9"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6A6C4703" w14:textId="4F858663"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6ED28F0" w14:textId="7EF31BFC"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34859C6"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9A8F1EB" w14:textId="77777777" w:rsidR="00993831" w:rsidRDefault="00993831">
            <w:pPr>
              <w:spacing w:line="500" w:lineRule="exact"/>
              <w:rPr>
                <w:rFonts w:asciiTheme="minorEastAsia" w:hAnsiTheme="minorEastAsia" w:hint="eastAsia"/>
              </w:rPr>
            </w:pPr>
          </w:p>
        </w:tc>
      </w:tr>
      <w:tr w:rsidR="00993831" w14:paraId="2B70F1D9"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1E492C4" w14:textId="71470952"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58DF381A" w14:textId="75A25FED"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0678218E" w14:textId="435A2DF8"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9ABEB79" w14:textId="6F0C3BAC"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3756536"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29B8A3CE" w14:textId="77777777" w:rsidR="00993831" w:rsidRDefault="00993831">
            <w:pPr>
              <w:spacing w:line="500" w:lineRule="exact"/>
              <w:rPr>
                <w:rFonts w:asciiTheme="minorEastAsia" w:hAnsiTheme="minorEastAsia" w:hint="eastAsia"/>
              </w:rPr>
            </w:pPr>
          </w:p>
        </w:tc>
      </w:tr>
      <w:tr w:rsidR="00993831" w14:paraId="5070D05E"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6FAEDC5" w14:textId="1F3700D3"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0380738A" w14:textId="6057B13B"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1DD27DB" w14:textId="4BE30C32"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C4EFBA3" w14:textId="4D3D834D"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D187874"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7ED1C49E" w14:textId="77777777" w:rsidR="00993831" w:rsidRDefault="00993831">
            <w:pPr>
              <w:spacing w:line="500" w:lineRule="exact"/>
              <w:rPr>
                <w:rFonts w:asciiTheme="minorEastAsia" w:hAnsiTheme="minorEastAsia" w:hint="eastAsia"/>
              </w:rPr>
            </w:pPr>
          </w:p>
        </w:tc>
      </w:tr>
      <w:tr w:rsidR="00993831" w14:paraId="4AD098E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2F68071" w14:textId="19A4AA65"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15AA1DCF" w14:textId="34BB89DD"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A464EDD" w14:textId="2B4FF01E"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64C44C2" w14:textId="1C2750B5"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6F6A377"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5EE9CFAA" w14:textId="77777777" w:rsidR="00993831" w:rsidRDefault="00993831">
            <w:pPr>
              <w:spacing w:line="500" w:lineRule="exact"/>
              <w:rPr>
                <w:rFonts w:asciiTheme="minorEastAsia" w:hAnsiTheme="minorEastAsia" w:hint="eastAsia"/>
              </w:rPr>
            </w:pPr>
          </w:p>
        </w:tc>
      </w:tr>
      <w:tr w:rsidR="00993831" w14:paraId="1D4BAA16"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F85CDB3" w14:textId="12D84394"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0B311D54" w14:textId="32FF9A89"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63ED60F" w14:textId="21EA4256"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3A706A4" w14:textId="5D29A6A0" w:rsidR="00993831" w:rsidRDefault="00993831">
            <w:pPr>
              <w:widowControl/>
              <w:jc w:val="left"/>
              <w:rPr>
                <w:rFonts w:asciiTheme="minorEastAsia" w:hAnsiTheme="minorEastAsia" w:cs="宋体" w:hint="eastAsia"/>
                <w:kern w:val="0"/>
              </w:rPr>
            </w:pPr>
          </w:p>
        </w:tc>
        <w:tc>
          <w:tcPr>
            <w:tcW w:w="678" w:type="pct"/>
            <w:tcBorders>
              <w:top w:val="single" w:sz="4" w:space="0" w:color="auto"/>
              <w:left w:val="single" w:sz="4" w:space="0" w:color="auto"/>
              <w:bottom w:val="single" w:sz="4" w:space="0" w:color="auto"/>
              <w:right w:val="single" w:sz="4" w:space="0" w:color="auto"/>
            </w:tcBorders>
          </w:tcPr>
          <w:p w14:paraId="19B6B1E6"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10D382C0" w14:textId="77777777" w:rsidR="00993831" w:rsidRDefault="00993831">
            <w:pPr>
              <w:spacing w:line="500" w:lineRule="exact"/>
              <w:rPr>
                <w:rFonts w:asciiTheme="minorEastAsia" w:hAnsiTheme="minorEastAsia" w:hint="eastAsia"/>
              </w:rPr>
            </w:pPr>
          </w:p>
        </w:tc>
      </w:tr>
      <w:tr w:rsidR="00993831" w14:paraId="222A09B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AC8D984" w14:textId="63A04C1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064DA0C1" w14:textId="2D81B242"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B1CD311" w14:textId="15EFD9C2"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BDA33E7" w14:textId="0DA53506" w:rsidR="00993831" w:rsidRDefault="00993831">
            <w:pPr>
              <w:widowControl/>
              <w:jc w:val="left"/>
              <w:rPr>
                <w:rFonts w:asciiTheme="minorEastAsia" w:hAnsiTheme="minorEastAsia" w:cs="宋体" w:hint="eastAsia"/>
                <w:kern w:val="0"/>
              </w:rPr>
            </w:pPr>
          </w:p>
        </w:tc>
        <w:tc>
          <w:tcPr>
            <w:tcW w:w="678" w:type="pct"/>
            <w:tcBorders>
              <w:top w:val="single" w:sz="4" w:space="0" w:color="auto"/>
              <w:left w:val="single" w:sz="4" w:space="0" w:color="auto"/>
              <w:bottom w:val="single" w:sz="4" w:space="0" w:color="auto"/>
              <w:right w:val="single" w:sz="4" w:space="0" w:color="auto"/>
            </w:tcBorders>
          </w:tcPr>
          <w:p w14:paraId="0D060128"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3A672603" w14:textId="77777777" w:rsidR="00993831" w:rsidRDefault="00993831">
            <w:pPr>
              <w:spacing w:line="500" w:lineRule="exact"/>
              <w:rPr>
                <w:rFonts w:asciiTheme="minorEastAsia" w:hAnsiTheme="minorEastAsia" w:hint="eastAsia"/>
              </w:rPr>
            </w:pPr>
          </w:p>
        </w:tc>
      </w:tr>
      <w:tr w:rsidR="00993831" w14:paraId="4A9E789D"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1C2CBE1" w14:textId="6636E0CC"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691444E3" w14:textId="32619FA9"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49A3A39D" w14:textId="2395516E"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5C88E23" w14:textId="1793FE73" w:rsidR="00993831" w:rsidRDefault="00993831">
            <w:pPr>
              <w:widowControl/>
              <w:jc w:val="left"/>
              <w:rPr>
                <w:rFonts w:asciiTheme="minorEastAsia" w:hAnsiTheme="minorEastAsia" w:cs="宋体" w:hint="eastAsia"/>
                <w:kern w:val="0"/>
              </w:rPr>
            </w:pPr>
          </w:p>
        </w:tc>
        <w:tc>
          <w:tcPr>
            <w:tcW w:w="678" w:type="pct"/>
            <w:tcBorders>
              <w:top w:val="single" w:sz="4" w:space="0" w:color="auto"/>
              <w:left w:val="single" w:sz="4" w:space="0" w:color="auto"/>
              <w:bottom w:val="single" w:sz="4" w:space="0" w:color="auto"/>
              <w:right w:val="single" w:sz="4" w:space="0" w:color="auto"/>
            </w:tcBorders>
          </w:tcPr>
          <w:p w14:paraId="1A018EDD"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8D265F6" w14:textId="77777777" w:rsidR="00993831" w:rsidRDefault="00993831">
            <w:pPr>
              <w:spacing w:line="500" w:lineRule="exact"/>
              <w:rPr>
                <w:rFonts w:asciiTheme="minorEastAsia" w:hAnsiTheme="minorEastAsia" w:hint="eastAsia"/>
              </w:rPr>
            </w:pPr>
          </w:p>
        </w:tc>
      </w:tr>
      <w:tr w:rsidR="00993831" w14:paraId="2C4C533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C860E9B" w14:textId="1DE945AC"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DEB158A" w14:textId="6AFA4300"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3EA6490B" w14:textId="526E4281"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C4CF2DB" w14:textId="625ADA1C"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F0D7673"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2861123" w14:textId="77777777" w:rsidR="00993831" w:rsidRDefault="00993831">
            <w:pPr>
              <w:spacing w:line="500" w:lineRule="exact"/>
              <w:rPr>
                <w:rFonts w:asciiTheme="minorEastAsia" w:hAnsiTheme="minorEastAsia" w:hint="eastAsia"/>
              </w:rPr>
            </w:pPr>
          </w:p>
        </w:tc>
      </w:tr>
      <w:tr w:rsidR="00993831" w14:paraId="6E6C0434"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72052B9" w14:textId="42B1E002"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E124777" w14:textId="723DAA0E"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1E4C8C48" w14:textId="5EDD7E28"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9AE56EE" w14:textId="192295E7"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049F22E"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1FDCA328" w14:textId="77777777" w:rsidR="00993831" w:rsidRDefault="00993831">
            <w:pPr>
              <w:spacing w:line="500" w:lineRule="exact"/>
              <w:rPr>
                <w:rFonts w:asciiTheme="minorEastAsia" w:hAnsiTheme="minorEastAsia" w:hint="eastAsia"/>
              </w:rPr>
            </w:pPr>
          </w:p>
        </w:tc>
      </w:tr>
      <w:tr w:rsidR="00993831" w14:paraId="40525E90"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0EA3474" w14:textId="4930BCC4"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3EB1FD4" w14:textId="794AE499"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1E30F21E" w14:textId="33EF2AD4"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6C5242A" w14:textId="3CEB8F8F"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4095318"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54C5B8E0" w14:textId="77777777" w:rsidR="00993831" w:rsidRDefault="00993831">
            <w:pPr>
              <w:spacing w:line="500" w:lineRule="exact"/>
              <w:rPr>
                <w:rFonts w:asciiTheme="minorEastAsia" w:hAnsiTheme="minorEastAsia" w:hint="eastAsia"/>
              </w:rPr>
            </w:pPr>
          </w:p>
        </w:tc>
      </w:tr>
      <w:tr w:rsidR="00993831" w14:paraId="734736D9"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3029773" w14:textId="38A7C4E4"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0578E827" w14:textId="23380F18"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0A6EDDB0" w14:textId="71B76203"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A3B6148" w14:textId="6DC6765B"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30FF7C6"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06A140FF" w14:textId="77777777" w:rsidR="00993831" w:rsidRDefault="00993831">
            <w:pPr>
              <w:spacing w:line="500" w:lineRule="exact"/>
              <w:rPr>
                <w:rFonts w:asciiTheme="minorEastAsia" w:hAnsiTheme="minorEastAsia" w:hint="eastAsia"/>
              </w:rPr>
            </w:pPr>
          </w:p>
        </w:tc>
      </w:tr>
      <w:tr w:rsidR="00993831" w14:paraId="3EF4D39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E10163A" w14:textId="06347491"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1A31580F" w14:textId="67B0D6FC"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720BF8A2" w14:textId="06E704D3"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04E601A" w14:textId="17392903" w:rsidR="00993831" w:rsidRDefault="00993831">
            <w:pPr>
              <w:widowControl/>
              <w:jc w:val="left"/>
              <w:rPr>
                <w:rFonts w:asciiTheme="minorEastAsia" w:hAnsiTheme="minorEastAsia" w:cs="宋体" w:hint="eastAsia"/>
                <w:kern w:val="0"/>
              </w:rPr>
            </w:pPr>
          </w:p>
        </w:tc>
        <w:tc>
          <w:tcPr>
            <w:tcW w:w="678" w:type="pct"/>
            <w:tcBorders>
              <w:top w:val="single" w:sz="4" w:space="0" w:color="auto"/>
              <w:left w:val="single" w:sz="4" w:space="0" w:color="auto"/>
              <w:bottom w:val="single" w:sz="4" w:space="0" w:color="auto"/>
              <w:right w:val="single" w:sz="4" w:space="0" w:color="auto"/>
            </w:tcBorders>
          </w:tcPr>
          <w:p w14:paraId="69C9AC05"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78D92F34" w14:textId="77777777" w:rsidR="00993831" w:rsidRDefault="00993831">
            <w:pPr>
              <w:spacing w:line="500" w:lineRule="exact"/>
              <w:rPr>
                <w:rFonts w:asciiTheme="minorEastAsia" w:hAnsiTheme="minorEastAsia" w:hint="eastAsia"/>
              </w:rPr>
            </w:pPr>
          </w:p>
        </w:tc>
      </w:tr>
      <w:tr w:rsidR="00993831" w14:paraId="6714DC3D"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5166A292" w14:textId="5AD26B81" w:rsidR="00993831" w:rsidRDefault="00993831">
            <w:pPr>
              <w:spacing w:line="500" w:lineRule="exact"/>
              <w:rPr>
                <w:rStyle w:val="a7"/>
                <w:rFonts w:hint="eastAsia"/>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69779CE5" w14:textId="275AA0AA"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2CCADF93" w14:textId="36B05FDE"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DEFD0D5" w14:textId="25688B2F"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742B71B0"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41B565F2" w14:textId="77777777" w:rsidR="00993831" w:rsidRDefault="00993831">
            <w:pPr>
              <w:spacing w:line="500" w:lineRule="exact"/>
              <w:rPr>
                <w:rFonts w:asciiTheme="minorEastAsia" w:hAnsiTheme="minorEastAsia" w:hint="eastAsia"/>
              </w:rPr>
            </w:pPr>
          </w:p>
        </w:tc>
      </w:tr>
      <w:tr w:rsidR="00993831" w14:paraId="4AF84865"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651FC82" w14:textId="3E6C61C2" w:rsidR="00993831" w:rsidRDefault="00993831">
            <w:pPr>
              <w:spacing w:line="500" w:lineRule="exact"/>
              <w:rPr>
                <w:rStyle w:val="a7"/>
                <w:rFonts w:hint="eastAsia"/>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250D3BB" w14:textId="15822FB1"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61D771DE" w14:textId="3ADB98D0"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1382FB0" w14:textId="55731438"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038A24D8"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5B424E5" w14:textId="77777777" w:rsidR="00993831" w:rsidRDefault="00993831">
            <w:pPr>
              <w:spacing w:line="500" w:lineRule="exact"/>
              <w:rPr>
                <w:rFonts w:asciiTheme="minorEastAsia" w:hAnsiTheme="minorEastAsia" w:hint="eastAsia"/>
              </w:rPr>
            </w:pPr>
          </w:p>
        </w:tc>
      </w:tr>
      <w:tr w:rsidR="00993831" w14:paraId="2DA0BEA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1FE376A" w14:textId="0DEE9D7C" w:rsidR="00993831" w:rsidRDefault="00993831">
            <w:pPr>
              <w:spacing w:line="500" w:lineRule="exact"/>
              <w:rPr>
                <w:rStyle w:val="a7"/>
                <w:rFonts w:hint="eastAsia"/>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00A0A67E" w14:textId="61C2EC42"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2E1FE01B" w14:textId="16089182"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17E5255C" w14:textId="5EEF1BC1"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CD6E638"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B4ABF7B" w14:textId="77777777" w:rsidR="00993831" w:rsidRDefault="00993831">
            <w:pPr>
              <w:spacing w:line="500" w:lineRule="exact"/>
              <w:rPr>
                <w:rFonts w:asciiTheme="minorEastAsia" w:hAnsiTheme="minorEastAsia" w:hint="eastAsia"/>
              </w:rPr>
            </w:pPr>
          </w:p>
        </w:tc>
      </w:tr>
      <w:tr w:rsidR="00993831" w14:paraId="20D3591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ABE0487" w14:textId="00B94CF9"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C060F2" w14:textId="40290533"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0D53FCB5" w14:textId="58DD62ED"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A126898" w14:textId="161C5B0B"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5F437BF0"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3AF69588" w14:textId="77777777" w:rsidR="00993831" w:rsidRDefault="00993831">
            <w:pPr>
              <w:spacing w:line="500" w:lineRule="exact"/>
              <w:rPr>
                <w:rFonts w:asciiTheme="minorEastAsia" w:hAnsiTheme="minorEastAsia" w:hint="eastAsia"/>
              </w:rPr>
            </w:pPr>
          </w:p>
        </w:tc>
      </w:tr>
      <w:tr w:rsidR="00993831" w14:paraId="2AABD0CE"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70DF3FD" w14:textId="5EE9CCEB"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1D561DEF" w14:textId="08BD3D6A"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0BC71851" w14:textId="7B41072D"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FFCA1A2" w14:textId="5FCA9EF5"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9D1A542"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0ABDB3EA" w14:textId="77777777" w:rsidR="00993831" w:rsidRDefault="00993831">
            <w:pPr>
              <w:spacing w:line="500" w:lineRule="exact"/>
              <w:rPr>
                <w:rFonts w:asciiTheme="minorEastAsia" w:hAnsiTheme="minorEastAsia" w:hint="eastAsia"/>
              </w:rPr>
            </w:pPr>
          </w:p>
        </w:tc>
      </w:tr>
      <w:tr w:rsidR="00993831" w14:paraId="4C786852"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C763C8A" w14:textId="775D1936"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EFD3B77" w14:textId="6D191C3C"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53DF536B" w14:textId="76887C65"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39900E35" w14:textId="4A67432A"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667DD507"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04625C37" w14:textId="77777777" w:rsidR="00993831" w:rsidRDefault="00993831">
            <w:pPr>
              <w:spacing w:line="500" w:lineRule="exact"/>
              <w:rPr>
                <w:rFonts w:asciiTheme="minorEastAsia" w:hAnsiTheme="minorEastAsia" w:hint="eastAsia"/>
              </w:rPr>
            </w:pPr>
          </w:p>
        </w:tc>
      </w:tr>
      <w:tr w:rsidR="00993831" w14:paraId="4007E4DB"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246F06C" w14:textId="741FE022"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8248E2" w14:textId="1D5229F2"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3F32E449" w14:textId="2E62BF50"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1E6CAAB9" w14:textId="499D30B7"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49DE4BC1"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700D0F11" w14:textId="77777777" w:rsidR="00993831" w:rsidRDefault="00993831">
            <w:pPr>
              <w:spacing w:line="500" w:lineRule="exact"/>
              <w:rPr>
                <w:rFonts w:asciiTheme="minorEastAsia" w:hAnsiTheme="minorEastAsia" w:hint="eastAsia"/>
              </w:rPr>
            </w:pPr>
          </w:p>
        </w:tc>
      </w:tr>
      <w:tr w:rsidR="00993831" w14:paraId="7E9B00F0"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9E36BC5" w14:textId="29ED88F1" w:rsidR="00993831" w:rsidRDefault="00993831">
            <w:pPr>
              <w:spacing w:line="500" w:lineRule="exact"/>
              <w:rPr>
                <w:rStyle w:val="a7"/>
                <w:rFonts w:hint="eastAsia"/>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4AA1F9B" w14:textId="7A4E53B0" w:rsidR="00993831" w:rsidRDefault="00993831">
            <w:pPr>
              <w:spacing w:line="500" w:lineRule="exact"/>
              <w:rPr>
                <w:rFonts w:hint="eastAsia"/>
              </w:rPr>
            </w:pPr>
          </w:p>
        </w:tc>
        <w:tc>
          <w:tcPr>
            <w:tcW w:w="678" w:type="pct"/>
            <w:tcBorders>
              <w:top w:val="single" w:sz="4" w:space="0" w:color="auto"/>
              <w:left w:val="single" w:sz="4" w:space="0" w:color="auto"/>
              <w:bottom w:val="single" w:sz="4" w:space="0" w:color="auto"/>
              <w:right w:val="single" w:sz="4" w:space="0" w:color="auto"/>
            </w:tcBorders>
          </w:tcPr>
          <w:p w14:paraId="3D8B829B" w14:textId="74EB19EB"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C1E538B" w14:textId="05E6738A" w:rsidR="00993831" w:rsidRDefault="00993831">
            <w:pPr>
              <w:spacing w:line="500" w:lineRule="exact"/>
              <w:rPr>
                <w:rFonts w:asciiTheme="minorEastAsia" w:hAnsiTheme="minorEastAsia" w:hint="eastAsia"/>
              </w:rPr>
            </w:pPr>
          </w:p>
        </w:tc>
        <w:tc>
          <w:tcPr>
            <w:tcW w:w="678" w:type="pct"/>
            <w:tcBorders>
              <w:top w:val="single" w:sz="4" w:space="0" w:color="auto"/>
              <w:left w:val="single" w:sz="4" w:space="0" w:color="auto"/>
              <w:bottom w:val="single" w:sz="4" w:space="0" w:color="auto"/>
              <w:right w:val="single" w:sz="4" w:space="0" w:color="auto"/>
            </w:tcBorders>
          </w:tcPr>
          <w:p w14:paraId="2277D02B" w14:textId="77777777" w:rsidR="00993831" w:rsidRDefault="00993831">
            <w:pPr>
              <w:spacing w:line="500" w:lineRule="exact"/>
              <w:rPr>
                <w:rFonts w:asciiTheme="minorEastAsia" w:hAnsiTheme="minorEastAsia" w:hint="eastAsia"/>
              </w:rPr>
            </w:pPr>
          </w:p>
        </w:tc>
        <w:tc>
          <w:tcPr>
            <w:tcW w:w="1145" w:type="pct"/>
            <w:tcBorders>
              <w:top w:val="single" w:sz="4" w:space="0" w:color="auto"/>
              <w:left w:val="single" w:sz="4" w:space="0" w:color="auto"/>
              <w:bottom w:val="single" w:sz="4" w:space="0" w:color="auto"/>
              <w:right w:val="single" w:sz="4" w:space="0" w:color="auto"/>
            </w:tcBorders>
          </w:tcPr>
          <w:p w14:paraId="6979BED6" w14:textId="77777777" w:rsidR="00993831" w:rsidRDefault="00993831">
            <w:pPr>
              <w:spacing w:line="500" w:lineRule="exact"/>
              <w:rPr>
                <w:rFonts w:asciiTheme="minorEastAsia" w:hAnsiTheme="minorEastAsia" w:hint="eastAsia"/>
              </w:rPr>
            </w:pPr>
          </w:p>
        </w:tc>
      </w:tr>
    </w:tbl>
    <w:p w14:paraId="1B7FF84B" w14:textId="77777777" w:rsidR="00993831" w:rsidRDefault="00993831" w:rsidP="00993831">
      <w:pPr>
        <w:widowControl/>
        <w:jc w:val="left"/>
        <w:rPr>
          <w:rFonts w:ascii="Times New Roman" w:eastAsia="黑体" w:hAnsi="Times New Roman" w:cs="Times New Roman"/>
          <w:b/>
          <w:bCs/>
          <w:sz w:val="28"/>
          <w:szCs w:val="28"/>
          <w:lang w:val="zh-CN"/>
        </w:rPr>
      </w:pPr>
    </w:p>
    <w:p w14:paraId="17650787" w14:textId="77777777" w:rsidR="00993831" w:rsidRDefault="00993831" w:rsidP="00993831">
      <w:pPr>
        <w:widowControl/>
        <w:jc w:val="left"/>
        <w:rPr>
          <w:rFonts w:ascii="Times New Roman" w:eastAsia="黑体" w:hAnsi="Times New Roman" w:cs="Times New Roman"/>
          <w:b/>
          <w:bCs/>
          <w:sz w:val="28"/>
          <w:szCs w:val="28"/>
          <w:lang w:val="zh-CN"/>
        </w:rPr>
      </w:pPr>
    </w:p>
    <w:p w14:paraId="19DE74F3" w14:textId="77777777" w:rsidR="00993831" w:rsidRDefault="00993831" w:rsidP="00993831">
      <w:pPr>
        <w:widowControl/>
        <w:jc w:val="left"/>
        <w:rPr>
          <w:rFonts w:ascii="Times New Roman" w:eastAsia="黑体" w:hAnsi="Times New Roman" w:cs="Times New Roman"/>
          <w:b/>
          <w:bCs/>
          <w:sz w:val="28"/>
          <w:szCs w:val="28"/>
          <w:lang w:val="zh-CN"/>
        </w:rPr>
      </w:pPr>
    </w:p>
    <w:p w14:paraId="06395CE2" w14:textId="624F091A" w:rsidR="00993831" w:rsidRDefault="00E752DD" w:rsidP="00993831">
      <w:pPr>
        <w:pStyle w:val="6"/>
        <w:rPr>
          <w:rFonts w:hint="eastAsia"/>
        </w:rPr>
      </w:pPr>
      <w:r>
        <w:rPr>
          <w:rFonts w:hint="eastAsia"/>
        </w:rPr>
        <w:t>***</w:t>
      </w:r>
      <w:r w:rsidR="00993831" w:rsidRPr="00993831">
        <w:rPr>
          <w:rFonts w:hint="eastAsia"/>
        </w:rPr>
        <w:t>项目主要技术人员</w:t>
      </w:r>
    </w:p>
    <w:p w14:paraId="07169045" w14:textId="4A186C64" w:rsidR="00E752DD" w:rsidRDefault="00E752DD" w:rsidP="00E752DD">
      <w:pPr>
        <w:pStyle w:val="7"/>
        <w:rPr>
          <w:rFonts w:hint="eastAsia"/>
        </w:rPr>
      </w:pPr>
      <w:r>
        <w:rPr>
          <w:rFonts w:hint="eastAsia"/>
        </w:rPr>
        <w:t>人员A</w:t>
      </w:r>
    </w:p>
    <w:p w14:paraId="26030C79" w14:textId="142448BA" w:rsidR="00E752DD" w:rsidRDefault="00E752DD">
      <w:pPr>
        <w:pStyle w:val="a3"/>
        <w:numPr>
          <w:ilvl w:val="0"/>
          <w:numId w:val="5"/>
        </w:numPr>
        <w:ind w:firstLineChars="0"/>
        <w:rPr>
          <w:rFonts w:hint="eastAsia"/>
        </w:rPr>
      </w:pPr>
      <w:r>
        <w:rPr>
          <w:rFonts w:hint="eastAsia"/>
        </w:rPr>
        <w:t>简历</w:t>
      </w:r>
    </w:p>
    <w:p w14:paraId="4F06CF6D" w14:textId="1233EC33" w:rsidR="00E752DD" w:rsidRDefault="00E752DD">
      <w:pPr>
        <w:pStyle w:val="a3"/>
        <w:numPr>
          <w:ilvl w:val="0"/>
          <w:numId w:val="5"/>
        </w:numPr>
        <w:ind w:firstLineChars="0"/>
        <w:rPr>
          <w:rFonts w:hint="eastAsia"/>
        </w:rPr>
      </w:pPr>
      <w:r>
        <w:rPr>
          <w:rFonts w:hint="eastAsia"/>
        </w:rPr>
        <w:t>证书</w:t>
      </w:r>
    </w:p>
    <w:p w14:paraId="6CF91041" w14:textId="56C9F2A1" w:rsidR="00E752DD" w:rsidRPr="00E752DD" w:rsidRDefault="00E752DD">
      <w:pPr>
        <w:pStyle w:val="a3"/>
        <w:numPr>
          <w:ilvl w:val="0"/>
          <w:numId w:val="5"/>
        </w:numPr>
        <w:ind w:firstLineChars="0"/>
        <w:rPr>
          <w:rFonts w:hint="eastAsia"/>
        </w:rPr>
      </w:pPr>
      <w:r>
        <w:rPr>
          <w:rFonts w:hint="eastAsia"/>
        </w:rPr>
        <w:t>社保证明</w:t>
      </w:r>
    </w:p>
    <w:p w14:paraId="599D26C9" w14:textId="6DAB6034" w:rsidR="00993831" w:rsidRDefault="00993831" w:rsidP="00993831">
      <w:pPr>
        <w:pStyle w:val="5"/>
        <w:rPr>
          <w:rFonts w:hint="eastAsia"/>
        </w:rPr>
      </w:pPr>
      <w:r>
        <w:rPr>
          <w:rFonts w:hint="eastAsia"/>
        </w:rPr>
        <w:t>项目进度计划</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1039"/>
        <w:gridCol w:w="3301"/>
        <w:gridCol w:w="2693"/>
      </w:tblGrid>
      <w:tr w:rsidR="00E94FC6" w:rsidRPr="00E94FC6" w14:paraId="132F7C74"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4C647D8F" w14:textId="77777777" w:rsidR="00E94FC6" w:rsidRPr="00E94FC6" w:rsidRDefault="00E94FC6" w:rsidP="00E94FC6">
            <w:pPr>
              <w:spacing w:after="120" w:line="360" w:lineRule="auto"/>
              <w:jc w:val="center"/>
              <w:rPr>
                <w:rFonts w:ascii="Verdana" w:eastAsia="宋体" w:hAnsi="Verdana" w:cs="Times New Roman"/>
              </w:rPr>
            </w:pPr>
            <w:r w:rsidRPr="00E94FC6">
              <w:rPr>
                <w:rFonts w:ascii="Verdana" w:eastAsia="宋体" w:hAnsi="宋体" w:cs="Times New Roman" w:hint="eastAsia"/>
              </w:rPr>
              <w:t>项目</w:t>
            </w:r>
            <w:r w:rsidRPr="00E94FC6">
              <w:rPr>
                <w:rFonts w:ascii="Verdana" w:eastAsia="宋体" w:hAnsi="Verdana" w:cs="Times New Roman"/>
              </w:rPr>
              <w:t>/</w:t>
            </w:r>
            <w:r w:rsidRPr="00E94FC6">
              <w:rPr>
                <w:rFonts w:ascii="Verdana" w:eastAsia="宋体" w:hAnsi="宋体" w:cs="Times New Roman" w:hint="eastAsia"/>
              </w:rPr>
              <w:t>日期</w:t>
            </w:r>
          </w:p>
        </w:tc>
        <w:tc>
          <w:tcPr>
            <w:tcW w:w="1039" w:type="dxa"/>
            <w:tcBorders>
              <w:top w:val="single" w:sz="4" w:space="0" w:color="auto"/>
              <w:left w:val="single" w:sz="4" w:space="0" w:color="auto"/>
              <w:bottom w:val="single" w:sz="4" w:space="0" w:color="auto"/>
              <w:right w:val="single" w:sz="4" w:space="0" w:color="auto"/>
            </w:tcBorders>
            <w:hideMark/>
          </w:tcPr>
          <w:p w14:paraId="4631C744" w14:textId="77777777" w:rsidR="00E94FC6" w:rsidRPr="00E94FC6" w:rsidRDefault="00E94FC6" w:rsidP="00E94FC6">
            <w:pPr>
              <w:spacing w:after="120" w:line="360" w:lineRule="auto"/>
              <w:jc w:val="center"/>
              <w:rPr>
                <w:rFonts w:ascii="Verdana" w:eastAsia="宋体" w:hAnsi="Verdana" w:cs="Times New Roman"/>
              </w:rPr>
            </w:pPr>
            <w:r w:rsidRPr="00E94FC6">
              <w:rPr>
                <w:rFonts w:ascii="Verdana" w:eastAsia="宋体" w:hAnsi="Verdana" w:cs="Times New Roman"/>
              </w:rPr>
              <w:t>1~45</w:t>
            </w:r>
            <w:r w:rsidRPr="00E94FC6">
              <w:rPr>
                <w:rFonts w:ascii="Verdana" w:eastAsia="宋体" w:hAnsi="Verdana" w:cs="Times New Roman" w:hint="eastAsia"/>
              </w:rPr>
              <w:t>天</w:t>
            </w:r>
          </w:p>
        </w:tc>
        <w:tc>
          <w:tcPr>
            <w:tcW w:w="3301" w:type="dxa"/>
            <w:tcBorders>
              <w:top w:val="single" w:sz="4" w:space="0" w:color="auto"/>
              <w:left w:val="single" w:sz="4" w:space="0" w:color="auto"/>
              <w:bottom w:val="single" w:sz="4" w:space="0" w:color="auto"/>
              <w:right w:val="single" w:sz="4" w:space="0" w:color="auto"/>
            </w:tcBorders>
            <w:hideMark/>
          </w:tcPr>
          <w:p w14:paraId="7EB66041" w14:textId="77777777" w:rsidR="00E94FC6" w:rsidRPr="00E94FC6" w:rsidRDefault="00E94FC6" w:rsidP="00E94FC6">
            <w:pPr>
              <w:spacing w:after="120" w:line="360" w:lineRule="auto"/>
              <w:jc w:val="center"/>
              <w:rPr>
                <w:rFonts w:ascii="Verdana" w:eastAsia="宋体" w:hAnsi="Verdana" w:cs="Times New Roman"/>
              </w:rPr>
            </w:pPr>
            <w:r w:rsidRPr="00E94FC6">
              <w:rPr>
                <w:rFonts w:ascii="Verdana" w:eastAsia="宋体" w:hAnsi="Verdana" w:cs="Times New Roman"/>
              </w:rPr>
              <w:t>6</w:t>
            </w:r>
            <w:r w:rsidRPr="00E94FC6">
              <w:rPr>
                <w:rFonts w:ascii="Verdana" w:eastAsia="宋体" w:hAnsi="Verdana" w:cs="Times New Roman" w:hint="eastAsia"/>
              </w:rPr>
              <w:t>个月</w:t>
            </w:r>
          </w:p>
        </w:tc>
        <w:tc>
          <w:tcPr>
            <w:tcW w:w="2693" w:type="dxa"/>
            <w:tcBorders>
              <w:top w:val="single" w:sz="4" w:space="0" w:color="auto"/>
              <w:left w:val="single" w:sz="4" w:space="0" w:color="auto"/>
              <w:bottom w:val="single" w:sz="4" w:space="0" w:color="auto"/>
              <w:right w:val="single" w:sz="4" w:space="0" w:color="auto"/>
            </w:tcBorders>
            <w:hideMark/>
          </w:tcPr>
          <w:p w14:paraId="359794AD" w14:textId="77777777" w:rsidR="00E94FC6" w:rsidRPr="00E94FC6" w:rsidRDefault="00E94FC6" w:rsidP="00E94FC6">
            <w:pPr>
              <w:spacing w:after="120" w:line="360" w:lineRule="auto"/>
              <w:jc w:val="center"/>
              <w:rPr>
                <w:rFonts w:ascii="Verdana" w:eastAsia="宋体" w:hAnsi="Verdana" w:cs="Times New Roman"/>
              </w:rPr>
            </w:pPr>
            <w:r w:rsidRPr="00E94FC6">
              <w:rPr>
                <w:rFonts w:ascii="Verdana" w:eastAsia="宋体" w:hAnsi="Verdana" w:cs="Times New Roman"/>
              </w:rPr>
              <w:t>2</w:t>
            </w:r>
            <w:r w:rsidRPr="00E94FC6">
              <w:rPr>
                <w:rFonts w:ascii="Verdana" w:eastAsia="宋体" w:hAnsi="Verdana" w:cs="Times New Roman" w:hint="eastAsia"/>
              </w:rPr>
              <w:t>年</w:t>
            </w:r>
          </w:p>
        </w:tc>
      </w:tr>
      <w:tr w:rsidR="00E94FC6" w:rsidRPr="00E94FC6" w14:paraId="41F2F1CB"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1FC62C2F" w14:textId="77777777" w:rsidR="00E94FC6" w:rsidRPr="00E94FC6" w:rsidRDefault="00E94FC6" w:rsidP="00E94FC6">
            <w:pPr>
              <w:spacing w:after="120" w:line="360" w:lineRule="auto"/>
              <w:jc w:val="left"/>
              <w:rPr>
                <w:rFonts w:ascii="Verdana" w:eastAsia="宋体" w:hAnsi="Verdana" w:cs="Times New Roman"/>
              </w:rPr>
            </w:pPr>
            <w:r w:rsidRPr="00E94FC6">
              <w:rPr>
                <w:rFonts w:ascii="宋体" w:eastAsia="宋体" w:hAnsi="宋体" w:cs="Times New Roman" w:hint="eastAsia"/>
                <w:sz w:val="24"/>
              </w:rPr>
              <w:t>需求分析、代码解析</w:t>
            </w:r>
          </w:p>
        </w:tc>
        <w:tc>
          <w:tcPr>
            <w:tcW w:w="1039" w:type="dxa"/>
            <w:tcBorders>
              <w:top w:val="single" w:sz="4" w:space="0" w:color="auto"/>
              <w:left w:val="single" w:sz="4" w:space="0" w:color="auto"/>
              <w:bottom w:val="single" w:sz="4" w:space="0" w:color="auto"/>
              <w:right w:val="single" w:sz="4" w:space="0" w:color="auto"/>
            </w:tcBorders>
            <w:hideMark/>
          </w:tcPr>
          <w:p w14:paraId="1099C9D7"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59264" behindDoc="0" locked="0" layoutInCell="1" allowOverlap="1" wp14:anchorId="4A388F80" wp14:editId="76E5F20B">
                      <wp:simplePos x="0" y="0"/>
                      <wp:positionH relativeFrom="column">
                        <wp:posOffset>-9525</wp:posOffset>
                      </wp:positionH>
                      <wp:positionV relativeFrom="paragraph">
                        <wp:posOffset>50800</wp:posOffset>
                      </wp:positionV>
                      <wp:extent cx="60325" cy="198120"/>
                      <wp:effectExtent l="0" t="0" r="15875" b="11430"/>
                      <wp:wrapNone/>
                      <wp:docPr id="44" name="矩形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 cy="1981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E2D2D" id="矩形 1576" o:spid="_x0000_s1026" style="position:absolute;left:0;text-align:left;margin-left:-.75pt;margin-top:4pt;width:4.7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" fillcolor="red"/>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76E0EA82"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2D918047"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349270C4"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2032D5F6" w14:textId="77777777" w:rsidR="00E94FC6" w:rsidRPr="00E94FC6" w:rsidRDefault="00E94FC6" w:rsidP="00E94FC6">
            <w:pPr>
              <w:spacing w:after="120" w:line="360" w:lineRule="auto"/>
              <w:jc w:val="left"/>
              <w:rPr>
                <w:rFonts w:ascii="Verdana" w:eastAsia="宋体" w:hAnsi="宋体" w:cs="Times New Roman" w:hint="eastAsia"/>
              </w:rPr>
            </w:pPr>
            <w:r w:rsidRPr="00E94FC6">
              <w:rPr>
                <w:rFonts w:ascii="宋体" w:eastAsia="宋体" w:hAnsi="宋体" w:cs="Times New Roman" w:hint="eastAsia"/>
                <w:sz w:val="24"/>
              </w:rPr>
              <w:t>功能开发</w:t>
            </w:r>
          </w:p>
        </w:tc>
        <w:tc>
          <w:tcPr>
            <w:tcW w:w="1039" w:type="dxa"/>
            <w:tcBorders>
              <w:top w:val="single" w:sz="4" w:space="0" w:color="auto"/>
              <w:left w:val="single" w:sz="4" w:space="0" w:color="auto"/>
              <w:bottom w:val="single" w:sz="4" w:space="0" w:color="auto"/>
              <w:right w:val="single" w:sz="4" w:space="0" w:color="auto"/>
            </w:tcBorders>
            <w:hideMark/>
          </w:tcPr>
          <w:p w14:paraId="5946F058"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0288" behindDoc="0" locked="0" layoutInCell="1" allowOverlap="1" wp14:anchorId="6E839A50" wp14:editId="49C3D4E4">
                      <wp:simplePos x="0" y="0"/>
                      <wp:positionH relativeFrom="column">
                        <wp:posOffset>29845</wp:posOffset>
                      </wp:positionH>
                      <wp:positionV relativeFrom="paragraph">
                        <wp:posOffset>68580</wp:posOffset>
                      </wp:positionV>
                      <wp:extent cx="296545" cy="198120"/>
                      <wp:effectExtent l="0" t="0" r="27305" b="11430"/>
                      <wp:wrapNone/>
                      <wp:docPr id="45"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19812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A5EFE" id="矩形 42" o:spid="_x0000_s1026" style="position:absolute;left:0;text-align:left;margin-left:2.35pt;margin-top:5.4pt;width:23.3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" fillcolor="#7030a0"/>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117F3FBB"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59BCA1A7"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2119FD18"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70FCD4A9" w14:textId="77777777" w:rsidR="00E94FC6" w:rsidRPr="00E94FC6" w:rsidRDefault="00E94FC6" w:rsidP="00E94FC6">
            <w:pPr>
              <w:spacing w:after="120" w:line="360" w:lineRule="auto"/>
              <w:jc w:val="left"/>
              <w:rPr>
                <w:rFonts w:ascii="Verdana" w:eastAsia="宋体" w:hAnsi="Verdana" w:cs="Times New Roman"/>
              </w:rPr>
            </w:pPr>
            <w:r w:rsidRPr="00E94FC6">
              <w:rPr>
                <w:rFonts w:ascii="宋体" w:eastAsia="宋体" w:hAnsi="宋体" w:cs="Times New Roman" w:hint="eastAsia"/>
                <w:sz w:val="24"/>
              </w:rPr>
              <w:t>安装、调试</w:t>
            </w:r>
          </w:p>
        </w:tc>
        <w:tc>
          <w:tcPr>
            <w:tcW w:w="1039" w:type="dxa"/>
            <w:tcBorders>
              <w:top w:val="single" w:sz="4" w:space="0" w:color="auto"/>
              <w:left w:val="single" w:sz="4" w:space="0" w:color="auto"/>
              <w:bottom w:val="single" w:sz="4" w:space="0" w:color="auto"/>
              <w:right w:val="single" w:sz="4" w:space="0" w:color="auto"/>
            </w:tcBorders>
            <w:hideMark/>
          </w:tcPr>
          <w:p w14:paraId="2E773FD9"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1312" behindDoc="0" locked="0" layoutInCell="1" allowOverlap="1" wp14:anchorId="78CB02F8" wp14:editId="1F3DE3A0">
                      <wp:simplePos x="0" y="0"/>
                      <wp:positionH relativeFrom="column">
                        <wp:posOffset>369570</wp:posOffset>
                      </wp:positionH>
                      <wp:positionV relativeFrom="paragraph">
                        <wp:posOffset>46990</wp:posOffset>
                      </wp:positionV>
                      <wp:extent cx="67310" cy="198120"/>
                      <wp:effectExtent l="0" t="0" r="27940" b="11430"/>
                      <wp:wrapNone/>
                      <wp:docPr id="46"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9812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16660" id="矩形 63" o:spid="_x0000_s1026" style="position:absolute;left:0;text-align:left;margin-left:29.1pt;margin-top:3.7pt;width:5.3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" fillcolor="#92d050"/>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2FD92367"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382FE968"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2D902979"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7D0F520A" w14:textId="77777777" w:rsidR="00E94FC6" w:rsidRPr="00E94FC6" w:rsidRDefault="00E94FC6" w:rsidP="00E94FC6">
            <w:pPr>
              <w:spacing w:after="120" w:line="360" w:lineRule="auto"/>
              <w:jc w:val="left"/>
              <w:rPr>
                <w:rFonts w:ascii="Verdana" w:eastAsia="宋体" w:hAnsi="宋体" w:cs="Times New Roman" w:hint="eastAsia"/>
              </w:rPr>
            </w:pPr>
            <w:r w:rsidRPr="00E94FC6">
              <w:rPr>
                <w:rFonts w:ascii="宋体" w:eastAsia="宋体" w:hAnsi="宋体" w:cs="Times New Roman" w:hint="eastAsia"/>
                <w:sz w:val="24"/>
              </w:rPr>
              <w:t>测试</w:t>
            </w:r>
          </w:p>
        </w:tc>
        <w:tc>
          <w:tcPr>
            <w:tcW w:w="1039" w:type="dxa"/>
            <w:tcBorders>
              <w:top w:val="single" w:sz="4" w:space="0" w:color="auto"/>
              <w:left w:val="single" w:sz="4" w:space="0" w:color="auto"/>
              <w:bottom w:val="single" w:sz="4" w:space="0" w:color="auto"/>
              <w:right w:val="single" w:sz="4" w:space="0" w:color="auto"/>
            </w:tcBorders>
            <w:hideMark/>
          </w:tcPr>
          <w:p w14:paraId="4FCB3F0B"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3360" behindDoc="0" locked="0" layoutInCell="1" allowOverlap="1" wp14:anchorId="24522A99" wp14:editId="7F38EF44">
                      <wp:simplePos x="0" y="0"/>
                      <wp:positionH relativeFrom="column">
                        <wp:posOffset>431800</wp:posOffset>
                      </wp:positionH>
                      <wp:positionV relativeFrom="paragraph">
                        <wp:posOffset>64135</wp:posOffset>
                      </wp:positionV>
                      <wp:extent cx="71120" cy="198120"/>
                      <wp:effectExtent l="0" t="0" r="24130" b="11430"/>
                      <wp:wrapNone/>
                      <wp:docPr id="47" name="矩形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198120"/>
                              </a:xfrm>
                              <a:prstGeom prst="rect">
                                <a:avLst/>
                              </a:prstGeom>
                              <a:solidFill>
                                <a:srgbClr val="E7E6E6">
                                  <a:lumMod val="9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5E18E" id="矩形 1376" o:spid="_x0000_s1026" style="position:absolute;left:0;text-align:left;margin-left:34pt;margin-top:5.05pt;width:5.6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" fillcolor="#d0cece"/>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433E7B1D"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4F05D383"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4F652E0C"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0E93DB7B" w14:textId="77777777" w:rsidR="00E94FC6" w:rsidRPr="00E94FC6" w:rsidRDefault="00E94FC6" w:rsidP="00E94FC6">
            <w:pPr>
              <w:spacing w:after="120" w:line="360" w:lineRule="auto"/>
              <w:jc w:val="left"/>
              <w:rPr>
                <w:rFonts w:ascii="Verdana" w:eastAsia="宋体" w:hAnsi="宋体" w:cs="Times New Roman" w:hint="eastAsia"/>
              </w:rPr>
            </w:pPr>
            <w:r w:rsidRPr="00E94FC6">
              <w:rPr>
                <w:rFonts w:ascii="宋体" w:eastAsia="宋体" w:hAnsi="宋体" w:cs="Times New Roman" w:hint="eastAsia"/>
                <w:sz w:val="24"/>
              </w:rPr>
              <w:lastRenderedPageBreak/>
              <w:t>初验</w:t>
            </w:r>
          </w:p>
        </w:tc>
        <w:tc>
          <w:tcPr>
            <w:tcW w:w="1039" w:type="dxa"/>
            <w:tcBorders>
              <w:top w:val="single" w:sz="4" w:space="0" w:color="auto"/>
              <w:left w:val="single" w:sz="4" w:space="0" w:color="auto"/>
              <w:bottom w:val="single" w:sz="4" w:space="0" w:color="auto"/>
              <w:right w:val="single" w:sz="4" w:space="0" w:color="auto"/>
            </w:tcBorders>
            <w:hideMark/>
          </w:tcPr>
          <w:p w14:paraId="5957ACF6"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2336" behindDoc="0" locked="0" layoutInCell="1" allowOverlap="1" wp14:anchorId="4640130A" wp14:editId="232752E8">
                      <wp:simplePos x="0" y="0"/>
                      <wp:positionH relativeFrom="column">
                        <wp:posOffset>500380</wp:posOffset>
                      </wp:positionH>
                      <wp:positionV relativeFrom="paragraph">
                        <wp:posOffset>107315</wp:posOffset>
                      </wp:positionV>
                      <wp:extent cx="45720" cy="198755"/>
                      <wp:effectExtent l="0" t="0" r="11430" b="10795"/>
                      <wp:wrapNone/>
                      <wp:docPr id="48" name="矩形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98755"/>
                              </a:xfrm>
                              <a:prstGeom prst="rect">
                                <a:avLst/>
                              </a:prstGeom>
                              <a:solidFill>
                                <a:srgbClr val="BDD6EE"/>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D4CE1" id="矩形 1377" o:spid="_x0000_s1026" style="position:absolute;left:0;text-align:left;margin-left:39.4pt;margin-top:8.45pt;width:3.6pt;height:1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" fillcolor="#bdd6ee"/>
                  </w:pict>
                </mc:Fallback>
              </mc:AlternateContent>
            </w:r>
          </w:p>
        </w:tc>
        <w:tc>
          <w:tcPr>
            <w:tcW w:w="3301" w:type="dxa"/>
            <w:tcBorders>
              <w:top w:val="single" w:sz="4" w:space="0" w:color="auto"/>
              <w:left w:val="single" w:sz="4" w:space="0" w:color="auto"/>
              <w:bottom w:val="single" w:sz="4" w:space="0" w:color="auto"/>
              <w:right w:val="single" w:sz="4" w:space="0" w:color="auto"/>
            </w:tcBorders>
          </w:tcPr>
          <w:p w14:paraId="13934AD0"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tcPr>
          <w:p w14:paraId="14A9C131"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322A3642"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77A45381" w14:textId="77777777" w:rsidR="00E94FC6" w:rsidRPr="00E94FC6" w:rsidRDefault="00E94FC6" w:rsidP="00E94FC6">
            <w:pPr>
              <w:spacing w:after="120" w:line="360" w:lineRule="auto"/>
              <w:jc w:val="left"/>
              <w:rPr>
                <w:rFonts w:ascii="Verdana" w:eastAsia="宋体" w:hAnsi="宋体" w:cs="Times New Roman" w:hint="eastAsia"/>
              </w:rPr>
            </w:pPr>
            <w:r w:rsidRPr="00E94FC6">
              <w:rPr>
                <w:rFonts w:ascii="宋体" w:eastAsia="宋体" w:hAnsi="宋体" w:cs="Times New Roman" w:hint="eastAsia"/>
                <w:sz w:val="24"/>
              </w:rPr>
              <w:t>试运行期间功能完善</w:t>
            </w:r>
          </w:p>
        </w:tc>
        <w:tc>
          <w:tcPr>
            <w:tcW w:w="1039" w:type="dxa"/>
            <w:tcBorders>
              <w:top w:val="single" w:sz="4" w:space="0" w:color="auto"/>
              <w:left w:val="single" w:sz="4" w:space="0" w:color="auto"/>
              <w:bottom w:val="single" w:sz="4" w:space="0" w:color="auto"/>
              <w:right w:val="single" w:sz="4" w:space="0" w:color="auto"/>
            </w:tcBorders>
          </w:tcPr>
          <w:p w14:paraId="76247133"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hideMark/>
          </w:tcPr>
          <w:p w14:paraId="6F179CBF"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64384" behindDoc="0" locked="0" layoutInCell="1" allowOverlap="1" wp14:anchorId="36A453D1" wp14:editId="593041FB">
                      <wp:simplePos x="0" y="0"/>
                      <wp:positionH relativeFrom="column">
                        <wp:posOffset>65405</wp:posOffset>
                      </wp:positionH>
                      <wp:positionV relativeFrom="paragraph">
                        <wp:posOffset>34290</wp:posOffset>
                      </wp:positionV>
                      <wp:extent cx="906145" cy="198120"/>
                      <wp:effectExtent l="0" t="0" r="27305" b="11430"/>
                      <wp:wrapNone/>
                      <wp:docPr id="49" name="矩形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198120"/>
                              </a:xfrm>
                              <a:prstGeom prst="rect">
                                <a:avLst/>
                              </a:prstGeom>
                              <a:solidFill>
                                <a:srgbClr val="70AD47">
                                  <a:lumMod val="20000"/>
                                  <a:lumOff val="8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18D28" id="矩形 1378" o:spid="_x0000_s1026" style="position:absolute;left:0;text-align:left;margin-left:5.15pt;margin-top:2.7pt;width:71.35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" fillcolor="#e2f0d9"/>
                  </w:pict>
                </mc:Fallback>
              </mc:AlternateContent>
            </w:r>
          </w:p>
        </w:tc>
        <w:tc>
          <w:tcPr>
            <w:tcW w:w="2693" w:type="dxa"/>
            <w:tcBorders>
              <w:top w:val="single" w:sz="4" w:space="0" w:color="auto"/>
              <w:left w:val="single" w:sz="4" w:space="0" w:color="auto"/>
              <w:bottom w:val="single" w:sz="4" w:space="0" w:color="auto"/>
              <w:right w:val="single" w:sz="4" w:space="0" w:color="auto"/>
            </w:tcBorders>
          </w:tcPr>
          <w:p w14:paraId="77E548E3"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48312EB5"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18705D51" w14:textId="77777777" w:rsidR="00E94FC6" w:rsidRPr="00E94FC6" w:rsidRDefault="00E94FC6" w:rsidP="00E94FC6">
            <w:pPr>
              <w:spacing w:after="120" w:line="360" w:lineRule="auto"/>
              <w:jc w:val="left"/>
              <w:rPr>
                <w:rFonts w:ascii="Verdana" w:eastAsia="宋体" w:hAnsi="宋体" w:cs="Times New Roman" w:hint="eastAsia"/>
                <w:sz w:val="22"/>
              </w:rPr>
            </w:pPr>
            <w:r w:rsidRPr="00E94FC6">
              <w:rPr>
                <w:rFonts w:ascii="宋体" w:eastAsia="宋体" w:hAnsi="宋体" w:cs="Times New Roman" w:hint="eastAsia"/>
                <w:sz w:val="24"/>
              </w:rPr>
              <w:t>试运行期间功能验证</w:t>
            </w:r>
          </w:p>
        </w:tc>
        <w:tc>
          <w:tcPr>
            <w:tcW w:w="1039" w:type="dxa"/>
            <w:tcBorders>
              <w:top w:val="single" w:sz="4" w:space="0" w:color="auto"/>
              <w:left w:val="single" w:sz="4" w:space="0" w:color="auto"/>
              <w:bottom w:val="single" w:sz="4" w:space="0" w:color="auto"/>
              <w:right w:val="single" w:sz="4" w:space="0" w:color="auto"/>
            </w:tcBorders>
          </w:tcPr>
          <w:p w14:paraId="29B8B003"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hideMark/>
          </w:tcPr>
          <w:p w14:paraId="2D4536C9"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70528" behindDoc="0" locked="0" layoutInCell="1" allowOverlap="1" wp14:anchorId="2B6017D8" wp14:editId="207F9542">
                      <wp:simplePos x="0" y="0"/>
                      <wp:positionH relativeFrom="column">
                        <wp:posOffset>567690</wp:posOffset>
                      </wp:positionH>
                      <wp:positionV relativeFrom="paragraph">
                        <wp:posOffset>120650</wp:posOffset>
                      </wp:positionV>
                      <wp:extent cx="993775" cy="198120"/>
                      <wp:effectExtent l="0" t="0" r="15875" b="11430"/>
                      <wp:wrapNone/>
                      <wp:docPr id="50" name="矩形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775" cy="198120"/>
                              </a:xfrm>
                              <a:prstGeom prst="rect">
                                <a:avLst/>
                              </a:prstGeom>
                              <a:solidFill>
                                <a:srgbClr val="4472C4">
                                  <a:lumMod val="20000"/>
                                  <a:lumOff val="8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FB902" id="矩形 1379" o:spid="_x0000_s1026" style="position:absolute;left:0;text-align:left;margin-left:44.7pt;margin-top:9.5pt;width:78.2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" fillcolor="#dae3f3"/>
                  </w:pict>
                </mc:Fallback>
              </mc:AlternateContent>
            </w:r>
          </w:p>
        </w:tc>
        <w:tc>
          <w:tcPr>
            <w:tcW w:w="2693" w:type="dxa"/>
            <w:tcBorders>
              <w:top w:val="single" w:sz="4" w:space="0" w:color="auto"/>
              <w:left w:val="single" w:sz="4" w:space="0" w:color="auto"/>
              <w:bottom w:val="single" w:sz="4" w:space="0" w:color="auto"/>
              <w:right w:val="single" w:sz="4" w:space="0" w:color="auto"/>
            </w:tcBorders>
          </w:tcPr>
          <w:p w14:paraId="535392BD"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78663B3B"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21D9ABA0" w14:textId="77777777" w:rsidR="00E94FC6" w:rsidRPr="00E94FC6" w:rsidRDefault="00E94FC6" w:rsidP="00E94FC6">
            <w:pPr>
              <w:spacing w:after="120" w:line="360" w:lineRule="auto"/>
              <w:jc w:val="left"/>
              <w:rPr>
                <w:rFonts w:ascii="Verdana" w:eastAsia="宋体" w:hAnsi="宋体" w:cs="Times New Roman" w:hint="eastAsia"/>
              </w:rPr>
            </w:pPr>
            <w:r w:rsidRPr="00E94FC6">
              <w:rPr>
                <w:rFonts w:ascii="宋体" w:eastAsia="宋体" w:hAnsi="宋体" w:cs="Times New Roman" w:hint="eastAsia"/>
                <w:sz w:val="24"/>
              </w:rPr>
              <w:t>系统试运行及问题处理</w:t>
            </w:r>
          </w:p>
        </w:tc>
        <w:tc>
          <w:tcPr>
            <w:tcW w:w="1039" w:type="dxa"/>
            <w:tcBorders>
              <w:top w:val="single" w:sz="4" w:space="0" w:color="auto"/>
              <w:left w:val="single" w:sz="4" w:space="0" w:color="auto"/>
              <w:bottom w:val="single" w:sz="4" w:space="0" w:color="auto"/>
              <w:right w:val="single" w:sz="4" w:space="0" w:color="auto"/>
            </w:tcBorders>
          </w:tcPr>
          <w:p w14:paraId="3699D2BF"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hideMark/>
          </w:tcPr>
          <w:p w14:paraId="4636B703"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69504" behindDoc="0" locked="0" layoutInCell="1" allowOverlap="1" wp14:anchorId="598DCC02" wp14:editId="2FD84A0F">
                      <wp:simplePos x="0" y="0"/>
                      <wp:positionH relativeFrom="column">
                        <wp:posOffset>893445</wp:posOffset>
                      </wp:positionH>
                      <wp:positionV relativeFrom="paragraph">
                        <wp:posOffset>99695</wp:posOffset>
                      </wp:positionV>
                      <wp:extent cx="1113155" cy="198120"/>
                      <wp:effectExtent l="0" t="0" r="10795" b="11430"/>
                      <wp:wrapNone/>
                      <wp:docPr id="51" name="矩形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198120"/>
                              </a:xfrm>
                              <a:prstGeom prst="rect">
                                <a:avLst/>
                              </a:prstGeom>
                              <a:solidFill>
                                <a:srgbClr val="FFC000">
                                  <a:lumMod val="60000"/>
                                  <a:lumOff val="4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9EABD" id="矩形 1384" o:spid="_x0000_s1026" style="position:absolute;left:0;text-align:left;margin-left:70.35pt;margin-top:7.85pt;width:87.65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" fillcolor="#ffd966"/>
                  </w:pict>
                </mc:Fallback>
              </mc:AlternateContent>
            </w:r>
          </w:p>
        </w:tc>
        <w:tc>
          <w:tcPr>
            <w:tcW w:w="2693" w:type="dxa"/>
            <w:tcBorders>
              <w:top w:val="single" w:sz="4" w:space="0" w:color="auto"/>
              <w:left w:val="single" w:sz="4" w:space="0" w:color="auto"/>
              <w:bottom w:val="single" w:sz="4" w:space="0" w:color="auto"/>
              <w:right w:val="single" w:sz="4" w:space="0" w:color="auto"/>
            </w:tcBorders>
          </w:tcPr>
          <w:p w14:paraId="3C17CED3" w14:textId="77777777" w:rsidR="00E94FC6" w:rsidRPr="00E94FC6" w:rsidRDefault="00E94FC6" w:rsidP="00E94FC6">
            <w:pPr>
              <w:spacing w:after="120" w:line="360" w:lineRule="auto"/>
              <w:jc w:val="left"/>
              <w:rPr>
                <w:rFonts w:ascii="Verdana" w:eastAsia="宋体" w:hAnsi="Verdana" w:cs="Times New Roman"/>
                <w:sz w:val="24"/>
              </w:rPr>
            </w:pPr>
          </w:p>
        </w:tc>
      </w:tr>
      <w:tr w:rsidR="00E94FC6" w:rsidRPr="00E94FC6" w14:paraId="21FE4CE7"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04FB4AB0" w14:textId="77777777" w:rsidR="00E94FC6" w:rsidRPr="00E94FC6" w:rsidRDefault="00E94FC6" w:rsidP="00E94FC6">
            <w:pPr>
              <w:spacing w:after="120" w:line="360" w:lineRule="auto"/>
              <w:jc w:val="left"/>
              <w:rPr>
                <w:rFonts w:ascii="Verdana" w:eastAsia="宋体" w:hAnsi="宋体" w:cs="Times New Roman" w:hint="eastAsia"/>
              </w:rPr>
            </w:pPr>
            <w:r w:rsidRPr="00E94FC6">
              <w:rPr>
                <w:rFonts w:ascii="宋体" w:eastAsia="宋体" w:hAnsi="宋体" w:cs="Times New Roman" w:hint="eastAsia"/>
                <w:sz w:val="24"/>
              </w:rPr>
              <w:t>终验</w:t>
            </w:r>
          </w:p>
        </w:tc>
        <w:tc>
          <w:tcPr>
            <w:tcW w:w="1039" w:type="dxa"/>
            <w:tcBorders>
              <w:top w:val="single" w:sz="4" w:space="0" w:color="auto"/>
              <w:left w:val="single" w:sz="4" w:space="0" w:color="auto"/>
              <w:bottom w:val="single" w:sz="4" w:space="0" w:color="auto"/>
              <w:right w:val="single" w:sz="4" w:space="0" w:color="auto"/>
            </w:tcBorders>
          </w:tcPr>
          <w:p w14:paraId="376CE5FB"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tcPr>
          <w:p w14:paraId="67BF8FD2"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hideMark/>
          </w:tcPr>
          <w:p w14:paraId="3AFD49A0" w14:textId="77777777" w:rsidR="00E94FC6" w:rsidRPr="00E94FC6" w:rsidRDefault="00E94FC6" w:rsidP="00E94FC6">
            <w:pPr>
              <w:spacing w:after="120" w:line="360" w:lineRule="auto"/>
              <w:jc w:val="left"/>
              <w:rPr>
                <w:rFonts w:ascii="Verdana" w:eastAsia="宋体" w:hAnsi="Verdana" w:cs="Times New Roman"/>
                <w:sz w:val="24"/>
              </w:rPr>
            </w:pPr>
            <w:r w:rsidRPr="00E94FC6">
              <w:rPr>
                <w:rFonts w:ascii="Calibri" w:eastAsia="宋体" w:hAnsi="Calibri" w:cs="Times New Roman"/>
                <w:noProof/>
              </w:rPr>
              <mc:AlternateContent>
                <mc:Choice Requires="wps">
                  <w:drawing>
                    <wp:anchor distT="0" distB="0" distL="114300" distR="114300" simplePos="0" relativeHeight="251668480" behindDoc="0" locked="0" layoutInCell="1" allowOverlap="1" wp14:anchorId="179DF96B" wp14:editId="22763ACA">
                      <wp:simplePos x="0" y="0"/>
                      <wp:positionH relativeFrom="column">
                        <wp:posOffset>-40005</wp:posOffset>
                      </wp:positionH>
                      <wp:positionV relativeFrom="paragraph">
                        <wp:posOffset>40005</wp:posOffset>
                      </wp:positionV>
                      <wp:extent cx="45720" cy="198120"/>
                      <wp:effectExtent l="0" t="0" r="11430" b="11430"/>
                      <wp:wrapNone/>
                      <wp:docPr id="52" name="矩形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98120"/>
                              </a:xfrm>
                              <a:prstGeom prst="rect">
                                <a:avLst/>
                              </a:prstGeom>
                              <a:solidFill>
                                <a:srgbClr val="538135"/>
                              </a:solidFill>
                              <a:ln w="9525">
                                <a:solidFill>
                                  <a:srgbClr val="000000"/>
                                </a:solidFill>
                                <a:miter lim="800000"/>
                                <a:headEnd/>
                                <a:tailEnd/>
                              </a:ln>
                            </wps:spPr>
                            <wps:txbx>
                              <w:txbxContent>
                                <w:p w14:paraId="78C583F6" w14:textId="77777777" w:rsidR="00E94FC6" w:rsidRDefault="00E94FC6" w:rsidP="00E94FC6">
                                  <w:pPr>
                                    <w:jc w:val="cente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DF96B" id="矩形 1385" o:spid="_x0000_s1026" style="position:absolute;margin-left:-3.15pt;margin-top:3.15pt;width:3.6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" fillcolor="#538135">
                      <v:textbox>
                        <w:txbxContent>
                          <w:p w14:paraId="78C583F6" w14:textId="77777777" w:rsidR="00E94FC6" w:rsidRDefault="00E94FC6" w:rsidP="00E94FC6">
                            <w:pPr>
                              <w:jc w:val="center"/>
                              <w:rPr>
                                <w:rFonts w:hint="eastAsia"/>
                              </w:rPr>
                            </w:pPr>
                          </w:p>
                        </w:txbxContent>
                      </v:textbox>
                    </v:rect>
                  </w:pict>
                </mc:Fallback>
              </mc:AlternateContent>
            </w:r>
            <w:r w:rsidRPr="00E94FC6">
              <w:rPr>
                <w:rFonts w:ascii="Calibri" w:eastAsia="宋体" w:hAnsi="Calibri" w:cs="Times New Roman"/>
                <w:noProof/>
              </w:rPr>
              <mc:AlternateContent>
                <mc:Choice Requires="wps">
                  <w:drawing>
                    <wp:anchor distT="0" distB="0" distL="114300" distR="114300" simplePos="0" relativeHeight="251665408" behindDoc="0" locked="0" layoutInCell="1" allowOverlap="1" wp14:anchorId="2CBA24B6" wp14:editId="7C1F1EF9">
                      <wp:simplePos x="0" y="0"/>
                      <wp:positionH relativeFrom="column">
                        <wp:posOffset>2173605</wp:posOffset>
                      </wp:positionH>
                      <wp:positionV relativeFrom="paragraph">
                        <wp:posOffset>81915</wp:posOffset>
                      </wp:positionV>
                      <wp:extent cx="246380" cy="198120"/>
                      <wp:effectExtent l="0" t="0" r="20320" b="11430"/>
                      <wp:wrapNone/>
                      <wp:docPr id="53"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198120"/>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8C57E" id="矩形 67" o:spid="_x0000_s1026" style="position:absolute;left:0;text-align:left;margin-left:171.15pt;margin-top:6.45pt;width:19.4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" fillcolor="#7030a0"/>
                  </w:pict>
                </mc:Fallback>
              </mc:AlternateContent>
            </w:r>
          </w:p>
        </w:tc>
      </w:tr>
      <w:tr w:rsidR="00E94FC6" w:rsidRPr="00E94FC6" w14:paraId="45BBA1BC" w14:textId="77777777" w:rsidTr="00E94FC6">
        <w:tc>
          <w:tcPr>
            <w:tcW w:w="0" w:type="auto"/>
            <w:tcBorders>
              <w:top w:val="single" w:sz="4" w:space="0" w:color="auto"/>
              <w:left w:val="single" w:sz="4" w:space="0" w:color="auto"/>
              <w:bottom w:val="single" w:sz="4" w:space="0" w:color="auto"/>
              <w:right w:val="single" w:sz="4" w:space="0" w:color="auto"/>
            </w:tcBorders>
            <w:hideMark/>
          </w:tcPr>
          <w:p w14:paraId="33D9023A" w14:textId="77777777" w:rsidR="00E94FC6" w:rsidRPr="00E94FC6" w:rsidRDefault="00E94FC6" w:rsidP="00E94FC6">
            <w:pPr>
              <w:spacing w:after="120" w:line="360" w:lineRule="auto"/>
              <w:jc w:val="left"/>
              <w:rPr>
                <w:rFonts w:ascii="宋体" w:eastAsia="宋体" w:hAnsi="宋体" w:cs="Times New Roman" w:hint="eastAsia"/>
                <w:sz w:val="24"/>
              </w:rPr>
            </w:pPr>
            <w:r w:rsidRPr="00E94FC6">
              <w:rPr>
                <w:rFonts w:ascii="宋体" w:eastAsia="宋体" w:hAnsi="宋体" w:cs="Times New Roman" w:hint="eastAsia"/>
                <w:sz w:val="24"/>
              </w:rPr>
              <w:t>维护保修</w:t>
            </w:r>
          </w:p>
        </w:tc>
        <w:tc>
          <w:tcPr>
            <w:tcW w:w="1039" w:type="dxa"/>
            <w:tcBorders>
              <w:top w:val="single" w:sz="4" w:space="0" w:color="auto"/>
              <w:left w:val="single" w:sz="4" w:space="0" w:color="auto"/>
              <w:bottom w:val="single" w:sz="4" w:space="0" w:color="auto"/>
              <w:right w:val="single" w:sz="4" w:space="0" w:color="auto"/>
            </w:tcBorders>
          </w:tcPr>
          <w:p w14:paraId="2737296A" w14:textId="77777777" w:rsidR="00E94FC6" w:rsidRPr="00E94FC6" w:rsidRDefault="00E94FC6" w:rsidP="00E94FC6">
            <w:pPr>
              <w:spacing w:after="120" w:line="360" w:lineRule="auto"/>
              <w:jc w:val="left"/>
              <w:rPr>
                <w:rFonts w:ascii="Verdana" w:eastAsia="宋体" w:hAnsi="Verdana" w:cs="Times New Roman"/>
                <w:noProof/>
                <w:sz w:val="24"/>
              </w:rPr>
            </w:pPr>
          </w:p>
        </w:tc>
        <w:tc>
          <w:tcPr>
            <w:tcW w:w="3301" w:type="dxa"/>
            <w:tcBorders>
              <w:top w:val="single" w:sz="4" w:space="0" w:color="auto"/>
              <w:left w:val="single" w:sz="4" w:space="0" w:color="auto"/>
              <w:bottom w:val="single" w:sz="4" w:space="0" w:color="auto"/>
              <w:right w:val="single" w:sz="4" w:space="0" w:color="auto"/>
            </w:tcBorders>
          </w:tcPr>
          <w:p w14:paraId="0A3C7FC8" w14:textId="77777777" w:rsidR="00E94FC6" w:rsidRPr="00E94FC6" w:rsidRDefault="00E94FC6" w:rsidP="00E94FC6">
            <w:pPr>
              <w:spacing w:after="120" w:line="360" w:lineRule="auto"/>
              <w:jc w:val="left"/>
              <w:rPr>
                <w:rFonts w:ascii="Verdana" w:eastAsia="宋体" w:hAnsi="Verdana" w:cs="Times New Roman"/>
                <w:sz w:val="24"/>
              </w:rPr>
            </w:pPr>
          </w:p>
        </w:tc>
        <w:tc>
          <w:tcPr>
            <w:tcW w:w="2693" w:type="dxa"/>
            <w:tcBorders>
              <w:top w:val="single" w:sz="4" w:space="0" w:color="auto"/>
              <w:left w:val="single" w:sz="4" w:space="0" w:color="auto"/>
              <w:bottom w:val="single" w:sz="4" w:space="0" w:color="auto"/>
              <w:right w:val="single" w:sz="4" w:space="0" w:color="auto"/>
            </w:tcBorders>
            <w:hideMark/>
          </w:tcPr>
          <w:p w14:paraId="4DFEDEF1" w14:textId="77777777" w:rsidR="00E94FC6" w:rsidRPr="00E94FC6" w:rsidRDefault="00E94FC6" w:rsidP="00E94FC6">
            <w:pPr>
              <w:spacing w:after="120" w:line="360" w:lineRule="auto"/>
              <w:jc w:val="left"/>
              <w:rPr>
                <w:rFonts w:ascii="Verdana" w:eastAsia="宋体" w:hAnsi="Verdana" w:cs="Times New Roman"/>
                <w:noProof/>
                <w:sz w:val="24"/>
              </w:rPr>
            </w:pPr>
            <w:r w:rsidRPr="00E94FC6">
              <w:rPr>
                <w:rFonts w:ascii="Calibri" w:eastAsia="宋体" w:hAnsi="Calibri" w:cs="Times New Roman"/>
                <w:noProof/>
              </w:rPr>
              <mc:AlternateContent>
                <mc:Choice Requires="wps">
                  <w:drawing>
                    <wp:anchor distT="0" distB="0" distL="114300" distR="114300" simplePos="0" relativeHeight="251667456" behindDoc="0" locked="0" layoutInCell="1" allowOverlap="1" wp14:anchorId="50F433E3" wp14:editId="43776800">
                      <wp:simplePos x="0" y="0"/>
                      <wp:positionH relativeFrom="column">
                        <wp:posOffset>-49530</wp:posOffset>
                      </wp:positionH>
                      <wp:positionV relativeFrom="paragraph">
                        <wp:posOffset>81915</wp:posOffset>
                      </wp:positionV>
                      <wp:extent cx="1685290" cy="198120"/>
                      <wp:effectExtent l="0" t="0" r="10160" b="11430"/>
                      <wp:wrapNone/>
                      <wp:docPr id="54" name="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198120"/>
                              </a:xfrm>
                              <a:prstGeom prst="rect">
                                <a:avLst/>
                              </a:prstGeom>
                              <a:solidFill>
                                <a:srgbClr val="C4591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FD157" id="矩形 83" o:spid="_x0000_s1026" style="position:absolute;left:0;text-align:left;margin-left:-3.9pt;margin-top:6.45pt;width:132.7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" fillcolor="#c45911"/>
                  </w:pict>
                </mc:Fallback>
              </mc:AlternateContent>
            </w:r>
            <w:r w:rsidRPr="00E94FC6">
              <w:rPr>
                <w:rFonts w:ascii="Calibri" w:eastAsia="宋体" w:hAnsi="Calibri" w:cs="Times New Roman"/>
                <w:noProof/>
              </w:rPr>
              <mc:AlternateContent>
                <mc:Choice Requires="wps">
                  <w:drawing>
                    <wp:anchor distT="0" distB="0" distL="114300" distR="114300" simplePos="0" relativeHeight="251666432" behindDoc="0" locked="0" layoutInCell="1" allowOverlap="1" wp14:anchorId="56DDAE5A" wp14:editId="1176912F">
                      <wp:simplePos x="0" y="0"/>
                      <wp:positionH relativeFrom="column">
                        <wp:posOffset>2499995</wp:posOffset>
                      </wp:positionH>
                      <wp:positionV relativeFrom="paragraph">
                        <wp:posOffset>124460</wp:posOffset>
                      </wp:positionV>
                      <wp:extent cx="238760" cy="198120"/>
                      <wp:effectExtent l="0" t="0" r="27940" b="11430"/>
                      <wp:wrapNone/>
                      <wp:docPr id="55" name="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198120"/>
                              </a:xfrm>
                              <a:prstGeom prst="rect">
                                <a:avLst/>
                              </a:prstGeom>
                              <a:solidFill>
                                <a:srgbClr val="BF8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55DF5" id="矩形 84" o:spid="_x0000_s1026" style="position:absolute;left:0;text-align:left;margin-left:196.85pt;margin-top:9.8pt;width:18.8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" fillcolor="#bf8f00"/>
                  </w:pict>
                </mc:Fallback>
              </mc:AlternateContent>
            </w:r>
          </w:p>
        </w:tc>
      </w:tr>
    </w:tbl>
    <w:p w14:paraId="654F6969" w14:textId="71F28889" w:rsidR="00993831" w:rsidRDefault="00E94FC6" w:rsidP="00E94FC6">
      <w:pPr>
        <w:pStyle w:val="5"/>
        <w:rPr>
          <w:rFonts w:hint="eastAsia"/>
        </w:rPr>
      </w:pPr>
      <w:r>
        <w:rPr>
          <w:rFonts w:hint="eastAsia"/>
        </w:rPr>
        <w:t>项目提交物</w:t>
      </w:r>
    </w:p>
    <w:p w14:paraId="006CD860" w14:textId="7E723E69" w:rsidR="00E752DD" w:rsidRPr="00E752DD" w:rsidRDefault="00E752DD" w:rsidP="00E752DD">
      <w:pPr>
        <w:pStyle w:val="6"/>
        <w:rPr>
          <w:rFonts w:hint="eastAsia"/>
        </w:rPr>
      </w:pPr>
      <w:r>
        <w:rPr>
          <w:rFonts w:hint="eastAsia"/>
        </w:rPr>
        <w:t>核心提交物</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01"/>
        <w:gridCol w:w="3297"/>
        <w:gridCol w:w="3007"/>
      </w:tblGrid>
      <w:tr w:rsidR="00E94FC6" w14:paraId="6116908A" w14:textId="77777777" w:rsidTr="00E94FC6">
        <w:trPr>
          <w:jc w:val="center"/>
        </w:trPr>
        <w:tc>
          <w:tcPr>
            <w:tcW w:w="3232" w:type="pct"/>
            <w:gridSpan w:val="2"/>
            <w:tcBorders>
              <w:top w:val="single" w:sz="12" w:space="0" w:color="auto"/>
              <w:left w:val="single" w:sz="12" w:space="0" w:color="auto"/>
              <w:bottom w:val="single" w:sz="4" w:space="0" w:color="auto"/>
              <w:right w:val="single" w:sz="4" w:space="0" w:color="auto"/>
            </w:tcBorders>
            <w:vAlign w:val="center"/>
            <w:hideMark/>
          </w:tcPr>
          <w:p w14:paraId="4C3BA102" w14:textId="77777777" w:rsidR="00E94FC6" w:rsidRDefault="00E94FC6">
            <w:pPr>
              <w:jc w:val="center"/>
              <w:rPr>
                <w:rFonts w:hint="eastAsia"/>
                <w:b/>
              </w:rPr>
            </w:pPr>
            <w:r>
              <w:rPr>
                <w:rFonts w:hint="eastAsia"/>
                <w:b/>
              </w:rPr>
              <w:t>文档类别</w:t>
            </w:r>
            <w:r>
              <w:rPr>
                <w:b/>
              </w:rPr>
              <w:t>/</w:t>
            </w:r>
            <w:r>
              <w:rPr>
                <w:rFonts w:hint="eastAsia"/>
                <w:b/>
              </w:rPr>
              <w:t>名称</w:t>
            </w:r>
          </w:p>
        </w:tc>
        <w:tc>
          <w:tcPr>
            <w:tcW w:w="1768" w:type="pct"/>
            <w:tcBorders>
              <w:top w:val="single" w:sz="12" w:space="0" w:color="auto"/>
              <w:left w:val="single" w:sz="4" w:space="0" w:color="auto"/>
              <w:bottom w:val="single" w:sz="4" w:space="0" w:color="auto"/>
              <w:right w:val="single" w:sz="12" w:space="0" w:color="auto"/>
            </w:tcBorders>
            <w:vAlign w:val="center"/>
            <w:hideMark/>
          </w:tcPr>
          <w:p w14:paraId="269C9BED" w14:textId="77777777" w:rsidR="00E94FC6" w:rsidRDefault="00E94FC6">
            <w:pPr>
              <w:jc w:val="center"/>
              <w:rPr>
                <w:rFonts w:hint="eastAsia"/>
                <w:b/>
              </w:rPr>
            </w:pPr>
            <w:r>
              <w:rPr>
                <w:rFonts w:hint="eastAsia"/>
                <w:b/>
              </w:rPr>
              <w:t>文档提交阶段</w:t>
            </w:r>
          </w:p>
        </w:tc>
      </w:tr>
      <w:tr w:rsidR="00E94FC6" w14:paraId="494D35C9" w14:textId="77777777" w:rsidTr="00E94FC6">
        <w:trPr>
          <w:trHeight w:val="420"/>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39B3D5E0" w14:textId="77777777" w:rsidR="00E94FC6" w:rsidRDefault="00E94FC6">
            <w:pPr>
              <w:jc w:val="center"/>
              <w:rPr>
                <w:rFonts w:hint="eastAsia"/>
              </w:rPr>
            </w:pPr>
            <w:r>
              <w:rPr>
                <w:rFonts w:hint="eastAsia"/>
                <w:b/>
              </w:rPr>
              <w:t>技术文件类</w:t>
            </w:r>
          </w:p>
        </w:tc>
        <w:tc>
          <w:tcPr>
            <w:tcW w:w="1938" w:type="pct"/>
            <w:tcBorders>
              <w:top w:val="single" w:sz="4" w:space="0" w:color="auto"/>
              <w:left w:val="single" w:sz="4" w:space="0" w:color="auto"/>
              <w:bottom w:val="single" w:sz="8" w:space="0" w:color="auto"/>
              <w:right w:val="single" w:sz="4" w:space="0" w:color="auto"/>
            </w:tcBorders>
            <w:vAlign w:val="center"/>
            <w:hideMark/>
          </w:tcPr>
          <w:p w14:paraId="4320C0C0" w14:textId="77777777" w:rsidR="00E94FC6" w:rsidRDefault="00E94FC6">
            <w:pPr>
              <w:rPr>
                <w:rFonts w:hint="eastAsia"/>
              </w:rPr>
            </w:pPr>
            <w:r>
              <w:rPr>
                <w:rFonts w:ascii="Arial" w:hAnsi="Arial" w:cs="Arial" w:hint="eastAsia"/>
                <w:bCs/>
              </w:rPr>
              <w:t>需求分析报告</w:t>
            </w:r>
          </w:p>
        </w:tc>
        <w:tc>
          <w:tcPr>
            <w:tcW w:w="1768" w:type="pct"/>
            <w:tcBorders>
              <w:top w:val="single" w:sz="4" w:space="0" w:color="auto"/>
              <w:left w:val="single" w:sz="4" w:space="0" w:color="auto"/>
              <w:bottom w:val="single" w:sz="4" w:space="0" w:color="auto"/>
              <w:right w:val="single" w:sz="12" w:space="0" w:color="auto"/>
            </w:tcBorders>
            <w:vAlign w:val="center"/>
            <w:hideMark/>
          </w:tcPr>
          <w:p w14:paraId="5A8F5F70" w14:textId="77777777" w:rsidR="00E94FC6" w:rsidRDefault="00E94FC6">
            <w:pPr>
              <w:ind w:firstLineChars="12" w:firstLine="25"/>
              <w:jc w:val="center"/>
              <w:rPr>
                <w:rFonts w:hint="eastAsia"/>
              </w:rPr>
            </w:pPr>
            <w:r>
              <w:rPr>
                <w:rFonts w:hint="eastAsia"/>
              </w:rPr>
              <w:t>项目启动阶段</w:t>
            </w:r>
          </w:p>
        </w:tc>
      </w:tr>
      <w:tr w:rsidR="00E94FC6" w14:paraId="3D1FD20F" w14:textId="77777777" w:rsidTr="00E94FC6">
        <w:trPr>
          <w:trHeight w:val="321"/>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21541A7" w14:textId="77777777" w:rsidR="00E94FC6" w:rsidRDefault="00E94FC6">
            <w:pPr>
              <w:widowControl/>
              <w:jc w:val="left"/>
              <w:rPr>
                <w:rFonts w:hint="eastAsia"/>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4847124" w14:textId="77777777" w:rsidR="00E94FC6" w:rsidRDefault="00E94FC6">
            <w:pPr>
              <w:rPr>
                <w:rFonts w:hint="eastAsia"/>
              </w:rPr>
            </w:pPr>
            <w:r>
              <w:rPr>
                <w:rFonts w:ascii="Arial" w:hAnsi="Arial" w:cs="Arial" w:hint="eastAsia"/>
                <w:bCs/>
              </w:rPr>
              <w:t>系统设计说明书</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17F56B3D" w14:textId="77777777" w:rsidR="00E94FC6" w:rsidRDefault="00E94FC6">
            <w:pPr>
              <w:ind w:firstLineChars="12" w:firstLine="25"/>
              <w:jc w:val="center"/>
              <w:rPr>
                <w:rFonts w:hint="eastAsia"/>
              </w:rPr>
            </w:pPr>
            <w:r>
              <w:rPr>
                <w:rFonts w:hint="eastAsia"/>
              </w:rPr>
              <w:t>项目启动阶段、实施阶段</w:t>
            </w:r>
          </w:p>
        </w:tc>
      </w:tr>
      <w:tr w:rsidR="00E94FC6" w14:paraId="3187E7D3" w14:textId="77777777" w:rsidTr="00E94FC6">
        <w:trPr>
          <w:trHeight w:val="321"/>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8CA6D8F" w14:textId="77777777" w:rsidR="00E94FC6" w:rsidRDefault="00E94FC6">
            <w:pPr>
              <w:widowControl/>
              <w:jc w:val="left"/>
              <w:rPr>
                <w:rFonts w:hint="eastAsia"/>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58D9ADD6" w14:textId="77777777" w:rsidR="00E94FC6" w:rsidRDefault="00E94FC6">
            <w:pPr>
              <w:rPr>
                <w:rFonts w:hint="eastAsia"/>
              </w:rPr>
            </w:pPr>
            <w:r>
              <w:rPr>
                <w:rFonts w:ascii="Arial" w:hAnsi="Arial" w:cs="Arial" w:hint="eastAsia"/>
                <w:bCs/>
              </w:rPr>
              <w:t>数据库设计说明书</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1EECEFF" w14:textId="77777777" w:rsidR="00E94FC6" w:rsidRDefault="00E94FC6">
            <w:pPr>
              <w:widowControl/>
              <w:jc w:val="left"/>
              <w:rPr>
                <w:rFonts w:hint="eastAsia"/>
                <w:szCs w:val="21"/>
              </w:rPr>
            </w:pPr>
          </w:p>
        </w:tc>
      </w:tr>
      <w:tr w:rsidR="00E94FC6" w14:paraId="3191B2F1" w14:textId="77777777" w:rsidTr="00E94FC6">
        <w:trPr>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45D565AA" w14:textId="77777777" w:rsidR="00E94FC6" w:rsidRDefault="00E94FC6">
            <w:pPr>
              <w:jc w:val="center"/>
              <w:rPr>
                <w:rFonts w:hint="eastAsia"/>
              </w:rPr>
            </w:pPr>
            <w:r>
              <w:rPr>
                <w:rFonts w:hint="eastAsia"/>
                <w:b/>
              </w:rPr>
              <w:t>计划类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26AA06B2" w14:textId="77777777" w:rsidR="00E94FC6" w:rsidRDefault="00E94FC6">
            <w:pPr>
              <w:rPr>
                <w:rFonts w:hint="eastAsia"/>
              </w:rPr>
            </w:pPr>
            <w:r>
              <w:rPr>
                <w:rFonts w:hint="eastAsia"/>
              </w:rPr>
              <w:t>项目总体计划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3CFAFA2" w14:textId="77777777" w:rsidR="00E94FC6" w:rsidRDefault="00E94FC6">
            <w:pPr>
              <w:widowControl/>
              <w:jc w:val="left"/>
              <w:rPr>
                <w:rFonts w:hint="eastAsia"/>
                <w:szCs w:val="21"/>
              </w:rPr>
            </w:pPr>
          </w:p>
        </w:tc>
      </w:tr>
      <w:tr w:rsidR="00E94FC6" w14:paraId="5BEBCF83"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D8AA044" w14:textId="77777777" w:rsidR="00E94FC6" w:rsidRDefault="00E94FC6">
            <w:pPr>
              <w:widowControl/>
              <w:jc w:val="left"/>
              <w:rPr>
                <w:rFonts w:hint="eastAsia"/>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0A332CF2" w14:textId="77777777" w:rsidR="00E94FC6" w:rsidRDefault="00E94FC6">
            <w:pPr>
              <w:rPr>
                <w:rFonts w:hint="eastAsia"/>
              </w:rPr>
            </w:pPr>
            <w:r>
              <w:rPr>
                <w:rFonts w:hint="eastAsia"/>
              </w:rPr>
              <w:t>项目实施计划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84FE407" w14:textId="77777777" w:rsidR="00E94FC6" w:rsidRDefault="00E94FC6">
            <w:pPr>
              <w:widowControl/>
              <w:jc w:val="left"/>
              <w:rPr>
                <w:rFonts w:hint="eastAsia"/>
                <w:szCs w:val="21"/>
              </w:rPr>
            </w:pPr>
          </w:p>
        </w:tc>
      </w:tr>
      <w:tr w:rsidR="00E94FC6" w14:paraId="7E32304C"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084AECF" w14:textId="77777777" w:rsidR="00E94FC6" w:rsidRDefault="00E94FC6">
            <w:pPr>
              <w:widowControl/>
              <w:jc w:val="left"/>
              <w:rPr>
                <w:rFonts w:hint="eastAsia"/>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D32E2FC" w14:textId="77777777" w:rsidR="00E94FC6" w:rsidRDefault="00E94FC6">
            <w:pPr>
              <w:rPr>
                <w:rFonts w:hint="eastAsia"/>
              </w:rPr>
            </w:pPr>
            <w:r>
              <w:rPr>
                <w:rFonts w:hint="eastAsia"/>
              </w:rPr>
              <w:t>培训计划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243AC8B3" w14:textId="77777777" w:rsidR="00E94FC6" w:rsidRDefault="00E94FC6">
            <w:pPr>
              <w:widowControl/>
              <w:jc w:val="left"/>
              <w:rPr>
                <w:rFonts w:hint="eastAsia"/>
                <w:szCs w:val="21"/>
              </w:rPr>
            </w:pPr>
          </w:p>
        </w:tc>
      </w:tr>
      <w:tr w:rsidR="00E94FC6" w14:paraId="7C4331A6" w14:textId="77777777" w:rsidTr="00E94FC6">
        <w:trPr>
          <w:trHeight w:val="469"/>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6673D96E" w14:textId="77777777" w:rsidR="00E94FC6" w:rsidRDefault="00E94FC6">
            <w:pPr>
              <w:jc w:val="center"/>
              <w:rPr>
                <w:rFonts w:hint="eastAsia"/>
                <w:b/>
              </w:rPr>
            </w:pPr>
            <w:r>
              <w:rPr>
                <w:rFonts w:hint="eastAsia"/>
                <w:b/>
              </w:rPr>
              <w:t>记录类</w:t>
            </w:r>
          </w:p>
        </w:tc>
        <w:tc>
          <w:tcPr>
            <w:tcW w:w="1938" w:type="pct"/>
            <w:tcBorders>
              <w:top w:val="single" w:sz="4" w:space="0" w:color="auto"/>
              <w:left w:val="single" w:sz="4" w:space="0" w:color="auto"/>
              <w:bottom w:val="single" w:sz="8" w:space="0" w:color="auto"/>
              <w:right w:val="single" w:sz="4" w:space="0" w:color="auto"/>
            </w:tcBorders>
            <w:vAlign w:val="center"/>
            <w:hideMark/>
          </w:tcPr>
          <w:p w14:paraId="05693AB0" w14:textId="77777777" w:rsidR="00E94FC6" w:rsidRDefault="00E94FC6">
            <w:pPr>
              <w:rPr>
                <w:rFonts w:hint="eastAsia"/>
                <w:color w:val="000000"/>
                <w:kern w:val="0"/>
              </w:rPr>
            </w:pPr>
            <w:r>
              <w:rPr>
                <w:rFonts w:hint="eastAsia"/>
              </w:rPr>
              <w:t>培训记录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0FD30BB" w14:textId="77777777" w:rsidR="00E94FC6" w:rsidRDefault="00E94FC6">
            <w:pPr>
              <w:widowControl/>
              <w:jc w:val="left"/>
              <w:rPr>
                <w:rFonts w:hint="eastAsia"/>
                <w:szCs w:val="21"/>
              </w:rPr>
            </w:pPr>
          </w:p>
        </w:tc>
      </w:tr>
      <w:tr w:rsidR="00E94FC6" w14:paraId="2B8EE703" w14:textId="77777777" w:rsidTr="00E94FC6">
        <w:trPr>
          <w:trHeight w:val="45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8D4A497" w14:textId="77777777" w:rsidR="00E94FC6" w:rsidRDefault="00E94FC6">
            <w:pPr>
              <w:widowControl/>
              <w:jc w:val="left"/>
              <w:rPr>
                <w:rFonts w:hint="eastAsia"/>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50BB154A" w14:textId="77777777" w:rsidR="00E94FC6" w:rsidRDefault="00E94FC6">
            <w:pPr>
              <w:rPr>
                <w:rFonts w:hint="eastAsia"/>
              </w:rPr>
            </w:pPr>
            <w:r>
              <w:rPr>
                <w:rFonts w:hint="eastAsia"/>
              </w:rPr>
              <w:t>例会记录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42C88F5" w14:textId="77777777" w:rsidR="00E94FC6" w:rsidRDefault="00E94FC6">
            <w:pPr>
              <w:widowControl/>
              <w:jc w:val="left"/>
              <w:rPr>
                <w:rFonts w:hint="eastAsia"/>
                <w:szCs w:val="21"/>
              </w:rPr>
            </w:pPr>
          </w:p>
        </w:tc>
      </w:tr>
      <w:tr w:rsidR="00E94FC6" w14:paraId="53A4255F" w14:textId="77777777" w:rsidTr="00E94FC6">
        <w:trPr>
          <w:trHeight w:val="45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44126EC" w14:textId="77777777" w:rsidR="00E94FC6" w:rsidRDefault="00E94FC6">
            <w:pPr>
              <w:widowControl/>
              <w:jc w:val="left"/>
              <w:rPr>
                <w:rFonts w:hint="eastAsia"/>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727EF47D" w14:textId="77777777" w:rsidR="00E94FC6" w:rsidRDefault="00E94FC6">
            <w:pPr>
              <w:rPr>
                <w:rFonts w:hint="eastAsia"/>
              </w:rPr>
            </w:pPr>
            <w:r>
              <w:rPr>
                <w:rFonts w:hint="eastAsia"/>
              </w:rPr>
              <w:t>故障诊断及排除记录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B764790" w14:textId="77777777" w:rsidR="00E94FC6" w:rsidRDefault="00E94FC6">
            <w:pPr>
              <w:widowControl/>
              <w:jc w:val="left"/>
              <w:rPr>
                <w:rFonts w:hint="eastAsia"/>
                <w:szCs w:val="21"/>
              </w:rPr>
            </w:pPr>
          </w:p>
        </w:tc>
      </w:tr>
      <w:tr w:rsidR="00E94FC6" w14:paraId="06E78F20" w14:textId="77777777" w:rsidTr="00E94FC6">
        <w:trPr>
          <w:trHeight w:val="45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B3A80FB" w14:textId="77777777" w:rsidR="00E94FC6" w:rsidRDefault="00E94FC6">
            <w:pPr>
              <w:widowControl/>
              <w:jc w:val="left"/>
              <w:rPr>
                <w:rFonts w:hint="eastAsia"/>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6E73045B" w14:textId="77777777" w:rsidR="00E94FC6" w:rsidRDefault="00E94FC6">
            <w:pPr>
              <w:rPr>
                <w:rFonts w:hint="eastAsia"/>
              </w:rPr>
            </w:pPr>
            <w:r>
              <w:rPr>
                <w:rFonts w:hint="eastAsia"/>
              </w:rPr>
              <w:t>项目实施工作单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D7B1BD5" w14:textId="77777777" w:rsidR="00E94FC6" w:rsidRDefault="00E94FC6">
            <w:pPr>
              <w:widowControl/>
              <w:jc w:val="left"/>
              <w:rPr>
                <w:rFonts w:hint="eastAsia"/>
                <w:szCs w:val="21"/>
              </w:rPr>
            </w:pPr>
          </w:p>
        </w:tc>
      </w:tr>
      <w:tr w:rsidR="00E94FC6" w14:paraId="10508333" w14:textId="77777777" w:rsidTr="00E94FC6">
        <w:trPr>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7C6A82CE" w14:textId="77777777" w:rsidR="00E94FC6" w:rsidRDefault="00E94FC6">
            <w:pPr>
              <w:jc w:val="center"/>
              <w:rPr>
                <w:rFonts w:hint="eastAsia"/>
              </w:rPr>
            </w:pPr>
            <w:r>
              <w:rPr>
                <w:rFonts w:hint="eastAsia"/>
                <w:b/>
              </w:rPr>
              <w:t>使用类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1D292448" w14:textId="77777777" w:rsidR="00E94FC6" w:rsidRDefault="00E94FC6">
            <w:pPr>
              <w:rPr>
                <w:rFonts w:hint="eastAsia"/>
              </w:rPr>
            </w:pPr>
            <w:r>
              <w:rPr>
                <w:rFonts w:ascii="Arial" w:hAnsi="Arial" w:cs="Arial" w:hint="eastAsia"/>
                <w:bCs/>
              </w:rPr>
              <w:t>用户使用手册</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4E6192FB" w14:textId="77777777" w:rsidR="00E94FC6" w:rsidRDefault="00E94FC6">
            <w:pPr>
              <w:ind w:firstLineChars="12" w:firstLine="25"/>
              <w:jc w:val="center"/>
              <w:rPr>
                <w:rFonts w:hint="eastAsia"/>
              </w:rPr>
            </w:pPr>
            <w:r>
              <w:rPr>
                <w:rFonts w:hint="eastAsia"/>
              </w:rPr>
              <w:t>项目实施阶段</w:t>
            </w:r>
          </w:p>
        </w:tc>
      </w:tr>
      <w:tr w:rsidR="00E94FC6" w14:paraId="49F5341D" w14:textId="77777777" w:rsidTr="00E94FC6">
        <w:trPr>
          <w:trHeight w:val="465"/>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BC5F119" w14:textId="77777777" w:rsidR="00E94FC6" w:rsidRDefault="00E94FC6">
            <w:pPr>
              <w:widowControl/>
              <w:jc w:val="left"/>
              <w:rPr>
                <w:rFonts w:hint="eastAsia"/>
                <w:szCs w:val="21"/>
              </w:rPr>
            </w:pPr>
          </w:p>
        </w:tc>
        <w:tc>
          <w:tcPr>
            <w:tcW w:w="1938" w:type="pct"/>
            <w:tcBorders>
              <w:top w:val="single" w:sz="8" w:space="0" w:color="auto"/>
              <w:left w:val="single" w:sz="4" w:space="0" w:color="auto"/>
              <w:bottom w:val="single" w:sz="8" w:space="0" w:color="auto"/>
              <w:right w:val="single" w:sz="4" w:space="0" w:color="auto"/>
            </w:tcBorders>
            <w:vAlign w:val="center"/>
            <w:hideMark/>
          </w:tcPr>
          <w:p w14:paraId="73BF4769" w14:textId="77777777" w:rsidR="00E94FC6" w:rsidRDefault="00E94FC6">
            <w:pPr>
              <w:rPr>
                <w:rFonts w:ascii="Arial" w:hAnsi="Arial" w:cs="Arial"/>
                <w:bCs/>
              </w:rPr>
            </w:pPr>
            <w:r>
              <w:rPr>
                <w:rFonts w:ascii="Arial" w:hAnsi="Arial" w:cs="Arial" w:hint="eastAsia"/>
                <w:bCs/>
              </w:rPr>
              <w:t>管理员使用手册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C2386C0" w14:textId="77777777" w:rsidR="00E94FC6" w:rsidRDefault="00E94FC6">
            <w:pPr>
              <w:widowControl/>
              <w:jc w:val="left"/>
              <w:rPr>
                <w:rFonts w:hint="eastAsia"/>
                <w:szCs w:val="21"/>
              </w:rPr>
            </w:pPr>
          </w:p>
        </w:tc>
      </w:tr>
      <w:tr w:rsidR="00E94FC6" w14:paraId="0C925E85" w14:textId="77777777" w:rsidTr="00E94FC6">
        <w:trPr>
          <w:trHeight w:val="465"/>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EDD177F" w14:textId="77777777" w:rsidR="00E94FC6" w:rsidRDefault="00E94FC6">
            <w:pPr>
              <w:widowControl/>
              <w:jc w:val="left"/>
              <w:rPr>
                <w:rFonts w:hint="eastAsia"/>
                <w:szCs w:val="21"/>
              </w:rPr>
            </w:pPr>
          </w:p>
        </w:tc>
        <w:tc>
          <w:tcPr>
            <w:tcW w:w="1938" w:type="pct"/>
            <w:tcBorders>
              <w:top w:val="single" w:sz="8" w:space="0" w:color="auto"/>
              <w:left w:val="single" w:sz="4" w:space="0" w:color="auto"/>
              <w:bottom w:val="single" w:sz="8" w:space="0" w:color="auto"/>
              <w:right w:val="single" w:sz="4" w:space="0" w:color="auto"/>
            </w:tcBorders>
            <w:vAlign w:val="center"/>
            <w:hideMark/>
          </w:tcPr>
          <w:p w14:paraId="62DB509B" w14:textId="77777777" w:rsidR="00E94FC6" w:rsidRDefault="00E94FC6">
            <w:pPr>
              <w:rPr>
                <w:rFonts w:ascii="Arial" w:hAnsi="Arial" w:cs="Arial"/>
                <w:bCs/>
              </w:rPr>
            </w:pPr>
            <w:r>
              <w:rPr>
                <w:rFonts w:ascii="Arial" w:hAnsi="Arial" w:cs="Arial" w:hint="eastAsia"/>
                <w:bCs/>
              </w:rPr>
              <w:t>故障诊断与排除手册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2B0329D" w14:textId="77777777" w:rsidR="00E94FC6" w:rsidRDefault="00E94FC6">
            <w:pPr>
              <w:widowControl/>
              <w:jc w:val="left"/>
              <w:rPr>
                <w:rFonts w:hint="eastAsia"/>
                <w:szCs w:val="21"/>
              </w:rPr>
            </w:pPr>
          </w:p>
        </w:tc>
      </w:tr>
      <w:tr w:rsidR="00E94FC6" w14:paraId="51E5C520" w14:textId="77777777" w:rsidTr="00E94FC6">
        <w:trPr>
          <w:trHeight w:val="465"/>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6640D19B" w14:textId="77777777" w:rsidR="00E94FC6" w:rsidRDefault="00E94FC6">
            <w:pPr>
              <w:widowControl/>
              <w:jc w:val="left"/>
              <w:rPr>
                <w:rFonts w:hint="eastAsia"/>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5FB6177A" w14:textId="77777777" w:rsidR="00E94FC6" w:rsidRDefault="00E94FC6">
            <w:pPr>
              <w:rPr>
                <w:rFonts w:ascii="Arial" w:hAnsi="Arial" w:cs="Arial"/>
                <w:bCs/>
              </w:rPr>
            </w:pPr>
            <w:r>
              <w:rPr>
                <w:rFonts w:ascii="Arial" w:hAnsi="Arial" w:cs="Arial" w:hint="eastAsia"/>
                <w:bCs/>
              </w:rPr>
              <w:t>系统安装手册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7AF79EF" w14:textId="77777777" w:rsidR="00E94FC6" w:rsidRDefault="00E94FC6">
            <w:pPr>
              <w:widowControl/>
              <w:jc w:val="left"/>
              <w:rPr>
                <w:rFonts w:hint="eastAsia"/>
                <w:szCs w:val="21"/>
              </w:rPr>
            </w:pPr>
          </w:p>
        </w:tc>
      </w:tr>
      <w:tr w:rsidR="00E94FC6" w14:paraId="0C7092EF" w14:textId="77777777" w:rsidTr="00E94FC6">
        <w:trPr>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76C84DC4" w14:textId="77777777" w:rsidR="00E94FC6" w:rsidRDefault="00E94FC6">
            <w:pPr>
              <w:jc w:val="center"/>
              <w:rPr>
                <w:rFonts w:hint="eastAsia"/>
              </w:rPr>
            </w:pPr>
            <w:r>
              <w:rPr>
                <w:rFonts w:hint="eastAsia"/>
                <w:b/>
              </w:rPr>
              <w:t>测试类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7D5C3CAE" w14:textId="77777777" w:rsidR="00E94FC6" w:rsidRDefault="00E94FC6">
            <w:pPr>
              <w:rPr>
                <w:rFonts w:hint="eastAsia"/>
              </w:rPr>
            </w:pPr>
            <w:r>
              <w:rPr>
                <w:rFonts w:hint="eastAsia"/>
              </w:rPr>
              <w:t>测试计划</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5690CF61" w14:textId="77777777" w:rsidR="00E94FC6" w:rsidRDefault="00E94FC6">
            <w:pPr>
              <w:ind w:firstLineChars="12" w:firstLine="25"/>
              <w:jc w:val="center"/>
              <w:rPr>
                <w:rFonts w:hint="eastAsia"/>
              </w:rPr>
            </w:pPr>
            <w:r>
              <w:rPr>
                <w:rFonts w:hint="eastAsia"/>
              </w:rPr>
              <w:t>项目实施阶段</w:t>
            </w:r>
          </w:p>
        </w:tc>
      </w:tr>
      <w:tr w:rsidR="00E94FC6" w14:paraId="2ABD8BAE"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5C1945E" w14:textId="77777777" w:rsidR="00E94FC6" w:rsidRDefault="00E94FC6">
            <w:pPr>
              <w:widowControl/>
              <w:jc w:val="left"/>
              <w:rPr>
                <w:rFonts w:hint="eastAsia"/>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E65C72A" w14:textId="77777777" w:rsidR="00E94FC6" w:rsidRDefault="00E94FC6">
            <w:pPr>
              <w:rPr>
                <w:rFonts w:hint="eastAsia"/>
              </w:rPr>
            </w:pPr>
            <w:r>
              <w:rPr>
                <w:rFonts w:hint="eastAsia"/>
              </w:rPr>
              <w:t>系统测试报告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2196A17A" w14:textId="77777777" w:rsidR="00E94FC6" w:rsidRDefault="00E94FC6">
            <w:pPr>
              <w:widowControl/>
              <w:jc w:val="left"/>
              <w:rPr>
                <w:rFonts w:hint="eastAsia"/>
                <w:szCs w:val="21"/>
              </w:rPr>
            </w:pPr>
          </w:p>
        </w:tc>
      </w:tr>
      <w:tr w:rsidR="00E94FC6" w14:paraId="6672023B"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4A45B31" w14:textId="77777777" w:rsidR="00E94FC6" w:rsidRDefault="00E94FC6">
            <w:pPr>
              <w:widowControl/>
              <w:jc w:val="left"/>
              <w:rPr>
                <w:rFonts w:hint="eastAsia"/>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04B3D7D" w14:textId="77777777" w:rsidR="00E94FC6" w:rsidRDefault="00E94FC6">
            <w:pPr>
              <w:rPr>
                <w:rFonts w:hint="eastAsia"/>
              </w:rPr>
            </w:pPr>
            <w:r>
              <w:rPr>
                <w:rFonts w:hint="eastAsia"/>
              </w:rPr>
              <w:t>安全测试与评估报告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182EAAF" w14:textId="77777777" w:rsidR="00E94FC6" w:rsidRDefault="00E94FC6">
            <w:pPr>
              <w:widowControl/>
              <w:jc w:val="left"/>
              <w:rPr>
                <w:rFonts w:hint="eastAsia"/>
                <w:szCs w:val="21"/>
              </w:rPr>
            </w:pPr>
          </w:p>
        </w:tc>
      </w:tr>
      <w:tr w:rsidR="00E94FC6" w14:paraId="5B7E11C6" w14:textId="77777777" w:rsidTr="00E94FC6">
        <w:trPr>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3ECC764A" w14:textId="77777777" w:rsidR="00E94FC6" w:rsidRDefault="00E94FC6">
            <w:pPr>
              <w:jc w:val="center"/>
              <w:rPr>
                <w:rFonts w:hint="eastAsia"/>
                <w:b/>
              </w:rPr>
            </w:pPr>
            <w:r>
              <w:rPr>
                <w:rFonts w:hint="eastAsia"/>
                <w:b/>
              </w:rPr>
              <w:t>验收类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44E2BB17" w14:textId="77777777" w:rsidR="00E94FC6" w:rsidRDefault="00E94FC6">
            <w:pPr>
              <w:rPr>
                <w:rFonts w:hint="eastAsia"/>
                <w:b/>
              </w:rPr>
            </w:pPr>
            <w:r>
              <w:rPr>
                <w:rFonts w:hint="eastAsia"/>
              </w:rPr>
              <w:t>系统试运行报告</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493042C3" w14:textId="77777777" w:rsidR="00E94FC6" w:rsidRDefault="00E94FC6">
            <w:pPr>
              <w:ind w:firstLineChars="12" w:firstLine="25"/>
              <w:jc w:val="center"/>
              <w:rPr>
                <w:rFonts w:hint="eastAsia"/>
              </w:rPr>
            </w:pPr>
            <w:r>
              <w:rPr>
                <w:rFonts w:hint="eastAsia"/>
              </w:rPr>
              <w:t>项目实施阶段、收尾阶段</w:t>
            </w:r>
          </w:p>
        </w:tc>
      </w:tr>
      <w:tr w:rsidR="00E94FC6" w14:paraId="08CFDFD9"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E7CB818" w14:textId="77777777" w:rsidR="00E94FC6" w:rsidRDefault="00E94FC6">
            <w:pPr>
              <w:widowControl/>
              <w:jc w:val="left"/>
              <w:rPr>
                <w:rFonts w:hint="eastAsia"/>
                <w:b/>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61AF180E" w14:textId="77777777" w:rsidR="00E94FC6" w:rsidRDefault="00E94FC6">
            <w:pPr>
              <w:rPr>
                <w:rFonts w:hint="eastAsia"/>
                <w:b/>
              </w:rPr>
            </w:pPr>
            <w:r>
              <w:rPr>
                <w:rFonts w:hint="eastAsia"/>
              </w:rPr>
              <w:t>项目验收报告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53AB8CA" w14:textId="77777777" w:rsidR="00E94FC6" w:rsidRDefault="00E94FC6">
            <w:pPr>
              <w:widowControl/>
              <w:jc w:val="left"/>
              <w:rPr>
                <w:rFonts w:hint="eastAsia"/>
                <w:szCs w:val="21"/>
              </w:rPr>
            </w:pPr>
          </w:p>
        </w:tc>
      </w:tr>
      <w:tr w:rsidR="00E94FC6" w14:paraId="462E981B" w14:textId="77777777" w:rsidTr="00E94FC6">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9CB3FBB" w14:textId="77777777" w:rsidR="00E94FC6" w:rsidRDefault="00E94FC6">
            <w:pPr>
              <w:widowControl/>
              <w:jc w:val="left"/>
              <w:rPr>
                <w:rFonts w:hint="eastAsia"/>
                <w:b/>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558AFBD" w14:textId="77777777" w:rsidR="00E94FC6" w:rsidRDefault="00E94FC6">
            <w:pPr>
              <w:rPr>
                <w:rFonts w:hint="eastAsia"/>
              </w:rPr>
            </w:pPr>
            <w:r>
              <w:rPr>
                <w:rFonts w:hint="eastAsia"/>
                <w:color w:val="000000"/>
                <w:kern w:val="0"/>
              </w:rPr>
              <w:t>工作总结报告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65AD873" w14:textId="77777777" w:rsidR="00E94FC6" w:rsidRDefault="00E94FC6">
            <w:pPr>
              <w:widowControl/>
              <w:jc w:val="left"/>
              <w:rPr>
                <w:rFonts w:hint="eastAsia"/>
                <w:szCs w:val="21"/>
              </w:rPr>
            </w:pPr>
          </w:p>
        </w:tc>
      </w:tr>
      <w:tr w:rsidR="00E94FC6" w14:paraId="1A06465A" w14:textId="77777777" w:rsidTr="00E94FC6">
        <w:trPr>
          <w:jc w:val="center"/>
        </w:trPr>
        <w:tc>
          <w:tcPr>
            <w:tcW w:w="1294" w:type="pct"/>
            <w:tcBorders>
              <w:top w:val="single" w:sz="4" w:space="0" w:color="auto"/>
              <w:left w:val="single" w:sz="12" w:space="0" w:color="auto"/>
              <w:bottom w:val="single" w:sz="12" w:space="0" w:color="auto"/>
              <w:right w:val="single" w:sz="4" w:space="0" w:color="auto"/>
            </w:tcBorders>
            <w:vAlign w:val="center"/>
            <w:hideMark/>
          </w:tcPr>
          <w:p w14:paraId="048E25F8" w14:textId="77777777" w:rsidR="00E94FC6" w:rsidRDefault="00E94FC6">
            <w:pPr>
              <w:jc w:val="center"/>
              <w:rPr>
                <w:rFonts w:hint="eastAsia"/>
                <w:b/>
              </w:rPr>
            </w:pPr>
            <w:r>
              <w:rPr>
                <w:rFonts w:hint="eastAsia"/>
                <w:b/>
              </w:rPr>
              <w:t>会议类</w:t>
            </w:r>
          </w:p>
        </w:tc>
        <w:tc>
          <w:tcPr>
            <w:tcW w:w="1938" w:type="pct"/>
            <w:tcBorders>
              <w:top w:val="single" w:sz="4" w:space="0" w:color="auto"/>
              <w:left w:val="single" w:sz="4" w:space="0" w:color="auto"/>
              <w:bottom w:val="single" w:sz="12" w:space="0" w:color="auto"/>
              <w:right w:val="single" w:sz="4" w:space="0" w:color="auto"/>
            </w:tcBorders>
            <w:vAlign w:val="center"/>
            <w:hideMark/>
          </w:tcPr>
          <w:p w14:paraId="5C534C9F" w14:textId="77777777" w:rsidR="00E94FC6" w:rsidRDefault="00E94FC6">
            <w:pPr>
              <w:rPr>
                <w:rFonts w:hint="eastAsia"/>
                <w:color w:val="000000"/>
                <w:kern w:val="0"/>
              </w:rPr>
            </w:pPr>
            <w:r>
              <w:rPr>
                <w:rFonts w:hint="eastAsia"/>
                <w:color w:val="000000"/>
                <w:kern w:val="0"/>
              </w:rPr>
              <w:t>会议记录</w:t>
            </w:r>
          </w:p>
        </w:tc>
        <w:tc>
          <w:tcPr>
            <w:tcW w:w="1768" w:type="pct"/>
            <w:tcBorders>
              <w:top w:val="single" w:sz="4" w:space="0" w:color="auto"/>
              <w:left w:val="single" w:sz="4" w:space="0" w:color="auto"/>
              <w:bottom w:val="single" w:sz="12" w:space="0" w:color="auto"/>
              <w:right w:val="single" w:sz="12" w:space="0" w:color="auto"/>
            </w:tcBorders>
            <w:vAlign w:val="center"/>
            <w:hideMark/>
          </w:tcPr>
          <w:p w14:paraId="02AF4C14" w14:textId="77777777" w:rsidR="00E94FC6" w:rsidRDefault="00E94FC6">
            <w:pPr>
              <w:ind w:firstLineChars="12" w:firstLine="25"/>
              <w:jc w:val="center"/>
              <w:rPr>
                <w:rFonts w:hint="eastAsia"/>
              </w:rPr>
            </w:pPr>
            <w:r>
              <w:rPr>
                <w:rFonts w:hint="eastAsia"/>
              </w:rPr>
              <w:t>项目全阶段</w:t>
            </w:r>
          </w:p>
        </w:tc>
      </w:tr>
    </w:tbl>
    <w:p w14:paraId="23B4FFF2" w14:textId="0CE1275B" w:rsidR="00E94FC6" w:rsidRPr="00993831" w:rsidRDefault="00E752DD" w:rsidP="00E752DD">
      <w:pPr>
        <w:pStyle w:val="6"/>
        <w:rPr>
          <w:rFonts w:hint="eastAsia"/>
          <w:sz w:val="21"/>
          <w:szCs w:val="22"/>
        </w:rPr>
      </w:pPr>
      <w:r>
        <w:rPr>
          <w:rFonts w:hint="eastAsia"/>
        </w:rPr>
        <w:lastRenderedPageBreak/>
        <w:t>**文档控制</w:t>
      </w:r>
    </w:p>
    <w:p w14:paraId="2C351152" w14:textId="19B31E99" w:rsidR="00993831" w:rsidRDefault="00E752DD" w:rsidP="00E752DD">
      <w:pPr>
        <w:pStyle w:val="5"/>
        <w:rPr>
          <w:rFonts w:hint="eastAsia"/>
        </w:rPr>
      </w:pPr>
      <w:r>
        <w:rPr>
          <w:rFonts w:hint="eastAsia"/>
        </w:rPr>
        <w:t>风险管理</w:t>
      </w:r>
    </w:p>
    <w:p w14:paraId="0AC5284F" w14:textId="77777777" w:rsidR="001C2850" w:rsidRPr="001C2850" w:rsidRDefault="001C2850" w:rsidP="001C2850">
      <w:pPr>
        <w:pStyle w:val="6"/>
        <w:rPr>
          <w:rFonts w:hint="eastAsia"/>
        </w:rPr>
      </w:pPr>
      <w:bookmarkStart w:id="22" w:name="_Toc185788738"/>
      <w:bookmarkStart w:id="23" w:name="_Toc180263821"/>
      <w:bookmarkStart w:id="24" w:name="_Toc251253040"/>
      <w:bookmarkStart w:id="25" w:name="_Toc290734015"/>
      <w:bookmarkStart w:id="26" w:name="_Toc309547576"/>
      <w:bookmarkStart w:id="27" w:name="_Toc372272965"/>
      <w:bookmarkStart w:id="28" w:name="_Toc234940050"/>
      <w:r w:rsidRPr="001C2850">
        <w:rPr>
          <w:rFonts w:hint="eastAsia"/>
        </w:rPr>
        <w:t>风险管理总体框架</w:t>
      </w:r>
      <w:bookmarkEnd w:id="22"/>
      <w:bookmarkEnd w:id="23"/>
      <w:bookmarkEnd w:id="24"/>
      <w:bookmarkEnd w:id="25"/>
      <w:bookmarkEnd w:id="26"/>
      <w:bookmarkEnd w:id="27"/>
    </w:p>
    <w:p w14:paraId="48A8037D" w14:textId="774ED1F5" w:rsidR="001C2850" w:rsidRDefault="001C2850" w:rsidP="001C2850">
      <w:pPr>
        <w:jc w:val="center"/>
        <w:rPr>
          <w:rFonts w:hint="eastAsia"/>
        </w:rPr>
      </w:pPr>
      <w:r>
        <w:rPr>
          <w:noProof/>
        </w:rPr>
        <w:drawing>
          <wp:inline distT="0" distB="0" distL="0" distR="0" wp14:anchorId="32D3A6B8" wp14:editId="1B3C672C">
            <wp:extent cx="4598670" cy="3990340"/>
            <wp:effectExtent l="0" t="0" r="0" b="0"/>
            <wp:docPr id="57" name="图片 57"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日程表&#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8670" cy="3990340"/>
                    </a:xfrm>
                    <a:prstGeom prst="rect">
                      <a:avLst/>
                    </a:prstGeom>
                    <a:noFill/>
                    <a:ln>
                      <a:noFill/>
                    </a:ln>
                  </pic:spPr>
                </pic:pic>
              </a:graphicData>
            </a:graphic>
          </wp:inline>
        </w:drawing>
      </w:r>
    </w:p>
    <w:p w14:paraId="709AB35D" w14:textId="77777777" w:rsidR="001C2850" w:rsidRDefault="001C2850" w:rsidP="001C2850">
      <w:pPr>
        <w:pStyle w:val="a9"/>
        <w:spacing w:line="360" w:lineRule="auto"/>
        <w:ind w:firstLine="480"/>
        <w:rPr>
          <w:sz w:val="24"/>
        </w:rPr>
      </w:pPr>
      <w:r>
        <w:rPr>
          <w:rFonts w:hint="eastAsia"/>
          <w:sz w:val="24"/>
        </w:rPr>
        <w:t>风险管理实际上是对风险识别、风险分析、风险评估量化以及风险管理控制的循环管理过程。</w:t>
      </w:r>
    </w:p>
    <w:p w14:paraId="79DFF8A2" w14:textId="77777777" w:rsidR="001C2850" w:rsidRDefault="001C2850" w:rsidP="001C2850">
      <w:pPr>
        <w:pStyle w:val="a9"/>
        <w:spacing w:line="360" w:lineRule="auto"/>
        <w:ind w:firstLine="480"/>
        <w:rPr>
          <w:sz w:val="24"/>
        </w:rPr>
      </w:pPr>
      <w:r>
        <w:rPr>
          <w:rFonts w:hint="eastAsia"/>
          <w:sz w:val="24"/>
        </w:rPr>
        <w:t>在作风险识别时，应该现对风险进行分类。不同类别的风险因素，将会有不同的应对措施。</w:t>
      </w:r>
    </w:p>
    <w:p w14:paraId="205256D0" w14:textId="3B956112" w:rsidR="001C2850" w:rsidRDefault="001C2850" w:rsidP="001C2850">
      <w:pPr>
        <w:pStyle w:val="a9"/>
        <w:spacing w:line="360" w:lineRule="auto"/>
        <w:ind w:firstLine="480"/>
        <w:rPr>
          <w:rFonts w:ascii="仿宋_GB2312" w:eastAsia="仿宋_GB2312"/>
          <w:sz w:val="24"/>
        </w:rPr>
      </w:pPr>
      <w:r>
        <w:rPr>
          <w:rFonts w:hint="eastAsia"/>
          <w:sz w:val="24"/>
        </w:rPr>
        <w:t>在本项目工作的各项任务阶段，</w:t>
      </w:r>
      <w:r w:rsidR="00152F2A">
        <w:rPr>
          <w:rFonts w:hint="eastAsia"/>
          <w:sz w:val="24"/>
        </w:rPr>
        <w:t>我公司</w:t>
      </w:r>
      <w:r>
        <w:rPr>
          <w:rFonts w:hint="eastAsia"/>
          <w:sz w:val="24"/>
        </w:rPr>
        <w:t>分别进行了风险分析，以期合理地规避和控制。</w:t>
      </w:r>
    </w:p>
    <w:p w14:paraId="11D93C10" w14:textId="77777777" w:rsidR="001C2850" w:rsidRPr="001C2850" w:rsidRDefault="001C2850" w:rsidP="001C2850">
      <w:pPr>
        <w:pStyle w:val="7"/>
        <w:rPr>
          <w:rFonts w:hint="eastAsia"/>
        </w:rPr>
      </w:pPr>
      <w:bookmarkStart w:id="29" w:name="_Toc180263823"/>
      <w:bookmarkStart w:id="30" w:name="_Toc185788740"/>
      <w:bookmarkStart w:id="31" w:name="_Toc251253041"/>
      <w:bookmarkStart w:id="32" w:name="_Toc290734016"/>
      <w:bookmarkStart w:id="33" w:name="_Toc309547577"/>
      <w:bookmarkStart w:id="34" w:name="_Toc372272966"/>
      <w:r w:rsidRPr="001C2850">
        <w:rPr>
          <w:rFonts w:hint="eastAsia"/>
        </w:rPr>
        <w:t>风险识别</w:t>
      </w:r>
      <w:bookmarkEnd w:id="29"/>
      <w:bookmarkEnd w:id="30"/>
      <w:bookmarkEnd w:id="31"/>
      <w:bookmarkEnd w:id="32"/>
      <w:bookmarkEnd w:id="33"/>
      <w:bookmarkEnd w:id="34"/>
    </w:p>
    <w:p w14:paraId="55E1E4C3" w14:textId="77777777" w:rsidR="001C2850" w:rsidRDefault="001C2850" w:rsidP="001C2850">
      <w:pPr>
        <w:pStyle w:val="a9"/>
        <w:spacing w:line="360" w:lineRule="auto"/>
        <w:ind w:firstLine="480"/>
        <w:rPr>
          <w:sz w:val="24"/>
        </w:rPr>
      </w:pPr>
      <w:r>
        <w:rPr>
          <w:rFonts w:hint="eastAsia"/>
          <w:sz w:val="24"/>
        </w:rPr>
        <w:t>对本工程的软件开发风险进行评估，首先就要对风险因素进行辨识。风险因素是指增加、减少损失或损害发生频率和大小的主、客观条件，包括转化条件和触发条件。风险因素是风险事件发生的潜在原因，分为造成损失或损害的内在或外部原因。如果消除了所有风险因素，则损失或损害就不会发生。因此，风险因素辨识是对软件开发过程中可能产生风险的因素所</w:t>
      </w:r>
      <w:r>
        <w:rPr>
          <w:rFonts w:hint="eastAsia"/>
          <w:sz w:val="24"/>
        </w:rPr>
        <w:lastRenderedPageBreak/>
        <w:t>进行的归类和细化的工作。</w:t>
      </w:r>
    </w:p>
    <w:p w14:paraId="5611FA75" w14:textId="77777777" w:rsidR="001C2850" w:rsidRDefault="001C2850" w:rsidP="001C2850">
      <w:pPr>
        <w:pStyle w:val="7"/>
        <w:rPr>
          <w:rFonts w:hint="eastAsia"/>
        </w:rPr>
      </w:pPr>
      <w:bookmarkStart w:id="35" w:name="_Toc180263824"/>
      <w:bookmarkStart w:id="36" w:name="_Toc251253042"/>
      <w:bookmarkStart w:id="37" w:name="_Toc372272967"/>
      <w:r>
        <w:rPr>
          <w:rFonts w:hint="eastAsia"/>
        </w:rPr>
        <w:t>风险分类</w:t>
      </w:r>
      <w:bookmarkEnd w:id="35"/>
      <w:bookmarkEnd w:id="36"/>
      <w:bookmarkEnd w:id="37"/>
    </w:p>
    <w:p w14:paraId="0AC250BF" w14:textId="77777777" w:rsidR="001C2850" w:rsidRDefault="001C2850" w:rsidP="001C2850">
      <w:pPr>
        <w:pStyle w:val="a9"/>
        <w:spacing w:line="360" w:lineRule="auto"/>
        <w:ind w:firstLine="480"/>
        <w:rPr>
          <w:sz w:val="24"/>
        </w:rPr>
      </w:pPr>
      <w:r>
        <w:rPr>
          <w:rFonts w:hint="eastAsia"/>
          <w:sz w:val="24"/>
        </w:rPr>
        <w:t>在运用多种方法分析项目建设中可能存在的风险因素，并将其进行了整理和归类后，可以把项目的风险分为五大类，且细化为若干因素。其详细情况如下图所示：</w:t>
      </w:r>
    </w:p>
    <w:p w14:paraId="5BA054A0" w14:textId="30CDF8BC" w:rsidR="001C2850" w:rsidRDefault="001C2850" w:rsidP="001C2850">
      <w:pPr>
        <w:jc w:val="center"/>
        <w:rPr>
          <w:rFonts w:hint="eastAsia"/>
        </w:rPr>
      </w:pPr>
      <w:r>
        <w:rPr>
          <w:b/>
          <w:noProof/>
        </w:rPr>
        <w:drawing>
          <wp:inline distT="0" distB="0" distL="0" distR="0" wp14:anchorId="7CAFB8A8" wp14:editId="5C0E6F3A">
            <wp:extent cx="4915535" cy="2542540"/>
            <wp:effectExtent l="0" t="0" r="0" b="0"/>
            <wp:docPr id="56" name="图片 5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示&#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5535" cy="2542540"/>
                    </a:xfrm>
                    <a:prstGeom prst="rect">
                      <a:avLst/>
                    </a:prstGeom>
                    <a:noFill/>
                    <a:ln>
                      <a:noFill/>
                    </a:ln>
                  </pic:spPr>
                </pic:pic>
              </a:graphicData>
            </a:graphic>
          </wp:inline>
        </w:drawing>
      </w:r>
    </w:p>
    <w:p w14:paraId="30DB6288" w14:textId="77777777" w:rsidR="001C2850" w:rsidRDefault="001C2850" w:rsidP="001C2850">
      <w:pPr>
        <w:pStyle w:val="a9"/>
        <w:spacing w:line="360" w:lineRule="auto"/>
        <w:ind w:firstLine="480"/>
        <w:rPr>
          <w:sz w:val="24"/>
        </w:rPr>
      </w:pPr>
      <w:r>
        <w:rPr>
          <w:rFonts w:hint="eastAsia"/>
          <w:sz w:val="24"/>
        </w:rPr>
        <w:t>可以将项目的风险因素划分为五大类。</w:t>
      </w:r>
    </w:p>
    <w:p w14:paraId="6B5FBE2A" w14:textId="77777777" w:rsidR="001C2850" w:rsidRDefault="001C2850" w:rsidP="001C2850">
      <w:pPr>
        <w:pStyle w:val="a9"/>
        <w:spacing w:line="360" w:lineRule="auto"/>
        <w:ind w:firstLine="480"/>
        <w:rPr>
          <w:sz w:val="24"/>
        </w:rPr>
      </w:pPr>
      <w:r>
        <w:rPr>
          <w:rFonts w:hint="eastAsia"/>
          <w:sz w:val="24"/>
        </w:rPr>
        <w:t>从系统的角度来看，其中技术、费用和进度风险是系统的内部因素，而社会环境和管理风险则是外部因素。它们的具体涵义如下：</w:t>
      </w:r>
    </w:p>
    <w:p w14:paraId="530F4B64" w14:textId="77777777" w:rsidR="001C2850" w:rsidRDefault="001C2850" w:rsidP="001C2850">
      <w:pPr>
        <w:pStyle w:val="a9"/>
        <w:spacing w:line="360" w:lineRule="auto"/>
        <w:ind w:firstLine="482"/>
        <w:rPr>
          <w:b/>
          <w:sz w:val="24"/>
        </w:rPr>
      </w:pPr>
      <w:r>
        <w:rPr>
          <w:b/>
          <w:sz w:val="24"/>
        </w:rPr>
        <w:t>1</w:t>
      </w:r>
      <w:r>
        <w:rPr>
          <w:rFonts w:hint="eastAsia"/>
          <w:b/>
          <w:sz w:val="24"/>
        </w:rPr>
        <w:t>、社会环境风险</w:t>
      </w:r>
    </w:p>
    <w:p w14:paraId="0CCC182B" w14:textId="77777777" w:rsidR="001C2850" w:rsidRDefault="001C2850" w:rsidP="001C2850">
      <w:pPr>
        <w:pStyle w:val="a9"/>
        <w:spacing w:line="360" w:lineRule="auto"/>
        <w:ind w:firstLine="480"/>
        <w:rPr>
          <w:sz w:val="24"/>
        </w:rPr>
      </w:pPr>
      <w:r>
        <w:rPr>
          <w:rFonts w:hint="eastAsia"/>
          <w:sz w:val="24"/>
        </w:rPr>
        <w:t>社会环境风险是指由于国际、国内的政治、经济技术的波动（如政策变化、战争、动乱等），或者由于自然界产生的灾害（如地震、洪水等）而可能给项目带来的风险，这类风险属于大环境下的自然风险，一般是致命的，几乎无法弥补的风险。</w:t>
      </w:r>
    </w:p>
    <w:p w14:paraId="0CC7DF20" w14:textId="77777777" w:rsidR="001C2850" w:rsidRDefault="001C2850" w:rsidP="001C2850">
      <w:pPr>
        <w:pStyle w:val="a9"/>
        <w:spacing w:line="360" w:lineRule="auto"/>
        <w:ind w:firstLine="482"/>
        <w:rPr>
          <w:b/>
          <w:sz w:val="24"/>
        </w:rPr>
      </w:pPr>
      <w:r>
        <w:rPr>
          <w:b/>
          <w:sz w:val="24"/>
        </w:rPr>
        <w:t>2</w:t>
      </w:r>
      <w:r>
        <w:rPr>
          <w:rFonts w:hint="eastAsia"/>
          <w:b/>
          <w:sz w:val="24"/>
        </w:rPr>
        <w:t>、技术风险</w:t>
      </w:r>
    </w:p>
    <w:p w14:paraId="6AC77643" w14:textId="30A9CB1F" w:rsidR="001C2850" w:rsidRDefault="001C2850" w:rsidP="001C2850">
      <w:pPr>
        <w:pStyle w:val="a9"/>
        <w:spacing w:line="360" w:lineRule="auto"/>
        <w:ind w:firstLine="480"/>
        <w:rPr>
          <w:rFonts w:ascii="仿宋_GB2312" w:eastAsia="仿宋_GB2312"/>
          <w:sz w:val="24"/>
        </w:rPr>
      </w:pPr>
      <w:r>
        <w:rPr>
          <w:rFonts w:hint="eastAsia"/>
          <w:sz w:val="24"/>
        </w:rPr>
        <w:t>技术风险是指由于与项目研制相关的技术因素的变化而给项目建设带来的风险。通常定义为研制项目在规定时间内、在一定的经费保障条件下达不到战术技术指标</w:t>
      </w:r>
      <w:r w:rsidR="006C6F6D" w:rsidRPr="006C6F6D">
        <w:rPr>
          <w:rFonts w:hint="eastAsia"/>
          <w:b/>
          <w:sz w:val="24"/>
        </w:rPr>
        <w:t>招标文件要求</w:t>
      </w:r>
      <w:r>
        <w:rPr>
          <w:rFonts w:hint="eastAsia"/>
          <w:sz w:val="24"/>
        </w:rPr>
        <w:t>的可能性，或者说研制计划的某个部分出现意想不到的结果从而对整个系统效能产生有害影响的可能性及后果。就技术风险而言，一般从技术的成熟性、复杂性及与其他项目的相关性三个方面来衡量风险事件的失败可能性大小，从技术性能、费用和进度三方面来考虑该类风险发生后果损失大小。</w:t>
      </w:r>
    </w:p>
    <w:p w14:paraId="0110C58E" w14:textId="77777777" w:rsidR="001C2850" w:rsidRDefault="001C2850" w:rsidP="001C2850">
      <w:pPr>
        <w:pStyle w:val="a9"/>
        <w:spacing w:line="360" w:lineRule="auto"/>
        <w:ind w:firstLine="482"/>
        <w:rPr>
          <w:b/>
          <w:sz w:val="24"/>
        </w:rPr>
      </w:pPr>
      <w:r>
        <w:rPr>
          <w:b/>
          <w:sz w:val="24"/>
        </w:rPr>
        <w:t>3</w:t>
      </w:r>
      <w:r>
        <w:rPr>
          <w:rFonts w:hint="eastAsia"/>
          <w:b/>
          <w:sz w:val="24"/>
        </w:rPr>
        <w:t>、费用风险</w:t>
      </w:r>
    </w:p>
    <w:p w14:paraId="7B778A8F" w14:textId="4B0EC073" w:rsidR="001C2850" w:rsidRDefault="001C2850" w:rsidP="001C2850">
      <w:pPr>
        <w:pStyle w:val="a9"/>
        <w:spacing w:line="360" w:lineRule="auto"/>
        <w:ind w:firstLine="480"/>
        <w:rPr>
          <w:sz w:val="24"/>
        </w:rPr>
      </w:pPr>
      <w:r>
        <w:rPr>
          <w:rFonts w:hint="eastAsia"/>
          <w:sz w:val="24"/>
        </w:rPr>
        <w:lastRenderedPageBreak/>
        <w:t>是指由于项目任务</w:t>
      </w:r>
      <w:r w:rsidR="006C6F6D" w:rsidRPr="006C6F6D">
        <w:rPr>
          <w:rFonts w:hint="eastAsia"/>
          <w:b/>
          <w:sz w:val="24"/>
        </w:rPr>
        <w:t>招标文件要求</w:t>
      </w:r>
      <w:r>
        <w:rPr>
          <w:rFonts w:hint="eastAsia"/>
          <w:sz w:val="24"/>
        </w:rPr>
        <w:t>不明确，或受技术和进度等因素的影响而可能给项目费用带来超支的可能性。该风险可从任务</w:t>
      </w:r>
      <w:r w:rsidR="006C6F6D" w:rsidRPr="006C6F6D">
        <w:rPr>
          <w:rFonts w:hint="eastAsia"/>
          <w:b/>
          <w:sz w:val="24"/>
        </w:rPr>
        <w:t>招标文件要求</w:t>
      </w:r>
      <w:r>
        <w:rPr>
          <w:rFonts w:hint="eastAsia"/>
          <w:sz w:val="24"/>
        </w:rPr>
        <w:t>明确性、技术风险影响、进度风险影响、成本预算准确性、合同类型影响、合同报价影响六个因素出发进行估计。</w:t>
      </w:r>
    </w:p>
    <w:p w14:paraId="340B9613" w14:textId="77777777" w:rsidR="001C2850" w:rsidRDefault="001C2850" w:rsidP="001C2850">
      <w:pPr>
        <w:pStyle w:val="a9"/>
        <w:spacing w:line="360" w:lineRule="auto"/>
        <w:ind w:firstLine="482"/>
        <w:rPr>
          <w:b/>
          <w:sz w:val="24"/>
        </w:rPr>
      </w:pPr>
      <w:r>
        <w:rPr>
          <w:b/>
          <w:sz w:val="24"/>
        </w:rPr>
        <w:t>4</w:t>
      </w:r>
      <w:r>
        <w:rPr>
          <w:rFonts w:hint="eastAsia"/>
          <w:b/>
          <w:sz w:val="24"/>
        </w:rPr>
        <w:t>、进度风险</w:t>
      </w:r>
    </w:p>
    <w:p w14:paraId="3B891B2A" w14:textId="77777777" w:rsidR="001C2850" w:rsidRDefault="001C2850" w:rsidP="001C2850">
      <w:pPr>
        <w:pStyle w:val="a9"/>
        <w:spacing w:line="360" w:lineRule="auto"/>
        <w:ind w:firstLine="480"/>
        <w:rPr>
          <w:rFonts w:ascii="仿宋_GB2312" w:eastAsia="仿宋_GB2312"/>
          <w:sz w:val="24"/>
        </w:rPr>
      </w:pPr>
      <w:r>
        <w:rPr>
          <w:rFonts w:hint="eastAsia"/>
          <w:sz w:val="24"/>
        </w:rPr>
        <w:t>是指由于种种不确定性因素的存在而导致项目完工期拖延的风险。该风险主要取决于技术因素、计划合理性、资源充分性、项目人员经验等几个方面。</w:t>
      </w:r>
    </w:p>
    <w:p w14:paraId="15E3DFF2" w14:textId="77777777" w:rsidR="001C2850" w:rsidRDefault="001C2850" w:rsidP="001C2850">
      <w:pPr>
        <w:pStyle w:val="a9"/>
        <w:spacing w:line="360" w:lineRule="auto"/>
        <w:ind w:firstLine="482"/>
        <w:rPr>
          <w:b/>
          <w:sz w:val="24"/>
        </w:rPr>
      </w:pPr>
      <w:r>
        <w:rPr>
          <w:b/>
          <w:sz w:val="24"/>
        </w:rPr>
        <w:t>5</w:t>
      </w:r>
      <w:r>
        <w:rPr>
          <w:rFonts w:hint="eastAsia"/>
          <w:b/>
          <w:sz w:val="24"/>
        </w:rPr>
        <w:t>、管理风险</w:t>
      </w:r>
    </w:p>
    <w:p w14:paraId="6212F78A" w14:textId="77777777" w:rsidR="001C2850" w:rsidRDefault="001C2850" w:rsidP="001C2850">
      <w:pPr>
        <w:pStyle w:val="a9"/>
        <w:spacing w:line="360" w:lineRule="auto"/>
        <w:ind w:firstLine="480"/>
        <w:rPr>
          <w:rFonts w:ascii="仿宋_GB2312" w:eastAsia="仿宋_GB2312"/>
          <w:sz w:val="24"/>
        </w:rPr>
      </w:pPr>
      <w:r>
        <w:rPr>
          <w:rFonts w:hint="eastAsia"/>
          <w:sz w:val="24"/>
        </w:rPr>
        <w:t>是指由于项目建设的管理职能与管理对象（如管理组织、领导素质、管理计划）等因素的状况及其可能的变化，给项目建设带来的风险。</w:t>
      </w:r>
    </w:p>
    <w:p w14:paraId="0CAF64EB" w14:textId="77777777" w:rsidR="001C2850" w:rsidRDefault="001C2850" w:rsidP="001C2850">
      <w:pPr>
        <w:pStyle w:val="7"/>
        <w:rPr>
          <w:rFonts w:ascii="Times New Roman" w:eastAsia="黑体" w:hint="eastAsia"/>
        </w:rPr>
      </w:pPr>
      <w:bookmarkStart w:id="38" w:name="_Toc180263825"/>
      <w:bookmarkStart w:id="39" w:name="_Toc251253043"/>
      <w:bookmarkStart w:id="40" w:name="_Toc372272968"/>
      <w:r>
        <w:rPr>
          <w:rFonts w:hint="eastAsia"/>
        </w:rPr>
        <w:t>各风险因素的级别描述</w:t>
      </w:r>
      <w:bookmarkEnd w:id="38"/>
      <w:bookmarkEnd w:id="39"/>
      <w:bookmarkEnd w:id="40"/>
    </w:p>
    <w:p w14:paraId="3FBF418B" w14:textId="77777777" w:rsidR="001C2850" w:rsidRDefault="001C2850" w:rsidP="001C2850">
      <w:pPr>
        <w:pStyle w:val="a9"/>
        <w:spacing w:line="360" w:lineRule="auto"/>
        <w:ind w:firstLine="480"/>
        <w:rPr>
          <w:sz w:val="24"/>
        </w:rPr>
      </w:pPr>
      <w:r>
        <w:rPr>
          <w:rFonts w:hint="eastAsia"/>
          <w:sz w:val="24"/>
        </w:rPr>
        <w:t>由于项目的一次性和特殊性，在风险判别中无法根据历史数据或资料对项目风险作出准确估计，只能靠专家或决策人员根据自身经验和知识对项目风险作出主观估计，特别是在项目立项论证或研制的初期阶段更是如此。为对项目风险进行准确判别，有必要规定统一的级别描述标准。技术风险、费用风险、进度风险、管理风险的级别描述分别如下表所示。</w:t>
      </w:r>
    </w:p>
    <w:p w14:paraId="274257DA" w14:textId="77777777" w:rsidR="001C2850" w:rsidRDefault="001C2850" w:rsidP="001C2850">
      <w:pPr>
        <w:pStyle w:val="a9"/>
        <w:spacing w:line="360" w:lineRule="auto"/>
        <w:ind w:firstLine="482"/>
        <w:rPr>
          <w:b/>
          <w:sz w:val="24"/>
        </w:rPr>
      </w:pPr>
      <w:r>
        <w:rPr>
          <w:b/>
          <w:sz w:val="24"/>
        </w:rPr>
        <w:t>1</w:t>
      </w:r>
      <w:r>
        <w:rPr>
          <w:rFonts w:hint="eastAsia"/>
          <w:b/>
          <w:sz w:val="24"/>
        </w:rPr>
        <w:t>、技术风险级别描述表</w:t>
      </w:r>
    </w:p>
    <w:tbl>
      <w:tblPr>
        <w:tblW w:w="8730" w:type="dxa"/>
        <w:tblLayout w:type="fixed"/>
        <w:tblLook w:val="04A0" w:firstRow="1" w:lastRow="0" w:firstColumn="1" w:lastColumn="0" w:noHBand="0" w:noVBand="1"/>
      </w:tblPr>
      <w:tblGrid>
        <w:gridCol w:w="1193"/>
        <w:gridCol w:w="5597"/>
        <w:gridCol w:w="1940"/>
      </w:tblGrid>
      <w:tr w:rsidR="001C2850" w14:paraId="2BFE3625" w14:textId="77777777" w:rsidTr="001C2850">
        <w:trPr>
          <w:trHeight w:val="285"/>
        </w:trPr>
        <w:tc>
          <w:tcPr>
            <w:tcW w:w="6795" w:type="dxa"/>
            <w:gridSpan w:val="2"/>
            <w:tcBorders>
              <w:top w:val="single" w:sz="4" w:space="0" w:color="auto"/>
              <w:left w:val="single" w:sz="4" w:space="0" w:color="auto"/>
              <w:bottom w:val="single" w:sz="4" w:space="0" w:color="auto"/>
              <w:right w:val="single" w:sz="4" w:space="0" w:color="auto"/>
            </w:tcBorders>
            <w:shd w:val="pct20" w:color="auto" w:fill="auto"/>
            <w:hideMark/>
          </w:tcPr>
          <w:p w14:paraId="3730FE51" w14:textId="77777777" w:rsidR="001C2850" w:rsidRDefault="001C2850" w:rsidP="001C2850">
            <w:pPr>
              <w:widowControl/>
              <w:spacing w:line="360" w:lineRule="auto"/>
              <w:ind w:firstLine="420"/>
              <w:jc w:val="center"/>
              <w:rPr>
                <w:rFonts w:hint="eastAsia"/>
                <w:b/>
                <w:color w:val="000000"/>
                <w:kern w:val="0"/>
              </w:rPr>
            </w:pPr>
            <w:r>
              <w:rPr>
                <w:rFonts w:hint="eastAsia"/>
                <w:b/>
                <w:color w:val="000000"/>
                <w:kern w:val="0"/>
              </w:rPr>
              <w:t>技术风险</w:t>
            </w:r>
          </w:p>
        </w:tc>
        <w:tc>
          <w:tcPr>
            <w:tcW w:w="1941" w:type="dxa"/>
            <w:tcBorders>
              <w:top w:val="single" w:sz="4" w:space="0" w:color="auto"/>
              <w:left w:val="nil"/>
              <w:bottom w:val="single" w:sz="4" w:space="0" w:color="auto"/>
              <w:right w:val="single" w:sz="4" w:space="0" w:color="auto"/>
            </w:tcBorders>
            <w:shd w:val="pct20" w:color="auto" w:fill="auto"/>
            <w:hideMark/>
          </w:tcPr>
          <w:p w14:paraId="6D994523" w14:textId="77777777" w:rsidR="001C2850" w:rsidRDefault="001C2850" w:rsidP="001C2850">
            <w:pPr>
              <w:widowControl/>
              <w:spacing w:line="360" w:lineRule="auto"/>
              <w:ind w:firstLine="420"/>
              <w:jc w:val="center"/>
              <w:rPr>
                <w:rFonts w:hint="eastAsia"/>
                <w:b/>
                <w:color w:val="000000"/>
                <w:kern w:val="0"/>
              </w:rPr>
            </w:pPr>
            <w:r>
              <w:rPr>
                <w:rFonts w:hint="eastAsia"/>
                <w:b/>
                <w:color w:val="000000"/>
                <w:kern w:val="0"/>
              </w:rPr>
              <w:t>风险级别</w:t>
            </w:r>
          </w:p>
        </w:tc>
      </w:tr>
      <w:tr w:rsidR="001C2850" w14:paraId="732603D2"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526FE89B"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成熟性</w:t>
            </w:r>
          </w:p>
        </w:tc>
        <w:tc>
          <w:tcPr>
            <w:tcW w:w="5601" w:type="dxa"/>
            <w:tcBorders>
              <w:top w:val="nil"/>
              <w:left w:val="nil"/>
              <w:bottom w:val="single" w:sz="4" w:space="0" w:color="auto"/>
              <w:right w:val="single" w:sz="4" w:space="0" w:color="auto"/>
            </w:tcBorders>
            <w:hideMark/>
          </w:tcPr>
          <w:p w14:paraId="2A3B60D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现有的或局部重新设计</w:t>
            </w:r>
          </w:p>
        </w:tc>
        <w:tc>
          <w:tcPr>
            <w:tcW w:w="1941" w:type="dxa"/>
            <w:tcBorders>
              <w:top w:val="nil"/>
              <w:left w:val="nil"/>
              <w:bottom w:val="single" w:sz="4" w:space="0" w:color="auto"/>
              <w:right w:val="single" w:sz="4" w:space="0" w:color="auto"/>
            </w:tcBorders>
            <w:hideMark/>
          </w:tcPr>
          <w:p w14:paraId="4300075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669D9B93"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146D751F"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4632D40B"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主要部分重新设计，但技术可行</w:t>
            </w:r>
          </w:p>
        </w:tc>
        <w:tc>
          <w:tcPr>
            <w:tcW w:w="1941" w:type="dxa"/>
            <w:tcBorders>
              <w:top w:val="nil"/>
              <w:left w:val="nil"/>
              <w:bottom w:val="single" w:sz="4" w:space="0" w:color="auto"/>
              <w:right w:val="single" w:sz="4" w:space="0" w:color="auto"/>
            </w:tcBorders>
            <w:hideMark/>
          </w:tcPr>
          <w:p w14:paraId="26FD832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08BBCFF8"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476654E2"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3BD32CF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技术可行的复杂设计或最新技术，某些研究已完成</w:t>
            </w:r>
          </w:p>
        </w:tc>
        <w:tc>
          <w:tcPr>
            <w:tcW w:w="1941" w:type="dxa"/>
            <w:tcBorders>
              <w:top w:val="nil"/>
              <w:left w:val="nil"/>
              <w:bottom w:val="single" w:sz="4" w:space="0" w:color="auto"/>
              <w:right w:val="single" w:sz="4" w:space="0" w:color="auto"/>
            </w:tcBorders>
            <w:hideMark/>
          </w:tcPr>
          <w:p w14:paraId="2F70781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2C2693E4"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282606C1"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复杂性</w:t>
            </w:r>
          </w:p>
        </w:tc>
        <w:tc>
          <w:tcPr>
            <w:tcW w:w="5601" w:type="dxa"/>
            <w:tcBorders>
              <w:top w:val="nil"/>
              <w:left w:val="nil"/>
              <w:bottom w:val="single" w:sz="4" w:space="0" w:color="auto"/>
              <w:right w:val="single" w:sz="4" w:space="0" w:color="auto"/>
            </w:tcBorders>
            <w:hideMark/>
          </w:tcPr>
          <w:p w14:paraId="55DDF3A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简单设计或局部增加复杂性</w:t>
            </w:r>
          </w:p>
        </w:tc>
        <w:tc>
          <w:tcPr>
            <w:tcW w:w="1941" w:type="dxa"/>
            <w:tcBorders>
              <w:top w:val="nil"/>
              <w:left w:val="nil"/>
              <w:bottom w:val="single" w:sz="4" w:space="0" w:color="auto"/>
              <w:right w:val="single" w:sz="4" w:space="0" w:color="auto"/>
            </w:tcBorders>
            <w:hideMark/>
          </w:tcPr>
          <w:p w14:paraId="3ED929D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26271A75"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5F045E8E"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45AC476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复杂性有中等程度增加</w:t>
            </w:r>
          </w:p>
        </w:tc>
        <w:tc>
          <w:tcPr>
            <w:tcW w:w="1941" w:type="dxa"/>
            <w:tcBorders>
              <w:top w:val="nil"/>
              <w:left w:val="nil"/>
              <w:bottom w:val="single" w:sz="4" w:space="0" w:color="auto"/>
              <w:right w:val="single" w:sz="4" w:space="0" w:color="auto"/>
            </w:tcBorders>
            <w:hideMark/>
          </w:tcPr>
          <w:p w14:paraId="7D3CF24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6E9BE217"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452EC8CE"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2EDA598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复杂性显著增加或极其复杂</w:t>
            </w:r>
          </w:p>
        </w:tc>
        <w:tc>
          <w:tcPr>
            <w:tcW w:w="1941" w:type="dxa"/>
            <w:tcBorders>
              <w:top w:val="nil"/>
              <w:left w:val="nil"/>
              <w:bottom w:val="single" w:sz="4" w:space="0" w:color="auto"/>
              <w:right w:val="single" w:sz="4" w:space="0" w:color="auto"/>
            </w:tcBorders>
            <w:hideMark/>
          </w:tcPr>
          <w:p w14:paraId="09AA8AC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052A044F" w14:textId="77777777" w:rsidTr="001C2850">
        <w:trPr>
          <w:trHeight w:val="570"/>
        </w:trPr>
        <w:tc>
          <w:tcPr>
            <w:tcW w:w="1194" w:type="dxa"/>
            <w:vMerge w:val="restart"/>
            <w:tcBorders>
              <w:top w:val="nil"/>
              <w:left w:val="single" w:sz="4" w:space="0" w:color="auto"/>
              <w:bottom w:val="single" w:sz="4" w:space="0" w:color="auto"/>
              <w:right w:val="single" w:sz="4" w:space="0" w:color="auto"/>
            </w:tcBorders>
            <w:hideMark/>
          </w:tcPr>
          <w:p w14:paraId="6D3D83B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相关性</w:t>
            </w:r>
          </w:p>
        </w:tc>
        <w:tc>
          <w:tcPr>
            <w:tcW w:w="5601" w:type="dxa"/>
            <w:tcBorders>
              <w:top w:val="nil"/>
              <w:left w:val="nil"/>
              <w:bottom w:val="single" w:sz="4" w:space="0" w:color="auto"/>
              <w:right w:val="single" w:sz="4" w:space="0" w:color="auto"/>
            </w:tcBorders>
            <w:hideMark/>
          </w:tcPr>
          <w:p w14:paraId="6BF2EAF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与现有系统、设施或相关的研制单位无关或进度取决于现有的系统设施或相关的研制单位</w:t>
            </w:r>
          </w:p>
        </w:tc>
        <w:tc>
          <w:tcPr>
            <w:tcW w:w="1941" w:type="dxa"/>
            <w:tcBorders>
              <w:top w:val="nil"/>
              <w:left w:val="nil"/>
              <w:bottom w:val="single" w:sz="4" w:space="0" w:color="auto"/>
              <w:right w:val="single" w:sz="4" w:space="0" w:color="auto"/>
            </w:tcBorders>
            <w:hideMark/>
          </w:tcPr>
          <w:p w14:paraId="612C8CF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2DBEFBA4"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37F3ECDE"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23D2D3E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性能取决于现有系统性能、设施或相关的研制单位</w:t>
            </w:r>
          </w:p>
        </w:tc>
        <w:tc>
          <w:tcPr>
            <w:tcW w:w="1941" w:type="dxa"/>
            <w:tcBorders>
              <w:top w:val="nil"/>
              <w:left w:val="nil"/>
              <w:bottom w:val="single" w:sz="4" w:space="0" w:color="auto"/>
              <w:right w:val="single" w:sz="4" w:space="0" w:color="auto"/>
            </w:tcBorders>
            <w:hideMark/>
          </w:tcPr>
          <w:p w14:paraId="6A17CA7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4CBEE0DC" w14:textId="77777777" w:rsidTr="001C2850">
        <w:trPr>
          <w:trHeight w:val="855"/>
        </w:trPr>
        <w:tc>
          <w:tcPr>
            <w:tcW w:w="6795" w:type="dxa"/>
            <w:vMerge/>
            <w:tcBorders>
              <w:top w:val="nil"/>
              <w:left w:val="single" w:sz="4" w:space="0" w:color="auto"/>
              <w:bottom w:val="single" w:sz="4" w:space="0" w:color="auto"/>
              <w:right w:val="single" w:sz="4" w:space="0" w:color="auto"/>
            </w:tcBorders>
            <w:vAlign w:val="center"/>
            <w:hideMark/>
          </w:tcPr>
          <w:p w14:paraId="12C89634"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3436F14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进度取决于新系统的进度、设施或相关的研制单位或性能取决于新系统的性能、设施或相关的研制单位</w:t>
            </w:r>
          </w:p>
        </w:tc>
        <w:tc>
          <w:tcPr>
            <w:tcW w:w="1941" w:type="dxa"/>
            <w:tcBorders>
              <w:top w:val="nil"/>
              <w:left w:val="nil"/>
              <w:bottom w:val="single" w:sz="4" w:space="0" w:color="auto"/>
              <w:right w:val="single" w:sz="4" w:space="0" w:color="auto"/>
            </w:tcBorders>
            <w:hideMark/>
          </w:tcPr>
          <w:p w14:paraId="3AD306F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bl>
    <w:p w14:paraId="51C53B6D" w14:textId="77777777" w:rsidR="001C2850" w:rsidRDefault="001C2850" w:rsidP="001C2850">
      <w:pPr>
        <w:pStyle w:val="a9"/>
        <w:spacing w:line="360" w:lineRule="auto"/>
        <w:ind w:firstLine="482"/>
        <w:rPr>
          <w:b/>
        </w:rPr>
      </w:pPr>
      <w:r>
        <w:rPr>
          <w:b/>
        </w:rPr>
        <w:t>2</w:t>
      </w:r>
      <w:r>
        <w:rPr>
          <w:rFonts w:hint="eastAsia"/>
          <w:b/>
        </w:rPr>
        <w:t>、费用风险级别描述表</w:t>
      </w:r>
    </w:p>
    <w:tbl>
      <w:tblPr>
        <w:tblW w:w="0" w:type="auto"/>
        <w:tblLayout w:type="fixed"/>
        <w:tblLook w:val="04A0" w:firstRow="1" w:lastRow="0" w:firstColumn="1" w:lastColumn="0" w:noHBand="0" w:noVBand="1"/>
      </w:tblPr>
      <w:tblGrid>
        <w:gridCol w:w="1194"/>
        <w:gridCol w:w="5601"/>
        <w:gridCol w:w="1727"/>
      </w:tblGrid>
      <w:tr w:rsidR="001C2850" w14:paraId="4F14F691" w14:textId="77777777" w:rsidTr="001C2850">
        <w:trPr>
          <w:trHeight w:val="285"/>
        </w:trPr>
        <w:tc>
          <w:tcPr>
            <w:tcW w:w="679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685A6D5" w14:textId="77777777" w:rsidR="001C2850" w:rsidRDefault="001C2850" w:rsidP="001C2850">
            <w:pPr>
              <w:widowControl/>
              <w:spacing w:line="360" w:lineRule="auto"/>
              <w:ind w:firstLine="420"/>
              <w:jc w:val="center"/>
              <w:rPr>
                <w:rFonts w:hint="eastAsia"/>
                <w:b/>
                <w:color w:val="000000"/>
                <w:kern w:val="0"/>
                <w:szCs w:val="28"/>
              </w:rPr>
            </w:pPr>
            <w:r>
              <w:rPr>
                <w:rFonts w:hint="eastAsia"/>
                <w:b/>
                <w:color w:val="000000"/>
                <w:kern w:val="0"/>
                <w:szCs w:val="28"/>
              </w:rPr>
              <w:t>费用风险</w:t>
            </w:r>
          </w:p>
        </w:tc>
        <w:tc>
          <w:tcPr>
            <w:tcW w:w="1727" w:type="dxa"/>
            <w:tcBorders>
              <w:top w:val="single" w:sz="4" w:space="0" w:color="auto"/>
              <w:left w:val="nil"/>
              <w:bottom w:val="single" w:sz="4" w:space="0" w:color="auto"/>
              <w:right w:val="single" w:sz="4" w:space="0" w:color="auto"/>
            </w:tcBorders>
            <w:shd w:val="clear" w:color="auto" w:fill="C0C0C0"/>
            <w:hideMark/>
          </w:tcPr>
          <w:p w14:paraId="205DF1E1" w14:textId="77777777" w:rsidR="001C2850" w:rsidRDefault="001C2850" w:rsidP="001C2850">
            <w:pPr>
              <w:widowControl/>
              <w:spacing w:line="360" w:lineRule="auto"/>
              <w:ind w:firstLineChars="82" w:firstLine="172"/>
              <w:rPr>
                <w:rFonts w:hint="eastAsia"/>
                <w:b/>
                <w:color w:val="000000"/>
                <w:kern w:val="0"/>
                <w:szCs w:val="28"/>
              </w:rPr>
            </w:pPr>
            <w:r>
              <w:rPr>
                <w:rFonts w:hint="eastAsia"/>
                <w:b/>
                <w:color w:val="000000"/>
                <w:kern w:val="0"/>
                <w:szCs w:val="28"/>
              </w:rPr>
              <w:t>风险级别</w:t>
            </w:r>
          </w:p>
        </w:tc>
      </w:tr>
      <w:tr w:rsidR="001C2850" w14:paraId="58E1725A" w14:textId="77777777" w:rsidTr="001C2850">
        <w:trPr>
          <w:trHeight w:val="570"/>
        </w:trPr>
        <w:tc>
          <w:tcPr>
            <w:tcW w:w="1194" w:type="dxa"/>
            <w:vMerge w:val="restart"/>
            <w:tcBorders>
              <w:top w:val="nil"/>
              <w:left w:val="single" w:sz="4" w:space="0" w:color="auto"/>
              <w:bottom w:val="single" w:sz="4" w:space="0" w:color="auto"/>
              <w:right w:val="single" w:sz="4" w:space="0" w:color="auto"/>
            </w:tcBorders>
            <w:hideMark/>
          </w:tcPr>
          <w:p w14:paraId="7243EA7F" w14:textId="7DC7289A"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任务</w:t>
            </w:r>
            <w:r w:rsidR="006C6F6D" w:rsidRPr="006C6F6D">
              <w:rPr>
                <w:rFonts w:ascii="宋体" w:eastAsia="宋体" w:hAnsi="宋体" w:hint="eastAsia"/>
                <w:b/>
                <w:sz w:val="24"/>
              </w:rPr>
              <w:t>招标文件要求</w:t>
            </w:r>
            <w:r>
              <w:rPr>
                <w:rFonts w:ascii="宋体" w:eastAsia="宋体" w:hAnsi="宋体" w:hint="eastAsia"/>
                <w:sz w:val="24"/>
              </w:rPr>
              <w:t>明确性</w:t>
            </w:r>
          </w:p>
        </w:tc>
        <w:tc>
          <w:tcPr>
            <w:tcW w:w="5601" w:type="dxa"/>
            <w:tcBorders>
              <w:top w:val="nil"/>
              <w:left w:val="nil"/>
              <w:bottom w:val="single" w:sz="4" w:space="0" w:color="auto"/>
              <w:right w:val="single" w:sz="4" w:space="0" w:color="auto"/>
            </w:tcBorders>
            <w:hideMark/>
          </w:tcPr>
          <w:p w14:paraId="3287F177" w14:textId="747F2A60"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任务</w:t>
            </w:r>
            <w:r w:rsidR="006C6F6D" w:rsidRPr="006C6F6D">
              <w:rPr>
                <w:rFonts w:ascii="宋体" w:eastAsia="宋体" w:hAnsi="宋体" w:hint="eastAsia"/>
                <w:b/>
                <w:sz w:val="24"/>
              </w:rPr>
              <w:t>招标文件要求</w:t>
            </w:r>
            <w:r>
              <w:rPr>
                <w:rFonts w:ascii="宋体" w:eastAsia="宋体" w:hAnsi="宋体" w:hint="eastAsia"/>
                <w:sz w:val="24"/>
              </w:rPr>
              <w:t>明确，使用方和承制方对任务有共同的理解</w:t>
            </w:r>
          </w:p>
        </w:tc>
        <w:tc>
          <w:tcPr>
            <w:tcW w:w="1727" w:type="dxa"/>
            <w:tcBorders>
              <w:top w:val="nil"/>
              <w:left w:val="nil"/>
              <w:bottom w:val="single" w:sz="4" w:space="0" w:color="auto"/>
              <w:right w:val="single" w:sz="4" w:space="0" w:color="auto"/>
            </w:tcBorders>
            <w:hideMark/>
          </w:tcPr>
          <w:p w14:paraId="2447284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0032CA5F"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5BECCDDF"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26A2C26C" w14:textId="33D3EA7F"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任务</w:t>
            </w:r>
            <w:r w:rsidR="006C6F6D" w:rsidRPr="006C6F6D">
              <w:rPr>
                <w:rFonts w:ascii="宋体" w:eastAsia="宋体" w:hAnsi="宋体" w:hint="eastAsia"/>
                <w:b/>
                <w:sz w:val="24"/>
              </w:rPr>
              <w:t>招标文件要求</w:t>
            </w:r>
            <w:r>
              <w:rPr>
                <w:rFonts w:ascii="宋体" w:eastAsia="宋体" w:hAnsi="宋体" w:hint="eastAsia"/>
                <w:sz w:val="24"/>
              </w:rPr>
              <w:t>基本明确，某些细节上尚需进一步确定</w:t>
            </w:r>
          </w:p>
        </w:tc>
        <w:tc>
          <w:tcPr>
            <w:tcW w:w="1727" w:type="dxa"/>
            <w:tcBorders>
              <w:top w:val="nil"/>
              <w:left w:val="nil"/>
              <w:bottom w:val="single" w:sz="4" w:space="0" w:color="auto"/>
              <w:right w:val="single" w:sz="4" w:space="0" w:color="auto"/>
            </w:tcBorders>
            <w:hideMark/>
          </w:tcPr>
          <w:p w14:paraId="4D097DF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5C546320"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378A5D3A"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5227552F" w14:textId="555A7C5A"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任务</w:t>
            </w:r>
            <w:r w:rsidR="006C6F6D" w:rsidRPr="006C6F6D">
              <w:rPr>
                <w:rFonts w:ascii="宋体" w:eastAsia="宋体" w:hAnsi="宋体" w:hint="eastAsia"/>
                <w:b/>
                <w:sz w:val="24"/>
              </w:rPr>
              <w:t>招标文件要求</w:t>
            </w:r>
            <w:r>
              <w:rPr>
                <w:rFonts w:ascii="宋体" w:eastAsia="宋体" w:hAnsi="宋体" w:hint="eastAsia"/>
                <w:sz w:val="24"/>
              </w:rPr>
              <w:t>不明确，使用方可能不断提出新的</w:t>
            </w:r>
            <w:r w:rsidR="006C6F6D" w:rsidRPr="006C6F6D">
              <w:rPr>
                <w:rFonts w:ascii="宋体" w:eastAsia="宋体" w:hAnsi="宋体" w:hint="eastAsia"/>
                <w:b/>
                <w:sz w:val="24"/>
              </w:rPr>
              <w:t>招标文件要求</w:t>
            </w:r>
            <w:r>
              <w:rPr>
                <w:rFonts w:ascii="宋体" w:eastAsia="宋体" w:hAnsi="宋体" w:hint="eastAsia"/>
                <w:sz w:val="24"/>
              </w:rPr>
              <w:t>或双方对任务</w:t>
            </w:r>
            <w:r w:rsidR="006C6F6D" w:rsidRPr="006C6F6D">
              <w:rPr>
                <w:rFonts w:ascii="宋体" w:eastAsia="宋体" w:hAnsi="宋体" w:hint="eastAsia"/>
                <w:b/>
                <w:sz w:val="24"/>
              </w:rPr>
              <w:t>招标文件要求</w:t>
            </w:r>
            <w:r>
              <w:rPr>
                <w:rFonts w:ascii="宋体" w:eastAsia="宋体" w:hAnsi="宋体" w:hint="eastAsia"/>
                <w:sz w:val="24"/>
              </w:rPr>
              <w:t>有不同的理解</w:t>
            </w:r>
          </w:p>
        </w:tc>
        <w:tc>
          <w:tcPr>
            <w:tcW w:w="1727" w:type="dxa"/>
            <w:tcBorders>
              <w:top w:val="nil"/>
              <w:left w:val="nil"/>
              <w:bottom w:val="single" w:sz="4" w:space="0" w:color="auto"/>
              <w:right w:val="single" w:sz="4" w:space="0" w:color="auto"/>
            </w:tcBorders>
            <w:hideMark/>
          </w:tcPr>
          <w:p w14:paraId="49FBCF81"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62F77AA9"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2C6BA59B"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技术风险影响</w:t>
            </w:r>
          </w:p>
        </w:tc>
        <w:tc>
          <w:tcPr>
            <w:tcW w:w="5601" w:type="dxa"/>
            <w:tcBorders>
              <w:top w:val="nil"/>
              <w:left w:val="nil"/>
              <w:bottom w:val="single" w:sz="4" w:space="0" w:color="auto"/>
              <w:right w:val="single" w:sz="4" w:space="0" w:color="auto"/>
            </w:tcBorders>
            <w:hideMark/>
          </w:tcPr>
          <w:p w14:paraId="38BD032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无高风险项目，中等风险项目不超过2个</w:t>
            </w:r>
          </w:p>
        </w:tc>
        <w:tc>
          <w:tcPr>
            <w:tcW w:w="1727" w:type="dxa"/>
            <w:tcBorders>
              <w:top w:val="nil"/>
              <w:left w:val="nil"/>
              <w:bottom w:val="single" w:sz="4" w:space="0" w:color="auto"/>
              <w:right w:val="single" w:sz="4" w:space="0" w:color="auto"/>
            </w:tcBorders>
            <w:hideMark/>
          </w:tcPr>
          <w:p w14:paraId="462DB7F8"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440524C9"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4B298FDE"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148115C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无高风险项目，中等风险项目超过3个</w:t>
            </w:r>
          </w:p>
        </w:tc>
        <w:tc>
          <w:tcPr>
            <w:tcW w:w="1727" w:type="dxa"/>
            <w:tcBorders>
              <w:top w:val="nil"/>
              <w:left w:val="nil"/>
              <w:bottom w:val="single" w:sz="4" w:space="0" w:color="auto"/>
              <w:right w:val="single" w:sz="4" w:space="0" w:color="auto"/>
            </w:tcBorders>
            <w:hideMark/>
          </w:tcPr>
          <w:p w14:paraId="372C92B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24331655"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1461169A"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6BACD4C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606BD76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4774C6D3"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56EC902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进度风险影响</w:t>
            </w:r>
          </w:p>
        </w:tc>
        <w:tc>
          <w:tcPr>
            <w:tcW w:w="5601" w:type="dxa"/>
            <w:tcBorders>
              <w:top w:val="nil"/>
              <w:left w:val="nil"/>
              <w:bottom w:val="single" w:sz="4" w:space="0" w:color="auto"/>
              <w:right w:val="single" w:sz="4" w:space="0" w:color="auto"/>
            </w:tcBorders>
            <w:hideMark/>
          </w:tcPr>
          <w:p w14:paraId="4C62D06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无高风险项目，中等风险的进度指标不超过2个</w:t>
            </w:r>
          </w:p>
        </w:tc>
        <w:tc>
          <w:tcPr>
            <w:tcW w:w="1727" w:type="dxa"/>
            <w:tcBorders>
              <w:top w:val="nil"/>
              <w:left w:val="nil"/>
              <w:bottom w:val="single" w:sz="4" w:space="0" w:color="auto"/>
              <w:right w:val="single" w:sz="4" w:space="0" w:color="auto"/>
            </w:tcBorders>
            <w:hideMark/>
          </w:tcPr>
          <w:p w14:paraId="05E1EE0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6E80F430"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65FC6F68"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204AD20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无高风险项目，但中等风险项目在3个以上</w:t>
            </w:r>
          </w:p>
        </w:tc>
        <w:tc>
          <w:tcPr>
            <w:tcW w:w="1727" w:type="dxa"/>
            <w:tcBorders>
              <w:top w:val="nil"/>
              <w:left w:val="nil"/>
              <w:bottom w:val="single" w:sz="4" w:space="0" w:color="auto"/>
              <w:right w:val="single" w:sz="4" w:space="0" w:color="auto"/>
            </w:tcBorders>
            <w:hideMark/>
          </w:tcPr>
          <w:p w14:paraId="716944C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5E2193D5"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6424CA8C"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727B597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012406B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103F0F69" w14:textId="77777777" w:rsidTr="001C2850">
        <w:trPr>
          <w:trHeight w:val="570"/>
        </w:trPr>
        <w:tc>
          <w:tcPr>
            <w:tcW w:w="1194" w:type="dxa"/>
            <w:vMerge w:val="restart"/>
            <w:tcBorders>
              <w:top w:val="nil"/>
              <w:left w:val="single" w:sz="4" w:space="0" w:color="auto"/>
              <w:bottom w:val="single" w:sz="4" w:space="0" w:color="auto"/>
              <w:right w:val="single" w:sz="4" w:space="0" w:color="auto"/>
            </w:tcBorders>
            <w:hideMark/>
          </w:tcPr>
          <w:p w14:paraId="493142EC"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成本预算准确性</w:t>
            </w:r>
          </w:p>
        </w:tc>
        <w:tc>
          <w:tcPr>
            <w:tcW w:w="5601" w:type="dxa"/>
            <w:tcBorders>
              <w:top w:val="nil"/>
              <w:left w:val="nil"/>
              <w:bottom w:val="single" w:sz="4" w:space="0" w:color="auto"/>
              <w:right w:val="single" w:sz="4" w:space="0" w:color="auto"/>
            </w:tcBorders>
            <w:hideMark/>
          </w:tcPr>
          <w:p w14:paraId="01E1364C"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有充分的类似项目的历史数据可供参考，成本估算部门有足够可用的合格人员</w:t>
            </w:r>
          </w:p>
        </w:tc>
        <w:tc>
          <w:tcPr>
            <w:tcW w:w="1727" w:type="dxa"/>
            <w:tcBorders>
              <w:top w:val="nil"/>
              <w:left w:val="nil"/>
              <w:bottom w:val="single" w:sz="4" w:space="0" w:color="auto"/>
              <w:right w:val="single" w:sz="4" w:space="0" w:color="auto"/>
            </w:tcBorders>
            <w:hideMark/>
          </w:tcPr>
          <w:p w14:paraId="37ECBDE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7716C794"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5E3EDF3F"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2D076541"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有足够可用的合格人员但仅有部分历史数据可供参考</w:t>
            </w:r>
          </w:p>
        </w:tc>
        <w:tc>
          <w:tcPr>
            <w:tcW w:w="1727" w:type="dxa"/>
            <w:tcBorders>
              <w:top w:val="nil"/>
              <w:left w:val="nil"/>
              <w:bottom w:val="single" w:sz="4" w:space="0" w:color="auto"/>
              <w:right w:val="single" w:sz="4" w:space="0" w:color="auto"/>
            </w:tcBorders>
            <w:hideMark/>
          </w:tcPr>
          <w:p w14:paraId="0FC441A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6E5343D6"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3FF36FE7"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7918C39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缺乏可用的合格人员且无类似项目的历史数据供参考</w:t>
            </w:r>
          </w:p>
        </w:tc>
        <w:tc>
          <w:tcPr>
            <w:tcW w:w="1727" w:type="dxa"/>
            <w:tcBorders>
              <w:top w:val="nil"/>
              <w:left w:val="nil"/>
              <w:bottom w:val="single" w:sz="4" w:space="0" w:color="auto"/>
              <w:right w:val="single" w:sz="4" w:space="0" w:color="auto"/>
            </w:tcBorders>
            <w:hideMark/>
          </w:tcPr>
          <w:p w14:paraId="4613529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54CCE8E2"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0B5E6DAB"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合同类型影响</w:t>
            </w:r>
          </w:p>
        </w:tc>
        <w:tc>
          <w:tcPr>
            <w:tcW w:w="5601" w:type="dxa"/>
            <w:tcBorders>
              <w:top w:val="nil"/>
              <w:left w:val="nil"/>
              <w:bottom w:val="single" w:sz="4" w:space="0" w:color="auto"/>
              <w:right w:val="single" w:sz="4" w:space="0" w:color="auto"/>
            </w:tcBorders>
            <w:hideMark/>
          </w:tcPr>
          <w:p w14:paraId="40A1F59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固定价格合同</w:t>
            </w:r>
          </w:p>
        </w:tc>
        <w:tc>
          <w:tcPr>
            <w:tcW w:w="1727" w:type="dxa"/>
            <w:tcBorders>
              <w:top w:val="nil"/>
              <w:left w:val="nil"/>
              <w:bottom w:val="single" w:sz="4" w:space="0" w:color="auto"/>
              <w:right w:val="single" w:sz="4" w:space="0" w:color="auto"/>
            </w:tcBorders>
            <w:hideMark/>
          </w:tcPr>
          <w:p w14:paraId="20576BB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151685BA"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540EFAEB"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5DBCFAE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成本加奖励费用合同</w:t>
            </w:r>
          </w:p>
        </w:tc>
        <w:tc>
          <w:tcPr>
            <w:tcW w:w="1727" w:type="dxa"/>
            <w:tcBorders>
              <w:top w:val="nil"/>
              <w:left w:val="nil"/>
              <w:bottom w:val="single" w:sz="4" w:space="0" w:color="auto"/>
              <w:right w:val="single" w:sz="4" w:space="0" w:color="auto"/>
            </w:tcBorders>
            <w:hideMark/>
          </w:tcPr>
          <w:p w14:paraId="35F1B76C"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4C8C4954"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1C14DBBB"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673E606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拨款性合同</w:t>
            </w:r>
          </w:p>
        </w:tc>
        <w:tc>
          <w:tcPr>
            <w:tcW w:w="1727" w:type="dxa"/>
            <w:tcBorders>
              <w:top w:val="nil"/>
              <w:left w:val="nil"/>
              <w:bottom w:val="single" w:sz="4" w:space="0" w:color="auto"/>
              <w:right w:val="single" w:sz="4" w:space="0" w:color="auto"/>
            </w:tcBorders>
            <w:hideMark/>
          </w:tcPr>
          <w:p w14:paraId="5F048C6E"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003A9BEE"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3CE5EE89"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合同报价影响</w:t>
            </w:r>
          </w:p>
        </w:tc>
        <w:tc>
          <w:tcPr>
            <w:tcW w:w="5601" w:type="dxa"/>
            <w:tcBorders>
              <w:top w:val="nil"/>
              <w:left w:val="nil"/>
              <w:bottom w:val="single" w:sz="4" w:space="0" w:color="auto"/>
              <w:right w:val="single" w:sz="4" w:space="0" w:color="auto"/>
            </w:tcBorders>
            <w:hideMark/>
          </w:tcPr>
          <w:p w14:paraId="5BFCE17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与其它竞标单位的报价和预测成本基本相符</w:t>
            </w:r>
          </w:p>
        </w:tc>
        <w:tc>
          <w:tcPr>
            <w:tcW w:w="1727" w:type="dxa"/>
            <w:tcBorders>
              <w:top w:val="nil"/>
              <w:left w:val="nil"/>
              <w:bottom w:val="single" w:sz="4" w:space="0" w:color="auto"/>
              <w:right w:val="single" w:sz="4" w:space="0" w:color="auto"/>
            </w:tcBorders>
            <w:hideMark/>
          </w:tcPr>
          <w:p w14:paraId="0F63BC4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6399D209"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637CAC69"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40EF25C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略低于其它竞标单位报价和预测成本</w:t>
            </w:r>
          </w:p>
        </w:tc>
        <w:tc>
          <w:tcPr>
            <w:tcW w:w="1727" w:type="dxa"/>
            <w:tcBorders>
              <w:top w:val="nil"/>
              <w:left w:val="nil"/>
              <w:bottom w:val="single" w:sz="4" w:space="0" w:color="auto"/>
              <w:right w:val="single" w:sz="4" w:space="0" w:color="auto"/>
            </w:tcBorders>
            <w:hideMark/>
          </w:tcPr>
          <w:p w14:paraId="3188AE7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23CCE0AC"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1F1B9610"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0058A1C8"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报价显著低于其它竞标单位的报价和预测成本</w:t>
            </w:r>
          </w:p>
        </w:tc>
        <w:tc>
          <w:tcPr>
            <w:tcW w:w="1727" w:type="dxa"/>
            <w:tcBorders>
              <w:top w:val="nil"/>
              <w:left w:val="nil"/>
              <w:bottom w:val="single" w:sz="4" w:space="0" w:color="auto"/>
              <w:right w:val="single" w:sz="4" w:space="0" w:color="auto"/>
            </w:tcBorders>
            <w:hideMark/>
          </w:tcPr>
          <w:p w14:paraId="6343317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bl>
    <w:p w14:paraId="05D3EAD3" w14:textId="77777777" w:rsidR="001C2850" w:rsidRDefault="001C2850" w:rsidP="001C2850">
      <w:pPr>
        <w:pStyle w:val="a9"/>
        <w:spacing w:line="360" w:lineRule="auto"/>
        <w:ind w:firstLine="482"/>
        <w:rPr>
          <w:b/>
        </w:rPr>
      </w:pPr>
      <w:r>
        <w:rPr>
          <w:b/>
        </w:rPr>
        <w:t>3</w:t>
      </w:r>
      <w:r>
        <w:rPr>
          <w:rFonts w:hint="eastAsia"/>
          <w:b/>
        </w:rPr>
        <w:t>、进度风险级别描述表</w:t>
      </w:r>
    </w:p>
    <w:p w14:paraId="2DE446F1" w14:textId="77777777" w:rsidR="001C2850" w:rsidRDefault="001C2850" w:rsidP="001C2850">
      <w:pPr>
        <w:pStyle w:val="a9"/>
        <w:spacing w:line="360" w:lineRule="auto"/>
        <w:ind w:firstLine="482"/>
        <w:rPr>
          <w:b/>
        </w:rPr>
      </w:pPr>
    </w:p>
    <w:tbl>
      <w:tblPr>
        <w:tblW w:w="0" w:type="auto"/>
        <w:tblLayout w:type="fixed"/>
        <w:tblLook w:val="04A0" w:firstRow="1" w:lastRow="0" w:firstColumn="1" w:lastColumn="0" w:noHBand="0" w:noVBand="1"/>
      </w:tblPr>
      <w:tblGrid>
        <w:gridCol w:w="1194"/>
        <w:gridCol w:w="5601"/>
        <w:gridCol w:w="1727"/>
      </w:tblGrid>
      <w:tr w:rsidR="001C2850" w14:paraId="3C18848F" w14:textId="77777777" w:rsidTr="001C2850">
        <w:trPr>
          <w:trHeight w:val="285"/>
        </w:trPr>
        <w:tc>
          <w:tcPr>
            <w:tcW w:w="679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9825E6C" w14:textId="77777777" w:rsidR="001C2850" w:rsidRDefault="001C2850" w:rsidP="001C2850">
            <w:pPr>
              <w:widowControl/>
              <w:spacing w:line="360" w:lineRule="auto"/>
              <w:ind w:firstLine="420"/>
              <w:jc w:val="center"/>
              <w:rPr>
                <w:rFonts w:hint="eastAsia"/>
                <w:b/>
                <w:color w:val="000000"/>
                <w:kern w:val="0"/>
                <w:szCs w:val="28"/>
              </w:rPr>
            </w:pPr>
            <w:r>
              <w:rPr>
                <w:rFonts w:hint="eastAsia"/>
                <w:b/>
                <w:color w:val="000000"/>
                <w:kern w:val="0"/>
                <w:szCs w:val="28"/>
              </w:rPr>
              <w:t>进度风险</w:t>
            </w:r>
          </w:p>
        </w:tc>
        <w:tc>
          <w:tcPr>
            <w:tcW w:w="1727" w:type="dxa"/>
            <w:tcBorders>
              <w:top w:val="single" w:sz="4" w:space="0" w:color="auto"/>
              <w:left w:val="nil"/>
              <w:bottom w:val="single" w:sz="4" w:space="0" w:color="auto"/>
              <w:right w:val="single" w:sz="4" w:space="0" w:color="auto"/>
            </w:tcBorders>
            <w:shd w:val="clear" w:color="auto" w:fill="C0C0C0"/>
            <w:hideMark/>
          </w:tcPr>
          <w:p w14:paraId="096D2B08" w14:textId="77777777" w:rsidR="001C2850" w:rsidRDefault="001C2850" w:rsidP="001C2850">
            <w:pPr>
              <w:widowControl/>
              <w:spacing w:line="360" w:lineRule="auto"/>
              <w:ind w:firstLineChars="82" w:firstLine="172"/>
              <w:rPr>
                <w:rFonts w:hint="eastAsia"/>
                <w:b/>
                <w:color w:val="000000"/>
                <w:kern w:val="0"/>
                <w:szCs w:val="28"/>
              </w:rPr>
            </w:pPr>
            <w:r>
              <w:rPr>
                <w:rFonts w:hint="eastAsia"/>
                <w:b/>
                <w:color w:val="000000"/>
                <w:kern w:val="0"/>
                <w:szCs w:val="28"/>
              </w:rPr>
              <w:t>风险级别</w:t>
            </w:r>
          </w:p>
        </w:tc>
      </w:tr>
      <w:tr w:rsidR="001C2850" w14:paraId="525A60A5" w14:textId="77777777" w:rsidTr="001C2850">
        <w:trPr>
          <w:trHeight w:val="285"/>
        </w:trPr>
        <w:tc>
          <w:tcPr>
            <w:tcW w:w="1194" w:type="dxa"/>
            <w:vMerge w:val="restart"/>
            <w:tcBorders>
              <w:top w:val="nil"/>
              <w:left w:val="single" w:sz="4" w:space="0" w:color="auto"/>
              <w:bottom w:val="single" w:sz="4" w:space="0" w:color="auto"/>
              <w:right w:val="single" w:sz="4" w:space="0" w:color="auto"/>
            </w:tcBorders>
            <w:hideMark/>
          </w:tcPr>
          <w:p w14:paraId="13A233B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技术风险影响</w:t>
            </w:r>
          </w:p>
        </w:tc>
        <w:tc>
          <w:tcPr>
            <w:tcW w:w="5601" w:type="dxa"/>
            <w:tcBorders>
              <w:top w:val="nil"/>
              <w:left w:val="nil"/>
              <w:bottom w:val="single" w:sz="4" w:space="0" w:color="auto"/>
              <w:right w:val="single" w:sz="4" w:space="0" w:color="auto"/>
            </w:tcBorders>
            <w:hideMark/>
          </w:tcPr>
          <w:p w14:paraId="50A6140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无高风险，中等风险项目不超过2个</w:t>
            </w:r>
          </w:p>
        </w:tc>
        <w:tc>
          <w:tcPr>
            <w:tcW w:w="1727" w:type="dxa"/>
            <w:tcBorders>
              <w:top w:val="nil"/>
              <w:left w:val="nil"/>
              <w:bottom w:val="single" w:sz="4" w:space="0" w:color="auto"/>
              <w:right w:val="single" w:sz="4" w:space="0" w:color="auto"/>
            </w:tcBorders>
            <w:hideMark/>
          </w:tcPr>
          <w:p w14:paraId="0E5AF44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1B1B3706"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703A88C2"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109D6D1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无高风险，中等风险项目超过3个</w:t>
            </w:r>
          </w:p>
        </w:tc>
        <w:tc>
          <w:tcPr>
            <w:tcW w:w="1727" w:type="dxa"/>
            <w:tcBorders>
              <w:top w:val="nil"/>
              <w:left w:val="nil"/>
              <w:bottom w:val="single" w:sz="4" w:space="0" w:color="auto"/>
              <w:right w:val="single" w:sz="4" w:space="0" w:color="auto"/>
            </w:tcBorders>
            <w:hideMark/>
          </w:tcPr>
          <w:p w14:paraId="026FEE7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6CDBE965" w14:textId="77777777" w:rsidTr="001C2850">
        <w:trPr>
          <w:trHeight w:val="285"/>
        </w:trPr>
        <w:tc>
          <w:tcPr>
            <w:tcW w:w="6795" w:type="dxa"/>
            <w:vMerge/>
            <w:tcBorders>
              <w:top w:val="nil"/>
              <w:left w:val="single" w:sz="4" w:space="0" w:color="auto"/>
              <w:bottom w:val="single" w:sz="4" w:space="0" w:color="auto"/>
              <w:right w:val="single" w:sz="4" w:space="0" w:color="auto"/>
            </w:tcBorders>
            <w:vAlign w:val="center"/>
            <w:hideMark/>
          </w:tcPr>
          <w:p w14:paraId="7E1AB014"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60E1EA5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55E9292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42F68D42" w14:textId="77777777" w:rsidTr="001C2850">
        <w:trPr>
          <w:trHeight w:val="570"/>
        </w:trPr>
        <w:tc>
          <w:tcPr>
            <w:tcW w:w="1194" w:type="dxa"/>
            <w:vMerge w:val="restart"/>
            <w:tcBorders>
              <w:top w:val="single" w:sz="4" w:space="0" w:color="auto"/>
              <w:left w:val="single" w:sz="4" w:space="0" w:color="auto"/>
              <w:bottom w:val="single" w:sz="4" w:space="0" w:color="auto"/>
              <w:right w:val="single" w:sz="4" w:space="0" w:color="auto"/>
            </w:tcBorders>
            <w:hideMark/>
          </w:tcPr>
          <w:p w14:paraId="4B95C50C"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计划安排合理性</w:t>
            </w:r>
          </w:p>
        </w:tc>
        <w:tc>
          <w:tcPr>
            <w:tcW w:w="5601" w:type="dxa"/>
            <w:tcBorders>
              <w:top w:val="nil"/>
              <w:left w:val="nil"/>
              <w:bottom w:val="single" w:sz="4" w:space="0" w:color="auto"/>
              <w:right w:val="single" w:sz="4" w:space="0" w:color="auto"/>
            </w:tcBorders>
            <w:hideMark/>
          </w:tcPr>
          <w:p w14:paraId="4BB532D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计划切实可行且留有一定时间裕度，以防意外情况发生</w:t>
            </w:r>
          </w:p>
        </w:tc>
        <w:tc>
          <w:tcPr>
            <w:tcW w:w="1727" w:type="dxa"/>
            <w:tcBorders>
              <w:top w:val="nil"/>
              <w:left w:val="nil"/>
              <w:bottom w:val="single" w:sz="4" w:space="0" w:color="auto"/>
              <w:right w:val="single" w:sz="4" w:space="0" w:color="auto"/>
            </w:tcBorders>
            <w:hideMark/>
          </w:tcPr>
          <w:p w14:paraId="016CB8B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243F9C8A" w14:textId="77777777" w:rsidTr="001C2850">
        <w:trPr>
          <w:trHeight w:val="285"/>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0795FBD7"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1FEB246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计划可靠，但对意外发生的问题未留有时间裕度</w:t>
            </w:r>
          </w:p>
        </w:tc>
        <w:tc>
          <w:tcPr>
            <w:tcW w:w="1727" w:type="dxa"/>
            <w:tcBorders>
              <w:top w:val="nil"/>
              <w:left w:val="nil"/>
              <w:bottom w:val="single" w:sz="4" w:space="0" w:color="auto"/>
              <w:right w:val="single" w:sz="4" w:space="0" w:color="auto"/>
            </w:tcBorders>
            <w:hideMark/>
          </w:tcPr>
          <w:p w14:paraId="1AE026D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56690507" w14:textId="77777777" w:rsidTr="001C2850">
        <w:trPr>
          <w:trHeight w:val="855"/>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37653313"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40652AAE"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计划不可靠，不是根据每项研制工作的实际需要来安排时间，而是根据竞争的需要或上级命令来分配时间</w:t>
            </w:r>
          </w:p>
        </w:tc>
        <w:tc>
          <w:tcPr>
            <w:tcW w:w="1727" w:type="dxa"/>
            <w:tcBorders>
              <w:top w:val="nil"/>
              <w:left w:val="nil"/>
              <w:bottom w:val="single" w:sz="4" w:space="0" w:color="auto"/>
              <w:right w:val="single" w:sz="4" w:space="0" w:color="auto"/>
            </w:tcBorders>
            <w:hideMark/>
          </w:tcPr>
          <w:p w14:paraId="042339B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790B2CC0" w14:textId="77777777" w:rsidTr="001C2850">
        <w:trPr>
          <w:trHeight w:val="285"/>
        </w:trPr>
        <w:tc>
          <w:tcPr>
            <w:tcW w:w="1194" w:type="dxa"/>
            <w:vMerge w:val="restart"/>
            <w:tcBorders>
              <w:top w:val="single" w:sz="4" w:space="0" w:color="auto"/>
              <w:left w:val="single" w:sz="4" w:space="0" w:color="auto"/>
              <w:bottom w:val="single" w:sz="4" w:space="0" w:color="auto"/>
              <w:right w:val="single" w:sz="4" w:space="0" w:color="auto"/>
            </w:tcBorders>
            <w:hideMark/>
          </w:tcPr>
          <w:p w14:paraId="15F2D38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资源充分性</w:t>
            </w:r>
          </w:p>
        </w:tc>
        <w:tc>
          <w:tcPr>
            <w:tcW w:w="5601" w:type="dxa"/>
            <w:tcBorders>
              <w:top w:val="nil"/>
              <w:left w:val="nil"/>
              <w:bottom w:val="single" w:sz="4" w:space="0" w:color="auto"/>
              <w:right w:val="single" w:sz="4" w:space="0" w:color="auto"/>
            </w:tcBorders>
            <w:hideMark/>
          </w:tcPr>
          <w:p w14:paraId="1FAACBA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资源充足且可供使用</w:t>
            </w:r>
          </w:p>
        </w:tc>
        <w:tc>
          <w:tcPr>
            <w:tcW w:w="1727" w:type="dxa"/>
            <w:tcBorders>
              <w:top w:val="nil"/>
              <w:left w:val="nil"/>
              <w:bottom w:val="single" w:sz="4" w:space="0" w:color="auto"/>
              <w:right w:val="single" w:sz="4" w:space="0" w:color="auto"/>
            </w:tcBorders>
            <w:hideMark/>
          </w:tcPr>
          <w:p w14:paraId="765369B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1DBCDB6D" w14:textId="77777777" w:rsidTr="001C2850">
        <w:trPr>
          <w:trHeight w:val="855"/>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3CC0C673"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4A89F7A1" w14:textId="58BE13FA"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现有资源充足，但与其它项目之间有潜在的矛盾冲突，可能因某些预想不到的问题而影响进度</w:t>
            </w:r>
          </w:p>
        </w:tc>
        <w:tc>
          <w:tcPr>
            <w:tcW w:w="1727" w:type="dxa"/>
            <w:tcBorders>
              <w:top w:val="nil"/>
              <w:left w:val="nil"/>
              <w:bottom w:val="single" w:sz="4" w:space="0" w:color="auto"/>
              <w:right w:val="single" w:sz="4" w:space="0" w:color="auto"/>
            </w:tcBorders>
            <w:hideMark/>
          </w:tcPr>
          <w:p w14:paraId="29EDAAC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725E89E8" w14:textId="77777777" w:rsidTr="001C2850">
        <w:trPr>
          <w:trHeight w:val="570"/>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713A9D3E"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70AF39A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现有资源不足或与其它项目之间存在严重的潜在冲突</w:t>
            </w:r>
          </w:p>
        </w:tc>
        <w:tc>
          <w:tcPr>
            <w:tcW w:w="1727" w:type="dxa"/>
            <w:tcBorders>
              <w:top w:val="nil"/>
              <w:left w:val="nil"/>
              <w:bottom w:val="single" w:sz="4" w:space="0" w:color="auto"/>
              <w:right w:val="single" w:sz="4" w:space="0" w:color="auto"/>
            </w:tcBorders>
            <w:hideMark/>
          </w:tcPr>
          <w:p w14:paraId="0D43855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33FA0DB7" w14:textId="77777777" w:rsidTr="001C2850">
        <w:trPr>
          <w:trHeight w:val="570"/>
        </w:trPr>
        <w:tc>
          <w:tcPr>
            <w:tcW w:w="1194" w:type="dxa"/>
            <w:vMerge w:val="restart"/>
            <w:tcBorders>
              <w:top w:val="nil"/>
              <w:left w:val="single" w:sz="4" w:space="0" w:color="auto"/>
              <w:bottom w:val="single" w:sz="4" w:space="0" w:color="auto"/>
              <w:right w:val="single" w:sz="4" w:space="0" w:color="auto"/>
            </w:tcBorders>
            <w:hideMark/>
          </w:tcPr>
          <w:p w14:paraId="2FDD716F"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项目人员经验</w:t>
            </w:r>
          </w:p>
        </w:tc>
        <w:tc>
          <w:tcPr>
            <w:tcW w:w="5601" w:type="dxa"/>
            <w:tcBorders>
              <w:top w:val="nil"/>
              <w:left w:val="nil"/>
              <w:bottom w:val="single" w:sz="4" w:space="0" w:color="auto"/>
              <w:right w:val="single" w:sz="4" w:space="0" w:color="auto"/>
            </w:tcBorders>
            <w:hideMark/>
          </w:tcPr>
          <w:p w14:paraId="5D557561"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参与该项目的人员在类似的项目中已积累了经验，有足够的知识储备可用于该项目</w:t>
            </w:r>
          </w:p>
        </w:tc>
        <w:tc>
          <w:tcPr>
            <w:tcW w:w="1727" w:type="dxa"/>
            <w:tcBorders>
              <w:top w:val="nil"/>
              <w:left w:val="nil"/>
              <w:bottom w:val="single" w:sz="4" w:space="0" w:color="auto"/>
              <w:right w:val="single" w:sz="4" w:space="0" w:color="auto"/>
            </w:tcBorders>
            <w:hideMark/>
          </w:tcPr>
          <w:p w14:paraId="3285041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160B6493"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1AED03E5"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11BB169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参与人员在类似的项目中已有一般性的经验，但在某些关键部门还缺乏有经验的人员</w:t>
            </w:r>
          </w:p>
        </w:tc>
        <w:tc>
          <w:tcPr>
            <w:tcW w:w="1727" w:type="dxa"/>
            <w:tcBorders>
              <w:top w:val="nil"/>
              <w:left w:val="nil"/>
              <w:bottom w:val="single" w:sz="4" w:space="0" w:color="auto"/>
              <w:right w:val="single" w:sz="4" w:space="0" w:color="auto"/>
            </w:tcBorders>
            <w:hideMark/>
          </w:tcPr>
          <w:p w14:paraId="515DC99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5FE7A197" w14:textId="77777777" w:rsidTr="001C2850">
        <w:trPr>
          <w:trHeight w:val="570"/>
        </w:trPr>
        <w:tc>
          <w:tcPr>
            <w:tcW w:w="6795" w:type="dxa"/>
            <w:vMerge/>
            <w:tcBorders>
              <w:top w:val="nil"/>
              <w:left w:val="single" w:sz="4" w:space="0" w:color="auto"/>
              <w:bottom w:val="single" w:sz="4" w:space="0" w:color="auto"/>
              <w:right w:val="single" w:sz="4" w:space="0" w:color="auto"/>
            </w:tcBorders>
            <w:vAlign w:val="center"/>
            <w:hideMark/>
          </w:tcPr>
          <w:p w14:paraId="4E1E1027" w14:textId="77777777" w:rsidR="001C2850" w:rsidRDefault="001C2850" w:rsidP="001C2850">
            <w:pPr>
              <w:widowControl/>
              <w:jc w:val="left"/>
              <w:rPr>
                <w:rFonts w:ascii="宋体" w:eastAsia="宋体" w:hAnsi="宋体" w:cs="Times New Roman" w:hint="eastAsia"/>
                <w:sz w:val="24"/>
              </w:rPr>
            </w:pPr>
          </w:p>
        </w:tc>
        <w:tc>
          <w:tcPr>
            <w:tcW w:w="5601" w:type="dxa"/>
            <w:tcBorders>
              <w:top w:val="nil"/>
              <w:left w:val="nil"/>
              <w:bottom w:val="single" w:sz="4" w:space="0" w:color="auto"/>
              <w:right w:val="single" w:sz="4" w:space="0" w:color="auto"/>
            </w:tcBorders>
            <w:hideMark/>
          </w:tcPr>
          <w:p w14:paraId="725E7D3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参与人员普遍没有在类似项目中工作的经验，关键部门可用的有经验人员很少</w:t>
            </w:r>
          </w:p>
        </w:tc>
        <w:tc>
          <w:tcPr>
            <w:tcW w:w="1727" w:type="dxa"/>
            <w:tcBorders>
              <w:top w:val="nil"/>
              <w:left w:val="nil"/>
              <w:bottom w:val="single" w:sz="4" w:space="0" w:color="auto"/>
              <w:right w:val="single" w:sz="4" w:space="0" w:color="auto"/>
            </w:tcBorders>
            <w:hideMark/>
          </w:tcPr>
          <w:p w14:paraId="2DF660A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bl>
    <w:p w14:paraId="542F0867" w14:textId="77777777" w:rsidR="001C2850" w:rsidRDefault="001C2850" w:rsidP="001C2850">
      <w:pPr>
        <w:pStyle w:val="a9"/>
        <w:spacing w:line="360" w:lineRule="auto"/>
        <w:ind w:firstLine="482"/>
        <w:rPr>
          <w:b/>
        </w:rPr>
      </w:pPr>
      <w:r>
        <w:rPr>
          <w:b/>
        </w:rPr>
        <w:t>4</w:t>
      </w:r>
      <w:r>
        <w:rPr>
          <w:rFonts w:hint="eastAsia"/>
          <w:b/>
        </w:rPr>
        <w:t>、管理风险级别描述表</w:t>
      </w:r>
    </w:p>
    <w:tbl>
      <w:tblPr>
        <w:tblW w:w="0" w:type="auto"/>
        <w:tblLayout w:type="fixed"/>
        <w:tblLook w:val="04A0" w:firstRow="1" w:lastRow="0" w:firstColumn="1" w:lastColumn="0" w:noHBand="0" w:noVBand="1"/>
      </w:tblPr>
      <w:tblGrid>
        <w:gridCol w:w="1823"/>
        <w:gridCol w:w="4909"/>
        <w:gridCol w:w="1790"/>
      </w:tblGrid>
      <w:tr w:rsidR="001C2850" w14:paraId="0BCAFF4C" w14:textId="77777777" w:rsidTr="001C2850">
        <w:tc>
          <w:tcPr>
            <w:tcW w:w="673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B623C7F" w14:textId="77777777" w:rsidR="001C2850" w:rsidRDefault="001C2850" w:rsidP="001C2850">
            <w:pPr>
              <w:widowControl/>
              <w:spacing w:line="360" w:lineRule="auto"/>
              <w:ind w:firstLine="420"/>
              <w:jc w:val="center"/>
              <w:rPr>
                <w:rFonts w:hint="eastAsia"/>
                <w:b/>
                <w:color w:val="000000"/>
                <w:kern w:val="0"/>
                <w:szCs w:val="28"/>
              </w:rPr>
            </w:pPr>
            <w:r>
              <w:rPr>
                <w:rFonts w:hint="eastAsia"/>
                <w:b/>
                <w:color w:val="000000"/>
                <w:kern w:val="0"/>
                <w:szCs w:val="28"/>
              </w:rPr>
              <w:t>管理风险</w:t>
            </w:r>
          </w:p>
        </w:tc>
        <w:tc>
          <w:tcPr>
            <w:tcW w:w="1790" w:type="dxa"/>
            <w:tcBorders>
              <w:top w:val="single" w:sz="4" w:space="0" w:color="auto"/>
              <w:left w:val="nil"/>
              <w:bottom w:val="single" w:sz="4" w:space="0" w:color="auto"/>
              <w:right w:val="single" w:sz="4" w:space="0" w:color="auto"/>
            </w:tcBorders>
            <w:shd w:val="clear" w:color="auto" w:fill="C0C0C0"/>
            <w:hideMark/>
          </w:tcPr>
          <w:p w14:paraId="72B7AF3F" w14:textId="77777777" w:rsidR="001C2850" w:rsidRDefault="001C2850" w:rsidP="001C2850">
            <w:pPr>
              <w:widowControl/>
              <w:spacing w:line="360" w:lineRule="auto"/>
              <w:ind w:firstLineChars="82" w:firstLine="172"/>
              <w:rPr>
                <w:rFonts w:hint="eastAsia"/>
                <w:b/>
                <w:color w:val="000000"/>
                <w:kern w:val="0"/>
                <w:szCs w:val="28"/>
              </w:rPr>
            </w:pPr>
            <w:r>
              <w:rPr>
                <w:rFonts w:hint="eastAsia"/>
                <w:b/>
                <w:color w:val="000000"/>
                <w:kern w:val="0"/>
                <w:szCs w:val="28"/>
              </w:rPr>
              <w:t>风险级别</w:t>
            </w:r>
          </w:p>
        </w:tc>
      </w:tr>
      <w:tr w:rsidR="001C2850" w14:paraId="012E5F11" w14:textId="77777777" w:rsidTr="001C2850">
        <w:tc>
          <w:tcPr>
            <w:tcW w:w="1823" w:type="dxa"/>
            <w:vMerge w:val="restart"/>
            <w:tcBorders>
              <w:top w:val="single" w:sz="4" w:space="0" w:color="auto"/>
              <w:left w:val="single" w:sz="4" w:space="0" w:color="auto"/>
              <w:bottom w:val="single" w:sz="4" w:space="0" w:color="auto"/>
              <w:right w:val="single" w:sz="4" w:space="0" w:color="auto"/>
            </w:tcBorders>
            <w:hideMark/>
          </w:tcPr>
          <w:p w14:paraId="05B0C06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领导素质影响</w:t>
            </w:r>
          </w:p>
        </w:tc>
        <w:tc>
          <w:tcPr>
            <w:tcW w:w="4909" w:type="dxa"/>
            <w:tcBorders>
              <w:top w:val="nil"/>
              <w:left w:val="nil"/>
              <w:bottom w:val="single" w:sz="4" w:space="0" w:color="auto"/>
              <w:right w:val="single" w:sz="4" w:space="0" w:color="auto"/>
            </w:tcBorders>
            <w:hideMark/>
          </w:tcPr>
          <w:p w14:paraId="68D124CC"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领导者决策能力强，很有威望</w:t>
            </w:r>
          </w:p>
        </w:tc>
        <w:tc>
          <w:tcPr>
            <w:tcW w:w="1790" w:type="dxa"/>
            <w:tcBorders>
              <w:top w:val="nil"/>
              <w:left w:val="nil"/>
              <w:bottom w:val="single" w:sz="4" w:space="0" w:color="auto"/>
              <w:right w:val="single" w:sz="4" w:space="0" w:color="auto"/>
            </w:tcBorders>
            <w:hideMark/>
          </w:tcPr>
          <w:p w14:paraId="3A7DA4F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0EBBA4D7" w14:textId="77777777" w:rsidTr="001C2850">
        <w:tc>
          <w:tcPr>
            <w:tcW w:w="6732" w:type="dxa"/>
            <w:vMerge/>
            <w:tcBorders>
              <w:top w:val="single" w:sz="4" w:space="0" w:color="auto"/>
              <w:left w:val="single" w:sz="4" w:space="0" w:color="auto"/>
              <w:bottom w:val="single" w:sz="4" w:space="0" w:color="auto"/>
              <w:right w:val="single" w:sz="4" w:space="0" w:color="auto"/>
            </w:tcBorders>
            <w:vAlign w:val="center"/>
            <w:hideMark/>
          </w:tcPr>
          <w:p w14:paraId="6B01BFA7" w14:textId="77777777" w:rsidR="001C2850" w:rsidRDefault="001C2850" w:rsidP="001C2850">
            <w:pPr>
              <w:widowControl/>
              <w:jc w:val="left"/>
              <w:rPr>
                <w:rFonts w:ascii="宋体" w:eastAsia="宋体" w:hAnsi="宋体" w:cs="Times New Roman" w:hint="eastAsia"/>
                <w:sz w:val="24"/>
              </w:rPr>
            </w:pPr>
          </w:p>
        </w:tc>
        <w:tc>
          <w:tcPr>
            <w:tcW w:w="4909" w:type="dxa"/>
            <w:tcBorders>
              <w:top w:val="nil"/>
              <w:left w:val="nil"/>
              <w:bottom w:val="single" w:sz="4" w:space="0" w:color="auto"/>
              <w:right w:val="single" w:sz="4" w:space="0" w:color="auto"/>
            </w:tcBorders>
            <w:hideMark/>
          </w:tcPr>
          <w:p w14:paraId="3D22578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领导者决策能力较强，威望一般</w:t>
            </w:r>
          </w:p>
        </w:tc>
        <w:tc>
          <w:tcPr>
            <w:tcW w:w="1790" w:type="dxa"/>
            <w:tcBorders>
              <w:top w:val="nil"/>
              <w:left w:val="nil"/>
              <w:bottom w:val="single" w:sz="4" w:space="0" w:color="auto"/>
              <w:right w:val="single" w:sz="4" w:space="0" w:color="auto"/>
            </w:tcBorders>
            <w:hideMark/>
          </w:tcPr>
          <w:p w14:paraId="69842CE8"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11B7E8C7" w14:textId="77777777" w:rsidTr="001C2850">
        <w:tc>
          <w:tcPr>
            <w:tcW w:w="6732" w:type="dxa"/>
            <w:vMerge/>
            <w:tcBorders>
              <w:top w:val="single" w:sz="4" w:space="0" w:color="auto"/>
              <w:left w:val="single" w:sz="4" w:space="0" w:color="auto"/>
              <w:bottom w:val="single" w:sz="4" w:space="0" w:color="auto"/>
              <w:right w:val="single" w:sz="4" w:space="0" w:color="auto"/>
            </w:tcBorders>
            <w:vAlign w:val="center"/>
            <w:hideMark/>
          </w:tcPr>
          <w:p w14:paraId="4FAF7670" w14:textId="77777777" w:rsidR="001C2850" w:rsidRDefault="001C2850" w:rsidP="001C2850">
            <w:pPr>
              <w:widowControl/>
              <w:jc w:val="left"/>
              <w:rPr>
                <w:rFonts w:ascii="宋体" w:eastAsia="宋体" w:hAnsi="宋体" w:cs="Times New Roman" w:hint="eastAsia"/>
                <w:sz w:val="24"/>
              </w:rPr>
            </w:pPr>
          </w:p>
        </w:tc>
        <w:tc>
          <w:tcPr>
            <w:tcW w:w="4909" w:type="dxa"/>
            <w:tcBorders>
              <w:top w:val="nil"/>
              <w:left w:val="nil"/>
              <w:bottom w:val="single" w:sz="4" w:space="0" w:color="auto"/>
              <w:right w:val="single" w:sz="4" w:space="0" w:color="auto"/>
            </w:tcBorders>
            <w:hideMark/>
          </w:tcPr>
          <w:p w14:paraId="195F989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领导者决策能力一般，同时也没什么威望</w:t>
            </w:r>
          </w:p>
        </w:tc>
        <w:tc>
          <w:tcPr>
            <w:tcW w:w="1790" w:type="dxa"/>
            <w:tcBorders>
              <w:top w:val="nil"/>
              <w:left w:val="nil"/>
              <w:bottom w:val="single" w:sz="4" w:space="0" w:color="auto"/>
              <w:right w:val="single" w:sz="4" w:space="0" w:color="auto"/>
            </w:tcBorders>
            <w:hideMark/>
          </w:tcPr>
          <w:p w14:paraId="036D433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6DBC3702" w14:textId="77777777" w:rsidTr="001C2850">
        <w:tc>
          <w:tcPr>
            <w:tcW w:w="1823" w:type="dxa"/>
            <w:vMerge w:val="restart"/>
            <w:tcBorders>
              <w:top w:val="nil"/>
              <w:left w:val="single" w:sz="4" w:space="0" w:color="auto"/>
              <w:bottom w:val="single" w:sz="4" w:space="0" w:color="auto"/>
              <w:right w:val="single" w:sz="4" w:space="0" w:color="auto"/>
            </w:tcBorders>
            <w:hideMark/>
          </w:tcPr>
          <w:p w14:paraId="5769C75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组织机构影响</w:t>
            </w:r>
          </w:p>
        </w:tc>
        <w:tc>
          <w:tcPr>
            <w:tcW w:w="4909" w:type="dxa"/>
            <w:tcBorders>
              <w:top w:val="nil"/>
              <w:left w:val="nil"/>
              <w:bottom w:val="single" w:sz="4" w:space="0" w:color="auto"/>
              <w:right w:val="single" w:sz="4" w:space="0" w:color="auto"/>
            </w:tcBorders>
            <w:hideMark/>
          </w:tcPr>
          <w:p w14:paraId="10109B5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组织机构健全，各机构间配合密切、融洽，运作效率高</w:t>
            </w:r>
          </w:p>
        </w:tc>
        <w:tc>
          <w:tcPr>
            <w:tcW w:w="1790" w:type="dxa"/>
            <w:tcBorders>
              <w:top w:val="nil"/>
              <w:left w:val="nil"/>
              <w:bottom w:val="single" w:sz="4" w:space="0" w:color="auto"/>
              <w:right w:val="single" w:sz="4" w:space="0" w:color="auto"/>
            </w:tcBorders>
            <w:hideMark/>
          </w:tcPr>
          <w:p w14:paraId="6824FAF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52A02C12"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689735CB" w14:textId="77777777" w:rsidR="001C2850" w:rsidRDefault="001C2850" w:rsidP="001C2850">
            <w:pPr>
              <w:widowControl/>
              <w:jc w:val="left"/>
              <w:rPr>
                <w:rFonts w:ascii="宋体" w:eastAsia="宋体" w:hAnsi="宋体" w:cs="Times New Roman" w:hint="eastAsia"/>
                <w:sz w:val="24"/>
              </w:rPr>
            </w:pPr>
          </w:p>
        </w:tc>
        <w:tc>
          <w:tcPr>
            <w:tcW w:w="4909" w:type="dxa"/>
            <w:tcBorders>
              <w:top w:val="nil"/>
              <w:left w:val="nil"/>
              <w:bottom w:val="single" w:sz="4" w:space="0" w:color="auto"/>
              <w:right w:val="single" w:sz="4" w:space="0" w:color="auto"/>
            </w:tcBorders>
            <w:hideMark/>
          </w:tcPr>
          <w:p w14:paraId="0BF7A68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组织机构基本完善，运作效率一般</w:t>
            </w:r>
          </w:p>
        </w:tc>
        <w:tc>
          <w:tcPr>
            <w:tcW w:w="1790" w:type="dxa"/>
            <w:tcBorders>
              <w:top w:val="nil"/>
              <w:left w:val="nil"/>
              <w:bottom w:val="single" w:sz="4" w:space="0" w:color="auto"/>
              <w:right w:val="single" w:sz="4" w:space="0" w:color="auto"/>
            </w:tcBorders>
            <w:hideMark/>
          </w:tcPr>
          <w:p w14:paraId="36BB831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38CECEB2"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65C782E8" w14:textId="77777777" w:rsidR="001C2850" w:rsidRDefault="001C2850" w:rsidP="001C2850">
            <w:pPr>
              <w:widowControl/>
              <w:jc w:val="left"/>
              <w:rPr>
                <w:rFonts w:ascii="宋体" w:eastAsia="宋体" w:hAnsi="宋体" w:cs="Times New Roman" w:hint="eastAsia"/>
                <w:sz w:val="24"/>
              </w:rPr>
            </w:pPr>
          </w:p>
        </w:tc>
        <w:tc>
          <w:tcPr>
            <w:tcW w:w="4909" w:type="dxa"/>
            <w:tcBorders>
              <w:top w:val="nil"/>
              <w:left w:val="nil"/>
              <w:bottom w:val="single" w:sz="4" w:space="0" w:color="auto"/>
              <w:right w:val="single" w:sz="4" w:space="0" w:color="auto"/>
            </w:tcBorders>
            <w:hideMark/>
          </w:tcPr>
          <w:p w14:paraId="31F5EC5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组织机构不完善，或虽完善但运作效率很低</w:t>
            </w:r>
          </w:p>
        </w:tc>
        <w:tc>
          <w:tcPr>
            <w:tcW w:w="1790" w:type="dxa"/>
            <w:tcBorders>
              <w:top w:val="nil"/>
              <w:left w:val="nil"/>
              <w:bottom w:val="single" w:sz="4" w:space="0" w:color="auto"/>
              <w:right w:val="single" w:sz="4" w:space="0" w:color="auto"/>
            </w:tcBorders>
            <w:hideMark/>
          </w:tcPr>
          <w:p w14:paraId="42790C04"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186EDCDA" w14:textId="77777777" w:rsidTr="001C2850">
        <w:tc>
          <w:tcPr>
            <w:tcW w:w="1823" w:type="dxa"/>
            <w:vMerge w:val="restart"/>
            <w:tcBorders>
              <w:top w:val="nil"/>
              <w:left w:val="single" w:sz="4" w:space="0" w:color="auto"/>
              <w:bottom w:val="single" w:sz="4" w:space="0" w:color="auto"/>
              <w:right w:val="single" w:sz="4" w:space="0" w:color="auto"/>
            </w:tcBorders>
            <w:hideMark/>
          </w:tcPr>
          <w:p w14:paraId="70DC42F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计划条理性</w:t>
            </w:r>
          </w:p>
        </w:tc>
        <w:tc>
          <w:tcPr>
            <w:tcW w:w="4909" w:type="dxa"/>
            <w:tcBorders>
              <w:top w:val="nil"/>
              <w:left w:val="nil"/>
              <w:bottom w:val="single" w:sz="4" w:space="0" w:color="auto"/>
              <w:right w:val="single" w:sz="4" w:space="0" w:color="auto"/>
            </w:tcBorders>
            <w:hideMark/>
          </w:tcPr>
          <w:p w14:paraId="4D015EA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计划安排很有条理，且在关键项目上态度较为保守</w:t>
            </w:r>
          </w:p>
        </w:tc>
        <w:tc>
          <w:tcPr>
            <w:tcW w:w="1790" w:type="dxa"/>
            <w:tcBorders>
              <w:top w:val="nil"/>
              <w:left w:val="nil"/>
              <w:bottom w:val="single" w:sz="4" w:space="0" w:color="auto"/>
              <w:right w:val="single" w:sz="4" w:space="0" w:color="auto"/>
            </w:tcBorders>
            <w:hideMark/>
          </w:tcPr>
          <w:p w14:paraId="48985E8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529A3EDB"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701B4413" w14:textId="77777777" w:rsidR="001C2850" w:rsidRDefault="001C2850" w:rsidP="001C2850">
            <w:pPr>
              <w:widowControl/>
              <w:jc w:val="left"/>
              <w:rPr>
                <w:rFonts w:ascii="宋体" w:eastAsia="宋体" w:hAnsi="宋体" w:cs="Times New Roman" w:hint="eastAsia"/>
                <w:sz w:val="24"/>
              </w:rPr>
            </w:pPr>
          </w:p>
        </w:tc>
        <w:tc>
          <w:tcPr>
            <w:tcW w:w="4909" w:type="dxa"/>
            <w:tcBorders>
              <w:top w:val="nil"/>
              <w:left w:val="nil"/>
              <w:bottom w:val="single" w:sz="4" w:space="0" w:color="auto"/>
              <w:right w:val="single" w:sz="4" w:space="0" w:color="auto"/>
            </w:tcBorders>
            <w:hideMark/>
          </w:tcPr>
          <w:p w14:paraId="610F8589"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计划安排有序，但在计划安排上态度较激进</w:t>
            </w:r>
          </w:p>
        </w:tc>
        <w:tc>
          <w:tcPr>
            <w:tcW w:w="1790" w:type="dxa"/>
            <w:tcBorders>
              <w:top w:val="nil"/>
              <w:left w:val="nil"/>
              <w:bottom w:val="single" w:sz="4" w:space="0" w:color="auto"/>
              <w:right w:val="single" w:sz="4" w:space="0" w:color="auto"/>
            </w:tcBorders>
            <w:hideMark/>
          </w:tcPr>
          <w:p w14:paraId="2B82C3B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1DA18D1A"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026A446F" w14:textId="77777777" w:rsidR="001C2850" w:rsidRDefault="001C2850" w:rsidP="001C2850">
            <w:pPr>
              <w:widowControl/>
              <w:jc w:val="left"/>
              <w:rPr>
                <w:rFonts w:ascii="宋体" w:eastAsia="宋体" w:hAnsi="宋体" w:cs="Times New Roman" w:hint="eastAsia"/>
                <w:sz w:val="24"/>
              </w:rPr>
            </w:pPr>
          </w:p>
        </w:tc>
        <w:tc>
          <w:tcPr>
            <w:tcW w:w="4909" w:type="dxa"/>
            <w:tcBorders>
              <w:top w:val="nil"/>
              <w:left w:val="nil"/>
              <w:bottom w:val="single" w:sz="4" w:space="0" w:color="auto"/>
              <w:right w:val="single" w:sz="4" w:space="0" w:color="auto"/>
            </w:tcBorders>
            <w:hideMark/>
          </w:tcPr>
          <w:p w14:paraId="41D006E1"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计划安排没条理，或一般但态度很激进（冒险型）</w:t>
            </w:r>
          </w:p>
        </w:tc>
        <w:tc>
          <w:tcPr>
            <w:tcW w:w="1790" w:type="dxa"/>
            <w:tcBorders>
              <w:top w:val="nil"/>
              <w:left w:val="nil"/>
              <w:bottom w:val="single" w:sz="4" w:space="0" w:color="auto"/>
              <w:right w:val="single" w:sz="4" w:space="0" w:color="auto"/>
            </w:tcBorders>
            <w:hideMark/>
          </w:tcPr>
          <w:p w14:paraId="64A4B43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47548D86" w14:textId="77777777" w:rsidTr="001C2850">
        <w:tc>
          <w:tcPr>
            <w:tcW w:w="1823" w:type="dxa"/>
            <w:vMerge w:val="restart"/>
            <w:tcBorders>
              <w:top w:val="nil"/>
              <w:left w:val="single" w:sz="4" w:space="0" w:color="auto"/>
              <w:bottom w:val="single" w:sz="4" w:space="0" w:color="auto"/>
              <w:right w:val="single" w:sz="4" w:space="0" w:color="auto"/>
            </w:tcBorders>
            <w:hideMark/>
          </w:tcPr>
          <w:p w14:paraId="59AED4FE"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研发人员素质</w:t>
            </w:r>
          </w:p>
        </w:tc>
        <w:tc>
          <w:tcPr>
            <w:tcW w:w="4909" w:type="dxa"/>
            <w:tcBorders>
              <w:top w:val="nil"/>
              <w:left w:val="nil"/>
              <w:bottom w:val="single" w:sz="4" w:space="0" w:color="auto"/>
              <w:right w:val="single" w:sz="4" w:space="0" w:color="auto"/>
            </w:tcBorders>
            <w:hideMark/>
          </w:tcPr>
          <w:p w14:paraId="232DF71B"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研发人员整体素质高，且人员之间协作能力强</w:t>
            </w:r>
          </w:p>
        </w:tc>
        <w:tc>
          <w:tcPr>
            <w:tcW w:w="1790" w:type="dxa"/>
            <w:tcBorders>
              <w:top w:val="nil"/>
              <w:left w:val="nil"/>
              <w:bottom w:val="single" w:sz="4" w:space="0" w:color="auto"/>
              <w:right w:val="single" w:sz="4" w:space="0" w:color="auto"/>
            </w:tcBorders>
            <w:hideMark/>
          </w:tcPr>
          <w:p w14:paraId="356D90B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6F91EBC2"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11C62280" w14:textId="77777777" w:rsidR="001C2850" w:rsidRDefault="001C2850" w:rsidP="001C2850">
            <w:pPr>
              <w:widowControl/>
              <w:jc w:val="left"/>
              <w:rPr>
                <w:rFonts w:ascii="宋体" w:eastAsia="宋体" w:hAnsi="宋体" w:cs="Times New Roman" w:hint="eastAsia"/>
                <w:sz w:val="24"/>
              </w:rPr>
            </w:pPr>
          </w:p>
        </w:tc>
        <w:tc>
          <w:tcPr>
            <w:tcW w:w="4909" w:type="dxa"/>
            <w:tcBorders>
              <w:top w:val="nil"/>
              <w:left w:val="nil"/>
              <w:bottom w:val="single" w:sz="4" w:space="0" w:color="auto"/>
              <w:right w:val="single" w:sz="4" w:space="0" w:color="auto"/>
            </w:tcBorders>
            <w:hideMark/>
          </w:tcPr>
          <w:p w14:paraId="792653A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研发人员整体素质较高，但人员之间协作能力一般</w:t>
            </w:r>
          </w:p>
        </w:tc>
        <w:tc>
          <w:tcPr>
            <w:tcW w:w="1790" w:type="dxa"/>
            <w:tcBorders>
              <w:top w:val="nil"/>
              <w:left w:val="nil"/>
              <w:bottom w:val="single" w:sz="4" w:space="0" w:color="auto"/>
              <w:right w:val="single" w:sz="4" w:space="0" w:color="auto"/>
            </w:tcBorders>
            <w:hideMark/>
          </w:tcPr>
          <w:p w14:paraId="4E640EA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4997B6FD"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4C0E774C" w14:textId="77777777" w:rsidR="001C2850" w:rsidRDefault="001C2850" w:rsidP="001C2850">
            <w:pPr>
              <w:widowControl/>
              <w:jc w:val="left"/>
              <w:rPr>
                <w:rFonts w:ascii="宋体" w:eastAsia="宋体" w:hAnsi="宋体" w:cs="Times New Roman" w:hint="eastAsia"/>
                <w:sz w:val="24"/>
              </w:rPr>
            </w:pPr>
          </w:p>
        </w:tc>
        <w:tc>
          <w:tcPr>
            <w:tcW w:w="4909" w:type="dxa"/>
            <w:tcBorders>
              <w:top w:val="nil"/>
              <w:left w:val="nil"/>
              <w:bottom w:val="single" w:sz="4" w:space="0" w:color="auto"/>
              <w:right w:val="single" w:sz="4" w:space="0" w:color="auto"/>
            </w:tcBorders>
            <w:hideMark/>
          </w:tcPr>
          <w:p w14:paraId="6203885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人员整体素质一般，协作能力也一般</w:t>
            </w:r>
          </w:p>
        </w:tc>
        <w:tc>
          <w:tcPr>
            <w:tcW w:w="1790" w:type="dxa"/>
            <w:tcBorders>
              <w:top w:val="nil"/>
              <w:left w:val="nil"/>
              <w:bottom w:val="single" w:sz="4" w:space="0" w:color="auto"/>
              <w:right w:val="single" w:sz="4" w:space="0" w:color="auto"/>
            </w:tcBorders>
            <w:hideMark/>
          </w:tcPr>
          <w:p w14:paraId="3C920A08"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34F55C39" w14:textId="77777777" w:rsidTr="001C2850">
        <w:tc>
          <w:tcPr>
            <w:tcW w:w="1823" w:type="dxa"/>
            <w:vMerge w:val="restart"/>
            <w:tcBorders>
              <w:top w:val="nil"/>
              <w:left w:val="single" w:sz="4" w:space="0" w:color="auto"/>
              <w:bottom w:val="single" w:sz="4" w:space="0" w:color="auto"/>
              <w:right w:val="single" w:sz="4" w:space="0" w:color="auto"/>
            </w:tcBorders>
            <w:hideMark/>
          </w:tcPr>
          <w:p w14:paraId="5C53D8D5"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研发实力及条件</w:t>
            </w:r>
          </w:p>
        </w:tc>
        <w:tc>
          <w:tcPr>
            <w:tcW w:w="4909" w:type="dxa"/>
            <w:tcBorders>
              <w:top w:val="nil"/>
              <w:left w:val="nil"/>
              <w:bottom w:val="single" w:sz="4" w:space="0" w:color="auto"/>
              <w:right w:val="single" w:sz="4" w:space="0" w:color="auto"/>
            </w:tcBorders>
            <w:hideMark/>
          </w:tcPr>
          <w:p w14:paraId="17B243D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实力雄厚、条件优越且得到大家一致公认</w:t>
            </w:r>
          </w:p>
        </w:tc>
        <w:tc>
          <w:tcPr>
            <w:tcW w:w="1790" w:type="dxa"/>
            <w:tcBorders>
              <w:top w:val="nil"/>
              <w:left w:val="nil"/>
              <w:bottom w:val="single" w:sz="4" w:space="0" w:color="auto"/>
              <w:right w:val="single" w:sz="4" w:space="0" w:color="auto"/>
            </w:tcBorders>
            <w:hideMark/>
          </w:tcPr>
          <w:p w14:paraId="2CE053A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0B329076"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43DFBF8A" w14:textId="77777777" w:rsidR="001C2850" w:rsidRDefault="001C2850" w:rsidP="001C2850">
            <w:pPr>
              <w:widowControl/>
              <w:jc w:val="left"/>
              <w:rPr>
                <w:rFonts w:ascii="宋体" w:eastAsia="宋体" w:hAnsi="宋体" w:cs="Times New Roman" w:hint="eastAsia"/>
                <w:sz w:val="24"/>
              </w:rPr>
            </w:pPr>
          </w:p>
        </w:tc>
        <w:tc>
          <w:tcPr>
            <w:tcW w:w="4909" w:type="dxa"/>
            <w:tcBorders>
              <w:top w:val="nil"/>
              <w:left w:val="nil"/>
              <w:bottom w:val="single" w:sz="4" w:space="0" w:color="auto"/>
              <w:right w:val="single" w:sz="4" w:space="0" w:color="auto"/>
            </w:tcBorders>
            <w:hideMark/>
          </w:tcPr>
          <w:p w14:paraId="79C3D9E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实力和条件较好，能胜任项目的研究</w:t>
            </w:r>
          </w:p>
        </w:tc>
        <w:tc>
          <w:tcPr>
            <w:tcW w:w="1790" w:type="dxa"/>
            <w:tcBorders>
              <w:top w:val="nil"/>
              <w:left w:val="nil"/>
              <w:bottom w:val="single" w:sz="4" w:space="0" w:color="auto"/>
              <w:right w:val="single" w:sz="4" w:space="0" w:color="auto"/>
            </w:tcBorders>
            <w:hideMark/>
          </w:tcPr>
          <w:p w14:paraId="698AC19D"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2D02D616"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2DDCABFA" w14:textId="77777777" w:rsidR="001C2850" w:rsidRDefault="001C2850" w:rsidP="001C2850">
            <w:pPr>
              <w:widowControl/>
              <w:jc w:val="left"/>
              <w:rPr>
                <w:rFonts w:ascii="宋体" w:eastAsia="宋体" w:hAnsi="宋体" w:cs="Times New Roman" w:hint="eastAsia"/>
                <w:sz w:val="24"/>
              </w:rPr>
            </w:pPr>
          </w:p>
        </w:tc>
        <w:tc>
          <w:tcPr>
            <w:tcW w:w="4909" w:type="dxa"/>
            <w:tcBorders>
              <w:top w:val="nil"/>
              <w:left w:val="nil"/>
              <w:bottom w:val="single" w:sz="4" w:space="0" w:color="auto"/>
              <w:right w:val="single" w:sz="4" w:space="0" w:color="auto"/>
            </w:tcBorders>
            <w:hideMark/>
          </w:tcPr>
          <w:p w14:paraId="05BE56A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实力和条件一般，基本能胜任项目研究工作</w:t>
            </w:r>
          </w:p>
        </w:tc>
        <w:tc>
          <w:tcPr>
            <w:tcW w:w="1790" w:type="dxa"/>
            <w:tcBorders>
              <w:top w:val="nil"/>
              <w:left w:val="nil"/>
              <w:bottom w:val="single" w:sz="4" w:space="0" w:color="auto"/>
              <w:right w:val="single" w:sz="4" w:space="0" w:color="auto"/>
            </w:tcBorders>
            <w:hideMark/>
          </w:tcPr>
          <w:p w14:paraId="720E634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r w:rsidR="001C2850" w14:paraId="132BDC71" w14:textId="77777777" w:rsidTr="001C2850">
        <w:tc>
          <w:tcPr>
            <w:tcW w:w="1823" w:type="dxa"/>
            <w:vMerge w:val="restart"/>
            <w:tcBorders>
              <w:top w:val="nil"/>
              <w:left w:val="single" w:sz="4" w:space="0" w:color="auto"/>
              <w:bottom w:val="single" w:sz="4" w:space="0" w:color="auto"/>
              <w:right w:val="single" w:sz="4" w:space="0" w:color="auto"/>
            </w:tcBorders>
            <w:hideMark/>
          </w:tcPr>
          <w:p w14:paraId="60DBCE40"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各阶段的协调</w:t>
            </w:r>
          </w:p>
        </w:tc>
        <w:tc>
          <w:tcPr>
            <w:tcW w:w="4909" w:type="dxa"/>
            <w:tcBorders>
              <w:top w:val="nil"/>
              <w:left w:val="nil"/>
              <w:bottom w:val="single" w:sz="4" w:space="0" w:color="auto"/>
              <w:right w:val="single" w:sz="4" w:space="0" w:color="auto"/>
            </w:tcBorders>
            <w:hideMark/>
          </w:tcPr>
          <w:p w14:paraId="6B84594B"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协调能力强，能作好各阶段的协调工作，应付突发事件能力强</w:t>
            </w:r>
          </w:p>
        </w:tc>
        <w:tc>
          <w:tcPr>
            <w:tcW w:w="1790" w:type="dxa"/>
            <w:tcBorders>
              <w:top w:val="nil"/>
              <w:left w:val="nil"/>
              <w:bottom w:val="single" w:sz="4" w:space="0" w:color="auto"/>
              <w:right w:val="single" w:sz="4" w:space="0" w:color="auto"/>
            </w:tcBorders>
            <w:hideMark/>
          </w:tcPr>
          <w:p w14:paraId="4F628F9A"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低风险</w:t>
            </w:r>
          </w:p>
        </w:tc>
      </w:tr>
      <w:tr w:rsidR="001C2850" w14:paraId="43C6E68B"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14B49832" w14:textId="77777777" w:rsidR="001C2850" w:rsidRDefault="001C2850" w:rsidP="001C2850">
            <w:pPr>
              <w:widowControl/>
              <w:jc w:val="left"/>
              <w:rPr>
                <w:rFonts w:ascii="宋体" w:eastAsia="宋体" w:hAnsi="宋体" w:cs="Times New Roman" w:hint="eastAsia"/>
                <w:sz w:val="24"/>
              </w:rPr>
            </w:pPr>
          </w:p>
        </w:tc>
        <w:tc>
          <w:tcPr>
            <w:tcW w:w="4909" w:type="dxa"/>
            <w:tcBorders>
              <w:top w:val="nil"/>
              <w:left w:val="nil"/>
              <w:bottom w:val="single" w:sz="4" w:space="0" w:color="auto"/>
              <w:right w:val="single" w:sz="4" w:space="0" w:color="auto"/>
            </w:tcBorders>
            <w:hideMark/>
          </w:tcPr>
          <w:p w14:paraId="6F3F7207"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协调能力较强，正常情况下能保证各阶段的协调一致，应付突发事件的能力一般</w:t>
            </w:r>
          </w:p>
        </w:tc>
        <w:tc>
          <w:tcPr>
            <w:tcW w:w="1790" w:type="dxa"/>
            <w:tcBorders>
              <w:top w:val="nil"/>
              <w:left w:val="nil"/>
              <w:bottom w:val="single" w:sz="4" w:space="0" w:color="auto"/>
              <w:right w:val="single" w:sz="4" w:space="0" w:color="auto"/>
            </w:tcBorders>
            <w:hideMark/>
          </w:tcPr>
          <w:p w14:paraId="70067BC3"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中等风险</w:t>
            </w:r>
          </w:p>
        </w:tc>
      </w:tr>
      <w:tr w:rsidR="001C2850" w14:paraId="0AAFA981" w14:textId="77777777" w:rsidTr="001C2850">
        <w:tc>
          <w:tcPr>
            <w:tcW w:w="6732" w:type="dxa"/>
            <w:vMerge/>
            <w:tcBorders>
              <w:top w:val="nil"/>
              <w:left w:val="single" w:sz="4" w:space="0" w:color="auto"/>
              <w:bottom w:val="single" w:sz="4" w:space="0" w:color="auto"/>
              <w:right w:val="single" w:sz="4" w:space="0" w:color="auto"/>
            </w:tcBorders>
            <w:vAlign w:val="center"/>
            <w:hideMark/>
          </w:tcPr>
          <w:p w14:paraId="40874254" w14:textId="77777777" w:rsidR="001C2850" w:rsidRDefault="001C2850" w:rsidP="001C2850">
            <w:pPr>
              <w:widowControl/>
              <w:jc w:val="left"/>
              <w:rPr>
                <w:rFonts w:ascii="宋体" w:eastAsia="宋体" w:hAnsi="宋体" w:cs="Times New Roman" w:hint="eastAsia"/>
                <w:sz w:val="24"/>
              </w:rPr>
            </w:pPr>
          </w:p>
        </w:tc>
        <w:tc>
          <w:tcPr>
            <w:tcW w:w="4909" w:type="dxa"/>
            <w:tcBorders>
              <w:top w:val="nil"/>
              <w:left w:val="nil"/>
              <w:bottom w:val="single" w:sz="4" w:space="0" w:color="auto"/>
              <w:right w:val="single" w:sz="4" w:space="0" w:color="auto"/>
            </w:tcBorders>
            <w:hideMark/>
          </w:tcPr>
          <w:p w14:paraId="20087692"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协调能力一般，应付突发事件的能力差</w:t>
            </w:r>
          </w:p>
        </w:tc>
        <w:tc>
          <w:tcPr>
            <w:tcW w:w="1790" w:type="dxa"/>
            <w:tcBorders>
              <w:top w:val="nil"/>
              <w:left w:val="nil"/>
              <w:bottom w:val="single" w:sz="4" w:space="0" w:color="auto"/>
              <w:right w:val="single" w:sz="4" w:space="0" w:color="auto"/>
            </w:tcBorders>
            <w:hideMark/>
          </w:tcPr>
          <w:p w14:paraId="7FB981A6" w14:textId="77777777" w:rsidR="001C2850" w:rsidRDefault="001C2850" w:rsidP="001C2850">
            <w:pPr>
              <w:pStyle w:val="ab"/>
              <w:spacing w:line="360" w:lineRule="auto"/>
              <w:rPr>
                <w:rFonts w:ascii="宋体" w:eastAsia="宋体" w:hAnsi="宋体" w:hint="eastAsia"/>
                <w:sz w:val="24"/>
              </w:rPr>
            </w:pPr>
            <w:r>
              <w:rPr>
                <w:rFonts w:ascii="宋体" w:eastAsia="宋体" w:hAnsi="宋体" w:hint="eastAsia"/>
                <w:sz w:val="24"/>
              </w:rPr>
              <w:t>高风险</w:t>
            </w:r>
          </w:p>
        </w:tc>
      </w:tr>
    </w:tbl>
    <w:p w14:paraId="1006786F" w14:textId="77777777" w:rsidR="001C2850" w:rsidRDefault="001C2850" w:rsidP="001C2850">
      <w:pPr>
        <w:pStyle w:val="6"/>
        <w:rPr>
          <w:rFonts w:ascii="Arial" w:eastAsia="黑体" w:hAnsi="Arial" w:cs="Times New Roman"/>
        </w:rPr>
      </w:pPr>
      <w:bookmarkStart w:id="41" w:name="_Toc185788741"/>
      <w:bookmarkStart w:id="42" w:name="_Toc180263826"/>
      <w:bookmarkStart w:id="43" w:name="_Toc251253044"/>
      <w:bookmarkStart w:id="44" w:name="_Toc290734017"/>
      <w:bookmarkStart w:id="45" w:name="_Toc309547578"/>
      <w:bookmarkStart w:id="46" w:name="_Toc372272969"/>
      <w:r>
        <w:rPr>
          <w:rFonts w:hint="eastAsia"/>
        </w:rPr>
        <w:t>风险分析</w:t>
      </w:r>
      <w:bookmarkEnd w:id="41"/>
      <w:bookmarkEnd w:id="42"/>
      <w:bookmarkEnd w:id="43"/>
      <w:bookmarkEnd w:id="44"/>
      <w:bookmarkEnd w:id="45"/>
      <w:bookmarkEnd w:id="46"/>
    </w:p>
    <w:p w14:paraId="6346E123" w14:textId="77777777" w:rsidR="001C2850" w:rsidRDefault="001C2850" w:rsidP="001C2850">
      <w:pPr>
        <w:pStyle w:val="a9"/>
        <w:spacing w:line="360" w:lineRule="auto"/>
        <w:ind w:firstLine="480"/>
        <w:rPr>
          <w:sz w:val="24"/>
        </w:rPr>
      </w:pPr>
      <w:r>
        <w:rPr>
          <w:rFonts w:hint="eastAsia"/>
          <w:sz w:val="24"/>
        </w:rPr>
        <w:t>尽早进行风险分析，能够减少项目实行过程中的不确定性。它不仅使各层次的项目管理者建立风险意识，重视风险问题，防范于未然，而且在各个阶段、各个方面实施有效的风险控制，形成一个前后连贯的管理过程。</w:t>
      </w:r>
    </w:p>
    <w:p w14:paraId="3137D900" w14:textId="77777777" w:rsidR="001C2850" w:rsidRDefault="001C2850" w:rsidP="001C2850">
      <w:pPr>
        <w:pStyle w:val="a9"/>
        <w:spacing w:line="360" w:lineRule="auto"/>
        <w:ind w:firstLine="480"/>
        <w:rPr>
          <w:sz w:val="24"/>
        </w:rPr>
      </w:pPr>
      <w:r>
        <w:rPr>
          <w:rFonts w:hint="eastAsia"/>
          <w:sz w:val="24"/>
        </w:rPr>
        <w:t>作为面对项目风险的有效手段，全面风险管理强调风险的事先分析与评价，风险因素分</w:t>
      </w:r>
      <w:r>
        <w:rPr>
          <w:rFonts w:hint="eastAsia"/>
          <w:sz w:val="24"/>
        </w:rPr>
        <w:lastRenderedPageBreak/>
        <w:t>析是确定一个项目的风险范围，并将这些风险因素逐一列出以作为全面风险管理的对象。罗列风险因素通常要从多角度、多方位进行，形成对项目系统的全方位的透视。</w:t>
      </w:r>
    </w:p>
    <w:p w14:paraId="468CB44F" w14:textId="77777777" w:rsidR="001C2850" w:rsidRDefault="001C2850" w:rsidP="001C2850">
      <w:pPr>
        <w:pStyle w:val="a9"/>
        <w:spacing w:line="360" w:lineRule="auto"/>
        <w:ind w:firstLine="480"/>
        <w:rPr>
          <w:sz w:val="24"/>
        </w:rPr>
      </w:pPr>
      <w:r>
        <w:rPr>
          <w:rFonts w:hint="eastAsia"/>
          <w:sz w:val="24"/>
        </w:rPr>
        <w:t>从总体上可以将该项目的风险分为宏观和微观两部分，宏观方面的风险指针对该项目的特点而使项目的实施具有的风险，微观风险则指在软件开发过程中会出现的风险。</w:t>
      </w:r>
    </w:p>
    <w:p w14:paraId="1EEE1657" w14:textId="77777777" w:rsidR="001C2850" w:rsidRDefault="001C2850" w:rsidP="001C2850">
      <w:pPr>
        <w:pStyle w:val="a9"/>
        <w:spacing w:line="360" w:lineRule="auto"/>
        <w:ind w:firstLine="480"/>
        <w:rPr>
          <w:sz w:val="24"/>
        </w:rPr>
      </w:pPr>
      <w:r>
        <w:rPr>
          <w:rFonts w:hint="eastAsia"/>
          <w:sz w:val="24"/>
        </w:rPr>
        <w:t>风险因素的分析可以采用以下方面进行分析：</w:t>
      </w:r>
    </w:p>
    <w:p w14:paraId="2EDBC0B4" w14:textId="77777777" w:rsidR="001C2850" w:rsidRDefault="001C2850" w:rsidP="001C2850">
      <w:pPr>
        <w:pStyle w:val="7"/>
        <w:rPr>
          <w:rFonts w:hint="eastAsia"/>
        </w:rPr>
      </w:pPr>
      <w:bookmarkStart w:id="47" w:name="_Toc180263827"/>
      <w:bookmarkStart w:id="48" w:name="_Toc121857481"/>
      <w:bookmarkStart w:id="49" w:name="_Toc251253045"/>
      <w:bookmarkStart w:id="50" w:name="_Toc372272970"/>
      <w:r>
        <w:rPr>
          <w:rFonts w:hint="eastAsia"/>
        </w:rPr>
        <w:t>宏观风险分析</w:t>
      </w:r>
      <w:bookmarkEnd w:id="47"/>
      <w:bookmarkEnd w:id="48"/>
      <w:bookmarkEnd w:id="49"/>
      <w:bookmarkEnd w:id="50"/>
    </w:p>
    <w:p w14:paraId="3F7C7C9A" w14:textId="0F114826" w:rsidR="001C2850" w:rsidRDefault="001C2850" w:rsidP="001C2850">
      <w:pPr>
        <w:pStyle w:val="a9"/>
        <w:spacing w:line="360" w:lineRule="auto"/>
        <w:ind w:firstLine="480"/>
        <w:rPr>
          <w:rFonts w:ascii="仿宋_GB2312" w:eastAsia="仿宋_GB2312"/>
          <w:sz w:val="24"/>
        </w:rPr>
      </w:pPr>
      <w:r>
        <w:rPr>
          <w:rFonts w:hint="eastAsia"/>
          <w:sz w:val="24"/>
        </w:rPr>
        <w:t>从项目的整体规划上看，本项目作为一项大型的信息化工程建设项目，其具有以下特点：</w:t>
      </w:r>
    </w:p>
    <w:p w14:paraId="25C4F72A" w14:textId="77777777" w:rsidR="001C2850" w:rsidRDefault="001C2850">
      <w:pPr>
        <w:pStyle w:val="a9"/>
        <w:numPr>
          <w:ilvl w:val="1"/>
          <w:numId w:val="6"/>
        </w:numPr>
        <w:spacing w:line="360" w:lineRule="auto"/>
        <w:ind w:left="900"/>
        <w:rPr>
          <w:rFonts w:ascii="仿宋_GB2312" w:eastAsia="仿宋_GB2312"/>
          <w:sz w:val="24"/>
        </w:rPr>
      </w:pPr>
      <w:r>
        <w:rPr>
          <w:rFonts w:hint="eastAsia"/>
          <w:sz w:val="24"/>
        </w:rPr>
        <w:t>应用系统庞大，建设内容多</w:t>
      </w:r>
      <w:r>
        <w:rPr>
          <w:rFonts w:ascii="仿宋_GB2312" w:eastAsia="仿宋_GB2312" w:hint="eastAsia"/>
          <w:sz w:val="24"/>
        </w:rPr>
        <w:t>；</w:t>
      </w:r>
    </w:p>
    <w:p w14:paraId="104ACA39" w14:textId="351EB023" w:rsidR="001C2850" w:rsidRDefault="001C2850">
      <w:pPr>
        <w:pStyle w:val="a9"/>
        <w:numPr>
          <w:ilvl w:val="1"/>
          <w:numId w:val="6"/>
        </w:numPr>
        <w:spacing w:line="360" w:lineRule="auto"/>
        <w:ind w:left="900"/>
        <w:rPr>
          <w:rFonts w:ascii="仿宋_GB2312" w:eastAsia="仿宋_GB2312"/>
          <w:sz w:val="24"/>
        </w:rPr>
      </w:pPr>
      <w:r>
        <w:rPr>
          <w:rFonts w:hint="eastAsia"/>
          <w:sz w:val="24"/>
        </w:rPr>
        <w:t>项目投资金额大，工程进度时间</w:t>
      </w:r>
      <w:r w:rsidR="006C6F6D" w:rsidRPr="006C6F6D">
        <w:rPr>
          <w:rFonts w:hint="eastAsia"/>
          <w:b/>
          <w:sz w:val="24"/>
        </w:rPr>
        <w:t>招标文件要求</w:t>
      </w:r>
      <w:r>
        <w:rPr>
          <w:rFonts w:hint="eastAsia"/>
          <w:sz w:val="24"/>
        </w:rPr>
        <w:t>短</w:t>
      </w:r>
      <w:r>
        <w:rPr>
          <w:rFonts w:ascii="仿宋_GB2312" w:eastAsia="仿宋_GB2312" w:hint="eastAsia"/>
          <w:sz w:val="24"/>
        </w:rPr>
        <w:t>；</w:t>
      </w:r>
    </w:p>
    <w:p w14:paraId="203C9685" w14:textId="77777777" w:rsidR="001C2850" w:rsidRDefault="001C2850" w:rsidP="001C2850">
      <w:pPr>
        <w:pStyle w:val="a9"/>
        <w:spacing w:line="360" w:lineRule="auto"/>
        <w:ind w:firstLine="480"/>
        <w:rPr>
          <w:sz w:val="24"/>
        </w:rPr>
      </w:pPr>
      <w:r>
        <w:rPr>
          <w:rFonts w:hint="eastAsia"/>
          <w:sz w:val="24"/>
        </w:rPr>
        <w:t>由于项目的这些特点，使项目的建设存在以下风险性：</w:t>
      </w:r>
    </w:p>
    <w:p w14:paraId="4F672D6E" w14:textId="77777777" w:rsidR="001C2850" w:rsidRDefault="001C2850" w:rsidP="001C2850">
      <w:pPr>
        <w:pStyle w:val="a9"/>
        <w:spacing w:line="360" w:lineRule="auto"/>
        <w:ind w:firstLine="480"/>
        <w:rPr>
          <w:sz w:val="24"/>
        </w:rPr>
      </w:pPr>
      <w:r>
        <w:rPr>
          <w:sz w:val="24"/>
        </w:rPr>
        <w:t>1</w:t>
      </w:r>
      <w:r>
        <w:rPr>
          <w:rFonts w:hint="eastAsia"/>
          <w:sz w:val="24"/>
        </w:rPr>
        <w:t>、项目建设的统筹规划、协调实施方面的风险性</w:t>
      </w:r>
    </w:p>
    <w:p w14:paraId="4446A8E1" w14:textId="77777777" w:rsidR="001C2850" w:rsidRDefault="001C2850" w:rsidP="001C2850">
      <w:pPr>
        <w:pStyle w:val="a9"/>
        <w:spacing w:line="360" w:lineRule="auto"/>
        <w:ind w:firstLine="480"/>
        <w:rPr>
          <w:sz w:val="24"/>
        </w:rPr>
      </w:pPr>
      <w:r>
        <w:rPr>
          <w:rFonts w:hint="eastAsia"/>
          <w:sz w:val="24"/>
        </w:rPr>
        <w:t>这一风险属于项目管理的风险，主要体现为制定合理的项目计划、预算项目成本、资源配置、质量管理及项目管理技术选择等方面，由于项目的规模巨大，建设内容多，建设内容存在交叉与关联，因此使项目的建设不确定性、复杂性并存，带来项目统筹规划、协调实施的风险性。</w:t>
      </w:r>
    </w:p>
    <w:p w14:paraId="65C9AA5C" w14:textId="77777777" w:rsidR="001C2850" w:rsidRDefault="001C2850" w:rsidP="001C2850">
      <w:pPr>
        <w:pStyle w:val="a9"/>
        <w:spacing w:line="360" w:lineRule="auto"/>
        <w:ind w:firstLine="480"/>
        <w:rPr>
          <w:sz w:val="24"/>
        </w:rPr>
      </w:pPr>
      <w:r>
        <w:rPr>
          <w:sz w:val="24"/>
        </w:rPr>
        <w:t>2</w:t>
      </w:r>
      <w:r>
        <w:rPr>
          <w:rFonts w:hint="eastAsia"/>
          <w:sz w:val="24"/>
        </w:rPr>
        <w:t>、项目投资大而周期相对短造成的组织、实施方面的风险性</w:t>
      </w:r>
    </w:p>
    <w:p w14:paraId="04997779" w14:textId="77777777" w:rsidR="001C2850" w:rsidRDefault="001C2850" w:rsidP="001C2850">
      <w:pPr>
        <w:pStyle w:val="a9"/>
        <w:spacing w:line="360" w:lineRule="auto"/>
        <w:ind w:firstLine="480"/>
        <w:rPr>
          <w:sz w:val="24"/>
        </w:rPr>
      </w:pPr>
      <w:r>
        <w:rPr>
          <w:rFonts w:hint="eastAsia"/>
          <w:sz w:val="24"/>
        </w:rPr>
        <w:t>组织风险中的一个重要的风险就是项目决策时所确定的项目范围、时间与费用之间的矛盾。此系统的应用软件开发任务多、工作量大，而项目工期相对短，这造成了项目范围和时间的矛盾，因此给如何合理地组织人力与资源，制定可行的项目进度计划带来了困难，形成了项目实施的一定风险。</w:t>
      </w:r>
    </w:p>
    <w:p w14:paraId="0E890D97" w14:textId="77777777" w:rsidR="001C2850" w:rsidRDefault="001C2850" w:rsidP="001C2850">
      <w:pPr>
        <w:pStyle w:val="a9"/>
        <w:spacing w:line="360" w:lineRule="auto"/>
        <w:ind w:firstLine="480"/>
        <w:rPr>
          <w:sz w:val="24"/>
        </w:rPr>
      </w:pPr>
      <w:r>
        <w:rPr>
          <w:sz w:val="24"/>
        </w:rPr>
        <w:t>3</w:t>
      </w:r>
      <w:r>
        <w:rPr>
          <w:rFonts w:hint="eastAsia"/>
          <w:sz w:val="24"/>
        </w:rPr>
        <w:t>、项目受不可控因素影响产生的风险性</w:t>
      </w:r>
    </w:p>
    <w:p w14:paraId="3ADB08E9" w14:textId="77777777" w:rsidR="001C2850" w:rsidRDefault="001C2850" w:rsidP="001C2850">
      <w:pPr>
        <w:pStyle w:val="a9"/>
        <w:spacing w:line="360" w:lineRule="auto"/>
        <w:ind w:firstLine="480"/>
        <w:rPr>
          <w:rFonts w:ascii="仿宋_GB2312" w:eastAsia="仿宋_GB2312"/>
          <w:sz w:val="24"/>
        </w:rPr>
      </w:pPr>
      <w:r>
        <w:rPr>
          <w:rFonts w:hint="eastAsia"/>
          <w:sz w:val="24"/>
        </w:rPr>
        <w:t>该项目受不可控因素的影响主要表现在以下几个方面：</w:t>
      </w:r>
    </w:p>
    <w:p w14:paraId="7FF1AF2D" w14:textId="77777777" w:rsidR="001C2850" w:rsidRDefault="001C2850">
      <w:pPr>
        <w:pStyle w:val="a9"/>
        <w:numPr>
          <w:ilvl w:val="1"/>
          <w:numId w:val="7"/>
        </w:numPr>
        <w:spacing w:line="360" w:lineRule="auto"/>
        <w:ind w:left="480" w:firstLineChars="200" w:firstLine="480"/>
        <w:rPr>
          <w:rFonts w:ascii="仿宋_GB2312" w:eastAsia="仿宋_GB2312"/>
          <w:sz w:val="24"/>
        </w:rPr>
      </w:pPr>
      <w:r>
        <w:rPr>
          <w:rFonts w:hint="eastAsia"/>
          <w:sz w:val="24"/>
        </w:rPr>
        <w:t>本系统建设是一项投资大、周期长、知识密集、高风险的系统工程，项目管理不到位，缺少足够的经验，不严格按信息化建设规律办事是等都有可能加大本项目失败的风险。</w:t>
      </w:r>
    </w:p>
    <w:p w14:paraId="75DA5E0F" w14:textId="77777777" w:rsidR="001C2850" w:rsidRDefault="001C2850">
      <w:pPr>
        <w:pStyle w:val="a9"/>
        <w:numPr>
          <w:ilvl w:val="1"/>
          <w:numId w:val="7"/>
        </w:numPr>
        <w:spacing w:line="360" w:lineRule="auto"/>
        <w:ind w:left="480" w:firstLineChars="200" w:firstLine="480"/>
        <w:rPr>
          <w:rFonts w:ascii="仿宋_GB2312" w:eastAsia="仿宋_GB2312"/>
          <w:sz w:val="24"/>
        </w:rPr>
      </w:pPr>
      <w:r>
        <w:rPr>
          <w:rFonts w:hint="eastAsia"/>
          <w:sz w:val="24"/>
        </w:rPr>
        <w:t>系统建设过程中如若缺乏一种有效的监督管理机制，将致使许多工程项目在质量、进度、投资等方面都无法得到很好的保证和控制，出了问题就互相推诿，项目中途下马</w:t>
      </w:r>
      <w:r>
        <w:rPr>
          <w:rFonts w:hint="eastAsia"/>
          <w:sz w:val="24"/>
        </w:rPr>
        <w:lastRenderedPageBreak/>
        <w:t>或完工后难以达到预期建设目标。</w:t>
      </w:r>
    </w:p>
    <w:p w14:paraId="55576A72" w14:textId="77777777" w:rsidR="001C2850" w:rsidRDefault="001C2850" w:rsidP="001C2850">
      <w:pPr>
        <w:pStyle w:val="a9"/>
        <w:spacing w:line="360" w:lineRule="auto"/>
        <w:ind w:firstLine="480"/>
        <w:rPr>
          <w:rFonts w:ascii="仿宋_GB2312" w:eastAsia="仿宋_GB2312"/>
          <w:sz w:val="24"/>
        </w:rPr>
      </w:pPr>
      <w:r>
        <w:rPr>
          <w:rFonts w:ascii="仿宋_GB2312" w:eastAsia="仿宋_GB2312" w:hint="eastAsia"/>
          <w:sz w:val="24"/>
        </w:rPr>
        <w:t>4、</w:t>
      </w:r>
      <w:r>
        <w:rPr>
          <w:rFonts w:hint="eastAsia"/>
          <w:sz w:val="24"/>
        </w:rPr>
        <w:t>项目由于外部因素影响可能存在的风险性</w:t>
      </w:r>
    </w:p>
    <w:p w14:paraId="159B8124" w14:textId="77777777" w:rsidR="001C2850" w:rsidRDefault="001C2850" w:rsidP="001C2850">
      <w:pPr>
        <w:pStyle w:val="a9"/>
        <w:spacing w:line="360" w:lineRule="auto"/>
        <w:ind w:firstLine="480"/>
        <w:rPr>
          <w:rFonts w:ascii="仿宋_GB2312" w:eastAsia="仿宋_GB2312"/>
          <w:sz w:val="24"/>
        </w:rPr>
      </w:pPr>
      <w:r>
        <w:rPr>
          <w:rFonts w:hint="eastAsia"/>
          <w:sz w:val="24"/>
        </w:rPr>
        <w:t>项目外部风险主要是指项目的政治、经济环境的变化，包括与项目相关的规章或标准的变化，组织中机构的变化，如机构合并、自然灾害等。这类风险对项目的影响和项目性质的关系较大。</w:t>
      </w:r>
    </w:p>
    <w:p w14:paraId="09B600DF" w14:textId="77777777" w:rsidR="001C2850" w:rsidRDefault="001C2850" w:rsidP="001C2850">
      <w:pPr>
        <w:pStyle w:val="7"/>
        <w:rPr>
          <w:rFonts w:ascii="Times New Roman" w:eastAsia="黑体" w:hint="eastAsia"/>
        </w:rPr>
      </w:pPr>
      <w:bookmarkStart w:id="51" w:name="_Toc121857482"/>
      <w:bookmarkStart w:id="52" w:name="_Toc180263828"/>
      <w:bookmarkStart w:id="53" w:name="_Toc251253046"/>
      <w:bookmarkStart w:id="54" w:name="_Toc372272971"/>
      <w:r>
        <w:rPr>
          <w:rFonts w:hint="eastAsia"/>
        </w:rPr>
        <w:t>微观风险分析</w:t>
      </w:r>
      <w:bookmarkEnd w:id="51"/>
      <w:bookmarkEnd w:id="52"/>
      <w:bookmarkEnd w:id="53"/>
      <w:bookmarkEnd w:id="54"/>
    </w:p>
    <w:p w14:paraId="264C26BB" w14:textId="2F91B2D9" w:rsidR="001C2850" w:rsidRDefault="001C2850" w:rsidP="001C2850">
      <w:pPr>
        <w:pStyle w:val="a9"/>
        <w:spacing w:line="360" w:lineRule="auto"/>
        <w:ind w:firstLine="480"/>
        <w:rPr>
          <w:rFonts w:ascii="仿宋_GB2312" w:eastAsia="仿宋_GB2312"/>
          <w:sz w:val="24"/>
          <w:szCs w:val="24"/>
        </w:rPr>
      </w:pPr>
      <w:r>
        <w:rPr>
          <w:rFonts w:hint="eastAsia"/>
          <w:sz w:val="24"/>
          <w:szCs w:val="24"/>
        </w:rPr>
        <w:t>对于本项目的风险，</w:t>
      </w:r>
      <w:r w:rsidR="00152F2A">
        <w:rPr>
          <w:rFonts w:hint="eastAsia"/>
          <w:sz w:val="24"/>
          <w:szCs w:val="24"/>
        </w:rPr>
        <w:t>我公司</w:t>
      </w:r>
      <w:r>
        <w:rPr>
          <w:rFonts w:hint="eastAsia"/>
          <w:sz w:val="24"/>
          <w:szCs w:val="24"/>
        </w:rPr>
        <w:t>具体分析如下：</w:t>
      </w:r>
    </w:p>
    <w:p w14:paraId="5276A4DB" w14:textId="77777777" w:rsidR="001C2850" w:rsidRDefault="001C2850" w:rsidP="001C2850">
      <w:pPr>
        <w:spacing w:line="360" w:lineRule="auto"/>
        <w:rPr>
          <w:rFonts w:ascii="黑体" w:eastAsia="黑体" w:hint="eastAsia"/>
          <w:b/>
          <w:sz w:val="24"/>
          <w:szCs w:val="24"/>
        </w:rPr>
      </w:pPr>
      <w:r>
        <w:rPr>
          <w:rFonts w:ascii="黑体" w:eastAsia="黑体" w:hint="eastAsia"/>
          <w:b/>
          <w:sz w:val="24"/>
          <w:szCs w:val="24"/>
        </w:rPr>
        <w:t>1、按项目系统要素分析</w:t>
      </w:r>
    </w:p>
    <w:p w14:paraId="2C9F45FE" w14:textId="77777777" w:rsidR="001C2850" w:rsidRDefault="001C2850" w:rsidP="001C2850">
      <w:pPr>
        <w:spacing w:line="360" w:lineRule="auto"/>
        <w:ind w:firstLine="420"/>
        <w:rPr>
          <w:rFonts w:ascii="仿宋_GB2312" w:eastAsia="仿宋_GB2312" w:hint="eastAsia"/>
          <w:sz w:val="24"/>
          <w:szCs w:val="24"/>
        </w:rPr>
      </w:pPr>
      <w:r>
        <w:rPr>
          <w:rFonts w:hint="eastAsia"/>
          <w:sz w:val="24"/>
          <w:szCs w:val="24"/>
        </w:rPr>
        <w:t>这主要有四个方面的系统要素风险：</w:t>
      </w:r>
    </w:p>
    <w:p w14:paraId="754CF258" w14:textId="77777777" w:rsidR="001C2850" w:rsidRDefault="001C2850">
      <w:pPr>
        <w:numPr>
          <w:ilvl w:val="1"/>
          <w:numId w:val="8"/>
        </w:numPr>
        <w:spacing w:line="360" w:lineRule="auto"/>
        <w:ind w:left="1260" w:hanging="360"/>
        <w:rPr>
          <w:rFonts w:ascii="仿宋_GB2312" w:eastAsia="仿宋_GB2312" w:hint="eastAsia"/>
          <w:sz w:val="24"/>
          <w:szCs w:val="24"/>
        </w:rPr>
      </w:pPr>
      <w:r>
        <w:rPr>
          <w:rFonts w:hint="eastAsia"/>
          <w:sz w:val="24"/>
          <w:szCs w:val="24"/>
        </w:rPr>
        <w:t>项目环境要素风险，最常见的有政治风险、法律风险、经济风险、自然条件、社会风险等</w:t>
      </w:r>
      <w:r>
        <w:rPr>
          <w:rFonts w:ascii="仿宋_GB2312" w:eastAsia="仿宋_GB2312" w:hint="eastAsia"/>
          <w:sz w:val="24"/>
          <w:szCs w:val="24"/>
        </w:rPr>
        <w:t>；</w:t>
      </w:r>
    </w:p>
    <w:p w14:paraId="23FA0857" w14:textId="77777777" w:rsidR="001C2850" w:rsidRDefault="001C2850">
      <w:pPr>
        <w:numPr>
          <w:ilvl w:val="1"/>
          <w:numId w:val="8"/>
        </w:numPr>
        <w:spacing w:line="360" w:lineRule="auto"/>
        <w:ind w:left="1260" w:hanging="360"/>
        <w:rPr>
          <w:rFonts w:ascii="仿宋_GB2312" w:eastAsia="仿宋_GB2312" w:hint="eastAsia"/>
          <w:sz w:val="24"/>
          <w:szCs w:val="24"/>
        </w:rPr>
      </w:pPr>
      <w:r>
        <w:rPr>
          <w:rFonts w:hint="eastAsia"/>
          <w:sz w:val="24"/>
          <w:szCs w:val="24"/>
        </w:rPr>
        <w:t>项目系统结构风险，如以项目单元为分析对象，在实施以及运行的过程中可能遇到的技术问题，人工、材料、机械、费用消耗的增加等各种障碍和异常情况等；这是</w:t>
      </w:r>
      <w:r>
        <w:rPr>
          <w:sz w:val="24"/>
          <w:szCs w:val="24"/>
        </w:rPr>
        <w:t>IT</w:t>
      </w:r>
      <w:r>
        <w:rPr>
          <w:rFonts w:hint="eastAsia"/>
          <w:sz w:val="24"/>
          <w:szCs w:val="24"/>
        </w:rPr>
        <w:t>项目中最主要的风险</w:t>
      </w:r>
      <w:r>
        <w:rPr>
          <w:rFonts w:ascii="仿宋_GB2312" w:eastAsia="仿宋_GB2312" w:hint="eastAsia"/>
          <w:sz w:val="24"/>
          <w:szCs w:val="24"/>
        </w:rPr>
        <w:t>。</w:t>
      </w:r>
    </w:p>
    <w:p w14:paraId="4A1EBA83" w14:textId="77777777" w:rsidR="001C2850" w:rsidRDefault="001C2850">
      <w:pPr>
        <w:numPr>
          <w:ilvl w:val="1"/>
          <w:numId w:val="8"/>
        </w:numPr>
        <w:spacing w:line="360" w:lineRule="auto"/>
        <w:ind w:left="1260" w:hanging="360"/>
        <w:rPr>
          <w:rFonts w:ascii="仿宋_GB2312" w:eastAsia="仿宋_GB2312" w:hint="eastAsia"/>
          <w:sz w:val="24"/>
          <w:szCs w:val="24"/>
        </w:rPr>
      </w:pPr>
      <w:r>
        <w:rPr>
          <w:rFonts w:hint="eastAsia"/>
          <w:sz w:val="24"/>
          <w:szCs w:val="24"/>
        </w:rPr>
        <w:t>项目的行为主体产生的风险，如承包商（应用系统开发商、供应商）技术及管理能力不足，不能保证安全质量，无法按时交工等产生的风险；项目管理者的能力、职业道德、公正性差等产生的风险</w:t>
      </w:r>
      <w:r>
        <w:rPr>
          <w:rFonts w:ascii="仿宋_GB2312" w:eastAsia="仿宋_GB2312" w:hint="eastAsia"/>
          <w:sz w:val="24"/>
          <w:szCs w:val="24"/>
        </w:rPr>
        <w:t>；</w:t>
      </w:r>
    </w:p>
    <w:p w14:paraId="17E60351" w14:textId="77777777" w:rsidR="001C2850" w:rsidRDefault="001C2850">
      <w:pPr>
        <w:numPr>
          <w:ilvl w:val="1"/>
          <w:numId w:val="8"/>
        </w:numPr>
        <w:spacing w:line="360" w:lineRule="auto"/>
        <w:ind w:left="1260" w:hanging="360"/>
        <w:rPr>
          <w:rFonts w:ascii="仿宋_GB2312" w:eastAsia="仿宋_GB2312" w:hint="eastAsia"/>
          <w:sz w:val="24"/>
          <w:szCs w:val="24"/>
        </w:rPr>
      </w:pPr>
      <w:r>
        <w:rPr>
          <w:rFonts w:hint="eastAsia"/>
          <w:sz w:val="24"/>
          <w:szCs w:val="24"/>
        </w:rPr>
        <w:t>其他方面的风险，如外围主体（政府部门、相关单位）等产生的风险</w:t>
      </w:r>
      <w:r>
        <w:rPr>
          <w:rFonts w:ascii="仿宋_GB2312" w:eastAsia="仿宋_GB2312" w:hint="eastAsia"/>
          <w:sz w:val="24"/>
          <w:szCs w:val="24"/>
        </w:rPr>
        <w:t>。</w:t>
      </w:r>
    </w:p>
    <w:p w14:paraId="6E19F817" w14:textId="77777777" w:rsidR="001C2850" w:rsidRDefault="001C2850" w:rsidP="001C2850">
      <w:pPr>
        <w:spacing w:line="360" w:lineRule="auto"/>
        <w:rPr>
          <w:rStyle w:val="a7"/>
          <w:rFonts w:hint="eastAsia"/>
        </w:rPr>
      </w:pPr>
      <w:r>
        <w:rPr>
          <w:rStyle w:val="a7"/>
          <w:sz w:val="24"/>
          <w:szCs w:val="24"/>
        </w:rPr>
        <w:t>2</w:t>
      </w:r>
      <w:r>
        <w:rPr>
          <w:rStyle w:val="a7"/>
          <w:rFonts w:hint="eastAsia"/>
          <w:sz w:val="24"/>
          <w:szCs w:val="24"/>
        </w:rPr>
        <w:t>、按风险对目标的影响分析</w:t>
      </w:r>
    </w:p>
    <w:p w14:paraId="754F7700" w14:textId="77777777" w:rsidR="001C2850" w:rsidRDefault="001C2850" w:rsidP="001C2850">
      <w:pPr>
        <w:spacing w:line="360" w:lineRule="auto"/>
        <w:ind w:firstLine="420"/>
        <w:rPr>
          <w:rFonts w:hint="eastAsia"/>
        </w:rPr>
      </w:pPr>
      <w:r>
        <w:rPr>
          <w:rFonts w:hint="eastAsia"/>
          <w:sz w:val="24"/>
          <w:szCs w:val="24"/>
        </w:rPr>
        <w:t>这是按照项目的目标系统结构进行分析的，它体现的是风险作用的结果，它包括以下几个方面的风险：</w:t>
      </w:r>
    </w:p>
    <w:p w14:paraId="04952387" w14:textId="77777777" w:rsidR="001C2850" w:rsidRDefault="001C2850">
      <w:pPr>
        <w:numPr>
          <w:ilvl w:val="2"/>
          <w:numId w:val="9"/>
        </w:numPr>
        <w:spacing w:line="360" w:lineRule="auto"/>
        <w:rPr>
          <w:rFonts w:ascii="仿宋_GB2312" w:eastAsia="仿宋_GB2312" w:hint="eastAsia"/>
          <w:sz w:val="24"/>
          <w:szCs w:val="24"/>
        </w:rPr>
      </w:pPr>
      <w:r>
        <w:rPr>
          <w:rFonts w:hint="eastAsia"/>
          <w:sz w:val="24"/>
          <w:szCs w:val="24"/>
        </w:rPr>
        <w:t>工期风险，如造成局部的（工程活动、分项工程）或整个工程的工期延长，不能及时投产；</w:t>
      </w:r>
    </w:p>
    <w:p w14:paraId="6880B481" w14:textId="77777777" w:rsidR="001C2850" w:rsidRDefault="001C2850">
      <w:pPr>
        <w:numPr>
          <w:ilvl w:val="2"/>
          <w:numId w:val="9"/>
        </w:numPr>
        <w:spacing w:line="360" w:lineRule="auto"/>
        <w:rPr>
          <w:rFonts w:hint="eastAsia"/>
          <w:sz w:val="24"/>
          <w:szCs w:val="24"/>
        </w:rPr>
      </w:pPr>
      <w:r>
        <w:rPr>
          <w:rFonts w:hint="eastAsia"/>
          <w:sz w:val="24"/>
          <w:szCs w:val="24"/>
        </w:rPr>
        <w:t>费用风险，这包括财务风险、成本超支、投资追加、报价风险、收入减少等；</w:t>
      </w:r>
    </w:p>
    <w:p w14:paraId="2C999720" w14:textId="4B5BB7A1" w:rsidR="001C2850" w:rsidRDefault="001C2850">
      <w:pPr>
        <w:numPr>
          <w:ilvl w:val="2"/>
          <w:numId w:val="9"/>
        </w:numPr>
        <w:spacing w:line="360" w:lineRule="auto"/>
        <w:rPr>
          <w:rFonts w:hint="eastAsia"/>
          <w:sz w:val="24"/>
          <w:szCs w:val="24"/>
        </w:rPr>
      </w:pPr>
      <w:r>
        <w:rPr>
          <w:rFonts w:hint="eastAsia"/>
          <w:sz w:val="24"/>
          <w:szCs w:val="24"/>
        </w:rPr>
        <w:t>质量风险，这包括工程等不能通过验收，工程试生产不合格、经过评价工程质量未达到标准或</w:t>
      </w:r>
      <w:r w:rsidR="006C6F6D" w:rsidRPr="006C6F6D">
        <w:rPr>
          <w:rFonts w:hint="eastAsia"/>
          <w:b/>
          <w:sz w:val="24"/>
          <w:szCs w:val="24"/>
        </w:rPr>
        <w:t>招标文件要求</w:t>
      </w:r>
      <w:r>
        <w:rPr>
          <w:rFonts w:hint="eastAsia"/>
          <w:sz w:val="24"/>
          <w:szCs w:val="24"/>
        </w:rPr>
        <w:t>；</w:t>
      </w:r>
    </w:p>
    <w:p w14:paraId="1B476D6F" w14:textId="77777777" w:rsidR="001C2850" w:rsidRDefault="001C2850">
      <w:pPr>
        <w:numPr>
          <w:ilvl w:val="2"/>
          <w:numId w:val="9"/>
        </w:numPr>
        <w:spacing w:line="360" w:lineRule="auto"/>
        <w:rPr>
          <w:rFonts w:hint="eastAsia"/>
          <w:sz w:val="24"/>
          <w:szCs w:val="24"/>
        </w:rPr>
      </w:pPr>
      <w:r>
        <w:rPr>
          <w:rFonts w:hint="eastAsia"/>
          <w:sz w:val="24"/>
          <w:szCs w:val="24"/>
        </w:rPr>
        <w:lastRenderedPageBreak/>
        <w:t>生产能力风险，项目建成后达不到设计生产能力；</w:t>
      </w:r>
    </w:p>
    <w:p w14:paraId="1E3E07C1" w14:textId="77777777" w:rsidR="001C2850" w:rsidRDefault="001C2850">
      <w:pPr>
        <w:numPr>
          <w:ilvl w:val="2"/>
          <w:numId w:val="9"/>
        </w:numPr>
        <w:spacing w:line="360" w:lineRule="auto"/>
        <w:rPr>
          <w:rFonts w:hint="eastAsia"/>
          <w:sz w:val="24"/>
          <w:szCs w:val="24"/>
        </w:rPr>
      </w:pPr>
      <w:r>
        <w:rPr>
          <w:rFonts w:hint="eastAsia"/>
          <w:sz w:val="24"/>
          <w:szCs w:val="24"/>
        </w:rPr>
        <w:t>市场风险，工程建成后达不到预期的经济目标，没有竞争力；</w:t>
      </w:r>
    </w:p>
    <w:p w14:paraId="4CBC3514" w14:textId="77777777" w:rsidR="001C2850" w:rsidRDefault="001C2850">
      <w:pPr>
        <w:numPr>
          <w:ilvl w:val="2"/>
          <w:numId w:val="9"/>
        </w:numPr>
        <w:spacing w:line="360" w:lineRule="auto"/>
        <w:rPr>
          <w:rFonts w:ascii="仿宋_GB2312" w:eastAsia="仿宋_GB2312" w:hint="eastAsia"/>
          <w:sz w:val="24"/>
          <w:szCs w:val="24"/>
        </w:rPr>
      </w:pPr>
      <w:r>
        <w:rPr>
          <w:rFonts w:hint="eastAsia"/>
          <w:sz w:val="24"/>
          <w:szCs w:val="24"/>
        </w:rPr>
        <w:t>法律责任风险，可能因此被起诉或承担相关法律的或合同的责任。</w:t>
      </w:r>
    </w:p>
    <w:p w14:paraId="6B4D226B" w14:textId="77777777" w:rsidR="001C2850" w:rsidRDefault="001C2850" w:rsidP="001C2850">
      <w:pPr>
        <w:spacing w:line="360" w:lineRule="auto"/>
        <w:rPr>
          <w:rStyle w:val="a7"/>
          <w:rFonts w:hint="eastAsia"/>
        </w:rPr>
      </w:pPr>
      <w:r>
        <w:rPr>
          <w:rStyle w:val="a7"/>
          <w:sz w:val="24"/>
          <w:szCs w:val="24"/>
        </w:rPr>
        <w:t>3</w:t>
      </w:r>
      <w:r>
        <w:rPr>
          <w:rStyle w:val="a7"/>
          <w:rFonts w:hint="eastAsia"/>
          <w:sz w:val="24"/>
          <w:szCs w:val="24"/>
        </w:rPr>
        <w:t>、按管理的过程和要素分析</w:t>
      </w:r>
    </w:p>
    <w:p w14:paraId="092E6121" w14:textId="77777777" w:rsidR="001C2850" w:rsidRDefault="001C2850" w:rsidP="001C2850">
      <w:pPr>
        <w:spacing w:line="360" w:lineRule="auto"/>
        <w:ind w:firstLine="420"/>
        <w:rPr>
          <w:rFonts w:ascii="仿宋_GB2312" w:eastAsia="仿宋_GB2312" w:hint="eastAsia"/>
        </w:rPr>
      </w:pPr>
      <w:r>
        <w:rPr>
          <w:rFonts w:hint="eastAsia"/>
          <w:sz w:val="24"/>
          <w:szCs w:val="24"/>
        </w:rPr>
        <w:t>这个分析包括极其复杂的内容，但也常常是分析风险责任的主要依据，它主要包括：</w:t>
      </w:r>
    </w:p>
    <w:p w14:paraId="5350E503" w14:textId="77777777" w:rsidR="001C2850" w:rsidRDefault="001C2850">
      <w:pPr>
        <w:numPr>
          <w:ilvl w:val="0"/>
          <w:numId w:val="10"/>
        </w:numPr>
        <w:spacing w:line="360" w:lineRule="auto"/>
        <w:rPr>
          <w:rFonts w:hint="eastAsia"/>
          <w:sz w:val="24"/>
          <w:szCs w:val="24"/>
        </w:rPr>
      </w:pPr>
      <w:r>
        <w:rPr>
          <w:rFonts w:hint="eastAsia"/>
          <w:sz w:val="24"/>
          <w:szCs w:val="24"/>
        </w:rPr>
        <w:t>高层战略风险，如指导方针战略思想可能有错误而造成项目总体目标设计的错误等；</w:t>
      </w:r>
    </w:p>
    <w:p w14:paraId="616E7C81" w14:textId="77777777" w:rsidR="001C2850" w:rsidRDefault="001C2850">
      <w:pPr>
        <w:numPr>
          <w:ilvl w:val="0"/>
          <w:numId w:val="10"/>
        </w:numPr>
        <w:spacing w:line="360" w:lineRule="auto"/>
        <w:rPr>
          <w:rFonts w:ascii="仿宋_GB2312" w:eastAsia="仿宋_GB2312" w:hint="eastAsia"/>
          <w:sz w:val="24"/>
          <w:szCs w:val="24"/>
        </w:rPr>
      </w:pPr>
      <w:r>
        <w:rPr>
          <w:rFonts w:hint="eastAsia"/>
          <w:sz w:val="24"/>
          <w:szCs w:val="24"/>
        </w:rPr>
        <w:t>环境调查和预测的风险；</w:t>
      </w:r>
    </w:p>
    <w:p w14:paraId="66AB4797" w14:textId="77777777" w:rsidR="001C2850" w:rsidRDefault="001C2850">
      <w:pPr>
        <w:numPr>
          <w:ilvl w:val="0"/>
          <w:numId w:val="10"/>
        </w:numPr>
        <w:spacing w:line="360" w:lineRule="auto"/>
        <w:rPr>
          <w:rFonts w:hint="eastAsia"/>
          <w:sz w:val="24"/>
          <w:szCs w:val="24"/>
        </w:rPr>
      </w:pPr>
      <w:r>
        <w:rPr>
          <w:rFonts w:hint="eastAsia"/>
          <w:sz w:val="24"/>
          <w:szCs w:val="24"/>
        </w:rPr>
        <w:t>决策风险，如错误的选择，错误的投标决策、报价等；</w:t>
      </w:r>
    </w:p>
    <w:p w14:paraId="53E646D1" w14:textId="77777777" w:rsidR="001C2850" w:rsidRDefault="001C2850">
      <w:pPr>
        <w:numPr>
          <w:ilvl w:val="0"/>
          <w:numId w:val="10"/>
        </w:numPr>
        <w:spacing w:line="360" w:lineRule="auto"/>
        <w:rPr>
          <w:rFonts w:hint="eastAsia"/>
          <w:sz w:val="24"/>
          <w:szCs w:val="24"/>
        </w:rPr>
      </w:pPr>
      <w:r>
        <w:rPr>
          <w:rFonts w:hint="eastAsia"/>
          <w:sz w:val="24"/>
          <w:szCs w:val="24"/>
        </w:rPr>
        <w:t>项目策划风险；</w:t>
      </w:r>
    </w:p>
    <w:p w14:paraId="4437AD65" w14:textId="77777777" w:rsidR="001C2850" w:rsidRDefault="001C2850">
      <w:pPr>
        <w:numPr>
          <w:ilvl w:val="0"/>
          <w:numId w:val="10"/>
        </w:numPr>
        <w:spacing w:line="360" w:lineRule="auto"/>
        <w:rPr>
          <w:rFonts w:hint="eastAsia"/>
          <w:sz w:val="24"/>
          <w:szCs w:val="24"/>
        </w:rPr>
      </w:pPr>
      <w:r>
        <w:rPr>
          <w:rFonts w:hint="eastAsia"/>
          <w:sz w:val="24"/>
          <w:szCs w:val="24"/>
        </w:rPr>
        <w:t>技术设计风险；</w:t>
      </w:r>
    </w:p>
    <w:p w14:paraId="2703E3FE" w14:textId="77777777" w:rsidR="001C2850" w:rsidRDefault="001C2850">
      <w:pPr>
        <w:numPr>
          <w:ilvl w:val="0"/>
          <w:numId w:val="10"/>
        </w:numPr>
        <w:spacing w:line="360" w:lineRule="auto"/>
        <w:rPr>
          <w:rFonts w:hint="eastAsia"/>
          <w:sz w:val="24"/>
          <w:szCs w:val="24"/>
        </w:rPr>
      </w:pPr>
      <w:r>
        <w:rPr>
          <w:rFonts w:hint="eastAsia"/>
          <w:sz w:val="24"/>
          <w:szCs w:val="24"/>
        </w:rPr>
        <w:t>计划风险，如目标的错误理解，方案错误等；</w:t>
      </w:r>
    </w:p>
    <w:p w14:paraId="5B4E5B1E" w14:textId="77777777" w:rsidR="001C2850" w:rsidRDefault="001C2850">
      <w:pPr>
        <w:numPr>
          <w:ilvl w:val="0"/>
          <w:numId w:val="10"/>
        </w:numPr>
        <w:spacing w:line="360" w:lineRule="auto"/>
        <w:rPr>
          <w:rFonts w:hint="eastAsia"/>
          <w:sz w:val="24"/>
          <w:szCs w:val="24"/>
        </w:rPr>
      </w:pPr>
      <w:r>
        <w:rPr>
          <w:rFonts w:hint="eastAsia"/>
          <w:sz w:val="24"/>
          <w:szCs w:val="24"/>
        </w:rPr>
        <w:t>实施控制中的风险，如合同、供应、新技术新工艺、分包层、工程管理失误等方面的风险；</w:t>
      </w:r>
    </w:p>
    <w:p w14:paraId="680A718D" w14:textId="2509839E" w:rsidR="001C2850" w:rsidRDefault="001C2850">
      <w:pPr>
        <w:numPr>
          <w:ilvl w:val="0"/>
          <w:numId w:val="10"/>
        </w:numPr>
        <w:spacing w:line="360" w:lineRule="auto"/>
        <w:rPr>
          <w:rFonts w:hint="eastAsia"/>
          <w:sz w:val="24"/>
          <w:szCs w:val="24"/>
        </w:rPr>
      </w:pPr>
      <w:r>
        <w:rPr>
          <w:rFonts w:hint="eastAsia"/>
          <w:sz w:val="24"/>
          <w:szCs w:val="24"/>
        </w:rPr>
        <w:t>运营管理的风险，如准备不足，无法正常运营，销售不畅等的影响。</w:t>
      </w:r>
    </w:p>
    <w:p w14:paraId="73B31E63" w14:textId="77777777" w:rsidR="001C2850" w:rsidRDefault="001C2850" w:rsidP="001C2850">
      <w:pPr>
        <w:pStyle w:val="6"/>
        <w:rPr>
          <w:rFonts w:hint="eastAsia"/>
        </w:rPr>
      </w:pPr>
      <w:bookmarkStart w:id="55" w:name="_Toc180263829"/>
      <w:bookmarkStart w:id="56" w:name="_Toc185788742"/>
      <w:bookmarkStart w:id="57" w:name="_Toc251253047"/>
      <w:bookmarkStart w:id="58" w:name="_Toc290734018"/>
      <w:bookmarkStart w:id="59" w:name="_Toc309547579"/>
      <w:bookmarkStart w:id="60" w:name="_Toc372272972"/>
      <w:r>
        <w:rPr>
          <w:rFonts w:hint="eastAsia"/>
        </w:rPr>
        <w:t>风险量化分析</w:t>
      </w:r>
      <w:bookmarkEnd w:id="55"/>
      <w:bookmarkEnd w:id="56"/>
      <w:bookmarkEnd w:id="57"/>
      <w:bookmarkEnd w:id="58"/>
      <w:bookmarkEnd w:id="59"/>
      <w:bookmarkEnd w:id="60"/>
    </w:p>
    <w:p w14:paraId="39A1B8F2" w14:textId="77777777" w:rsidR="001C2850" w:rsidRDefault="001C2850" w:rsidP="001C2850">
      <w:pPr>
        <w:pStyle w:val="a9"/>
        <w:spacing w:line="360" w:lineRule="auto"/>
        <w:ind w:firstLine="480"/>
        <w:rPr>
          <w:sz w:val="24"/>
        </w:rPr>
      </w:pPr>
      <w:r>
        <w:rPr>
          <w:rFonts w:hint="eastAsia"/>
          <w:sz w:val="24"/>
        </w:rPr>
        <w:t>对每项风险发生的概率和对项目和有关业务的影响进行量化。对于每项风险要划分优先级，这要按照概率和影响的等级，并清楚的标明低、中、高的优先级。</w:t>
      </w:r>
    </w:p>
    <w:p w14:paraId="0C40F4DC" w14:textId="77777777" w:rsidR="001C2850" w:rsidRDefault="001C2850" w:rsidP="001C2850">
      <w:pPr>
        <w:pStyle w:val="7"/>
        <w:rPr>
          <w:rFonts w:hint="eastAsia"/>
        </w:rPr>
      </w:pPr>
      <w:bookmarkStart w:id="61" w:name="_Toc180263830"/>
      <w:bookmarkStart w:id="62" w:name="_Toc251253048"/>
      <w:bookmarkStart w:id="63" w:name="_Toc372272973"/>
      <w:r>
        <w:rPr>
          <w:rFonts w:hint="eastAsia"/>
        </w:rPr>
        <w:t>风险概率</w:t>
      </w:r>
      <w:bookmarkEnd w:id="61"/>
      <w:bookmarkEnd w:id="62"/>
      <w:bookmarkEnd w:id="63"/>
    </w:p>
    <w:p w14:paraId="32FE4057" w14:textId="77777777" w:rsidR="001C2850" w:rsidRDefault="001C2850" w:rsidP="001C2850">
      <w:pPr>
        <w:pStyle w:val="a9"/>
        <w:ind w:firstLine="480"/>
      </w:pPr>
      <w:r>
        <w:rPr>
          <w:rFonts w:hint="eastAsia"/>
        </w:rPr>
        <w:t>下表为描述度量风险发生的概率的评分体系：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6287"/>
      </w:tblGrid>
      <w:tr w:rsidR="001C2850" w14:paraId="0F5C11CE" w14:textId="77777777" w:rsidTr="001C2850">
        <w:trPr>
          <w:trHeight w:val="591"/>
        </w:trPr>
        <w:tc>
          <w:tcPr>
            <w:tcW w:w="1101"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5EF707B8" w14:textId="77777777" w:rsidR="001C2850" w:rsidRDefault="001C2850" w:rsidP="001C2850">
            <w:pPr>
              <w:autoSpaceDE w:val="0"/>
              <w:autoSpaceDN w:val="0"/>
              <w:adjustRightInd w:val="0"/>
              <w:spacing w:line="360" w:lineRule="auto"/>
              <w:ind w:firstLineChars="49" w:firstLine="103"/>
              <w:rPr>
                <w:rFonts w:hint="eastAsia"/>
                <w:b/>
                <w:kern w:val="0"/>
                <w:szCs w:val="28"/>
              </w:rPr>
            </w:pPr>
            <w:r>
              <w:rPr>
                <w:rFonts w:hint="eastAsia"/>
                <w:b/>
                <w:kern w:val="0"/>
                <w:szCs w:val="28"/>
              </w:rPr>
              <w:t>标题</w:t>
            </w:r>
          </w:p>
        </w:tc>
        <w:tc>
          <w:tcPr>
            <w:tcW w:w="1134"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5F00DF0" w14:textId="77777777" w:rsidR="001C2850" w:rsidRDefault="001C2850" w:rsidP="001C2850">
            <w:pPr>
              <w:autoSpaceDE w:val="0"/>
              <w:autoSpaceDN w:val="0"/>
              <w:adjustRightInd w:val="0"/>
              <w:spacing w:line="360" w:lineRule="auto"/>
              <w:ind w:firstLineChars="49" w:firstLine="103"/>
              <w:rPr>
                <w:rFonts w:hint="eastAsia"/>
                <w:b/>
                <w:kern w:val="0"/>
                <w:szCs w:val="28"/>
              </w:rPr>
            </w:pPr>
            <w:r>
              <w:rPr>
                <w:rFonts w:hint="eastAsia"/>
                <w:b/>
                <w:kern w:val="0"/>
                <w:szCs w:val="28"/>
              </w:rPr>
              <w:t>评分</w:t>
            </w:r>
          </w:p>
        </w:tc>
        <w:tc>
          <w:tcPr>
            <w:tcW w:w="628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25537FD7" w14:textId="77777777" w:rsidR="001C2850" w:rsidRDefault="001C2850" w:rsidP="001C2850">
            <w:pPr>
              <w:autoSpaceDE w:val="0"/>
              <w:autoSpaceDN w:val="0"/>
              <w:adjustRightInd w:val="0"/>
              <w:spacing w:line="360" w:lineRule="auto"/>
              <w:ind w:firstLine="420"/>
              <w:jc w:val="center"/>
              <w:rPr>
                <w:rFonts w:hint="eastAsia"/>
                <w:b/>
                <w:kern w:val="0"/>
                <w:szCs w:val="28"/>
              </w:rPr>
            </w:pPr>
            <w:r>
              <w:rPr>
                <w:rFonts w:hint="eastAsia"/>
                <w:b/>
                <w:kern w:val="0"/>
                <w:szCs w:val="28"/>
              </w:rPr>
              <w:t>描述</w:t>
            </w:r>
          </w:p>
        </w:tc>
      </w:tr>
      <w:tr w:rsidR="001C2850" w14:paraId="667E5635"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5A23D63D"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很低</w:t>
            </w:r>
          </w:p>
        </w:tc>
        <w:tc>
          <w:tcPr>
            <w:tcW w:w="1134" w:type="dxa"/>
            <w:tcBorders>
              <w:top w:val="single" w:sz="4" w:space="0" w:color="000000"/>
              <w:left w:val="single" w:sz="4" w:space="0" w:color="000000"/>
              <w:bottom w:val="single" w:sz="4" w:space="0" w:color="000000"/>
              <w:right w:val="single" w:sz="4" w:space="0" w:color="000000"/>
            </w:tcBorders>
            <w:hideMark/>
          </w:tcPr>
          <w:p w14:paraId="2BDECA2A"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20</w:t>
            </w:r>
          </w:p>
        </w:tc>
        <w:tc>
          <w:tcPr>
            <w:tcW w:w="6287" w:type="dxa"/>
            <w:tcBorders>
              <w:top w:val="single" w:sz="4" w:space="0" w:color="000000"/>
              <w:left w:val="single" w:sz="4" w:space="0" w:color="000000"/>
              <w:bottom w:val="single" w:sz="4" w:space="0" w:color="000000"/>
              <w:right w:val="single" w:sz="4" w:space="0" w:color="000000"/>
            </w:tcBorders>
            <w:hideMark/>
          </w:tcPr>
          <w:p w14:paraId="1CFE653B"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不大可能发生；但是仍要监督。因为一定的状况可能会导致风险在项目期间变得可能。</w:t>
            </w:r>
          </w:p>
        </w:tc>
      </w:tr>
      <w:tr w:rsidR="001C2850" w14:paraId="77A54183"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17BE1DED"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低</w:t>
            </w:r>
          </w:p>
        </w:tc>
        <w:tc>
          <w:tcPr>
            <w:tcW w:w="1134" w:type="dxa"/>
            <w:tcBorders>
              <w:top w:val="single" w:sz="4" w:space="0" w:color="000000"/>
              <w:left w:val="single" w:sz="4" w:space="0" w:color="000000"/>
              <w:bottom w:val="single" w:sz="4" w:space="0" w:color="000000"/>
              <w:right w:val="single" w:sz="4" w:space="0" w:color="000000"/>
            </w:tcBorders>
            <w:hideMark/>
          </w:tcPr>
          <w:p w14:paraId="738ECB6F"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40</w:t>
            </w:r>
          </w:p>
        </w:tc>
        <w:tc>
          <w:tcPr>
            <w:tcW w:w="6287" w:type="dxa"/>
            <w:tcBorders>
              <w:top w:val="single" w:sz="4" w:space="0" w:color="000000"/>
              <w:left w:val="single" w:sz="4" w:space="0" w:color="000000"/>
              <w:bottom w:val="single" w:sz="4" w:space="0" w:color="000000"/>
              <w:right w:val="single" w:sz="4" w:space="0" w:color="000000"/>
            </w:tcBorders>
            <w:hideMark/>
          </w:tcPr>
          <w:p w14:paraId="481F6652"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根据当前的信息，不大可能发生，当状况一旦触发，风险有可能发生。</w:t>
            </w:r>
          </w:p>
        </w:tc>
      </w:tr>
      <w:tr w:rsidR="001C2850" w14:paraId="3B88C826"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19CF23BF"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中等</w:t>
            </w:r>
          </w:p>
        </w:tc>
        <w:tc>
          <w:tcPr>
            <w:tcW w:w="1134" w:type="dxa"/>
            <w:tcBorders>
              <w:top w:val="single" w:sz="4" w:space="0" w:color="000000"/>
              <w:left w:val="single" w:sz="4" w:space="0" w:color="000000"/>
              <w:bottom w:val="single" w:sz="4" w:space="0" w:color="000000"/>
              <w:right w:val="single" w:sz="4" w:space="0" w:color="000000"/>
            </w:tcBorders>
            <w:hideMark/>
          </w:tcPr>
          <w:p w14:paraId="3A9B1241"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60</w:t>
            </w:r>
          </w:p>
        </w:tc>
        <w:tc>
          <w:tcPr>
            <w:tcW w:w="6287" w:type="dxa"/>
            <w:tcBorders>
              <w:top w:val="single" w:sz="4" w:space="0" w:color="000000"/>
              <w:left w:val="single" w:sz="4" w:space="0" w:color="000000"/>
              <w:bottom w:val="single" w:sz="4" w:space="0" w:color="000000"/>
              <w:right w:val="single" w:sz="4" w:space="0" w:color="000000"/>
            </w:tcBorders>
            <w:hideMark/>
          </w:tcPr>
          <w:p w14:paraId="6A182678" w14:textId="36DF4683"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对项目有可度量的影响，例如，项目范围、到截止日期的进度、项目预算有5－10%的偏离。</w:t>
            </w:r>
          </w:p>
        </w:tc>
      </w:tr>
      <w:tr w:rsidR="001C2850" w14:paraId="71DFA020"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09732BA1"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lastRenderedPageBreak/>
              <w:t>高</w:t>
            </w:r>
          </w:p>
        </w:tc>
        <w:tc>
          <w:tcPr>
            <w:tcW w:w="1134" w:type="dxa"/>
            <w:tcBorders>
              <w:top w:val="single" w:sz="4" w:space="0" w:color="000000"/>
              <w:left w:val="single" w:sz="4" w:space="0" w:color="000000"/>
              <w:bottom w:val="single" w:sz="4" w:space="0" w:color="000000"/>
              <w:right w:val="single" w:sz="4" w:space="0" w:color="000000"/>
            </w:tcBorders>
            <w:hideMark/>
          </w:tcPr>
          <w:p w14:paraId="225D8074"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80</w:t>
            </w:r>
          </w:p>
        </w:tc>
        <w:tc>
          <w:tcPr>
            <w:tcW w:w="6287" w:type="dxa"/>
            <w:tcBorders>
              <w:top w:val="single" w:sz="4" w:space="0" w:color="000000"/>
              <w:left w:val="single" w:sz="4" w:space="0" w:color="000000"/>
              <w:bottom w:val="single" w:sz="4" w:space="0" w:color="000000"/>
              <w:right w:val="single" w:sz="4" w:space="0" w:color="000000"/>
            </w:tcBorders>
            <w:hideMark/>
          </w:tcPr>
          <w:p w14:paraId="7815A81F" w14:textId="6AEC17E0"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对项目有明显的影响，项目范围、到截止日期的进度、项目预算有10－25%的偏离。</w:t>
            </w:r>
          </w:p>
        </w:tc>
      </w:tr>
      <w:tr w:rsidR="001C2850" w14:paraId="7ED8C842"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2B0ED700"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很高</w:t>
            </w:r>
          </w:p>
        </w:tc>
        <w:tc>
          <w:tcPr>
            <w:tcW w:w="1134" w:type="dxa"/>
            <w:tcBorders>
              <w:top w:val="single" w:sz="4" w:space="0" w:color="000000"/>
              <w:left w:val="single" w:sz="4" w:space="0" w:color="000000"/>
              <w:bottom w:val="single" w:sz="4" w:space="0" w:color="000000"/>
              <w:right w:val="single" w:sz="4" w:space="0" w:color="000000"/>
            </w:tcBorders>
            <w:hideMark/>
          </w:tcPr>
          <w:p w14:paraId="735AD9B6"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100</w:t>
            </w:r>
          </w:p>
        </w:tc>
        <w:tc>
          <w:tcPr>
            <w:tcW w:w="6287" w:type="dxa"/>
            <w:tcBorders>
              <w:top w:val="single" w:sz="4" w:space="0" w:color="000000"/>
              <w:left w:val="single" w:sz="4" w:space="0" w:color="000000"/>
              <w:bottom w:val="single" w:sz="4" w:space="0" w:color="000000"/>
              <w:right w:val="single" w:sz="4" w:space="0" w:color="000000"/>
            </w:tcBorders>
            <w:hideMark/>
          </w:tcPr>
          <w:p w14:paraId="7F5F1C97" w14:textId="4D7F806D"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对项目有很大影响，项目范围、到截止日期的进度、项目预算有&gt;25%的偏离。</w:t>
            </w:r>
          </w:p>
        </w:tc>
      </w:tr>
    </w:tbl>
    <w:p w14:paraId="5D879279" w14:textId="77777777" w:rsidR="001C2850" w:rsidRDefault="001C2850" w:rsidP="001C2850">
      <w:pPr>
        <w:pStyle w:val="7"/>
        <w:rPr>
          <w:rFonts w:ascii="Times New Roman" w:eastAsia="黑体" w:hAnsi="Times New Roman" w:cs="Times New Roman"/>
        </w:rPr>
      </w:pPr>
      <w:bookmarkStart w:id="64" w:name="_Toc180263831"/>
      <w:bookmarkStart w:id="65" w:name="_Toc251253049"/>
      <w:bookmarkStart w:id="66" w:name="_Toc372272974"/>
      <w:r>
        <w:rPr>
          <w:rFonts w:hint="eastAsia"/>
        </w:rPr>
        <w:t>风险影响</w:t>
      </w:r>
      <w:bookmarkEnd w:id="64"/>
      <w:bookmarkEnd w:id="65"/>
      <w:bookmarkEnd w:id="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6287"/>
      </w:tblGrid>
      <w:tr w:rsidR="001C2850" w14:paraId="22373D75" w14:textId="77777777" w:rsidTr="001C2850">
        <w:trPr>
          <w:trHeight w:val="590"/>
        </w:trPr>
        <w:tc>
          <w:tcPr>
            <w:tcW w:w="1101"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350B0798" w14:textId="77777777" w:rsidR="001C2850" w:rsidRDefault="001C2850" w:rsidP="001C2850">
            <w:pPr>
              <w:autoSpaceDE w:val="0"/>
              <w:autoSpaceDN w:val="0"/>
              <w:adjustRightInd w:val="0"/>
              <w:spacing w:line="360" w:lineRule="auto"/>
              <w:ind w:firstLineChars="49" w:firstLine="103"/>
              <w:rPr>
                <w:rFonts w:hint="eastAsia"/>
                <w:b/>
                <w:kern w:val="0"/>
                <w:szCs w:val="28"/>
              </w:rPr>
            </w:pPr>
            <w:r>
              <w:rPr>
                <w:rFonts w:hint="eastAsia"/>
                <w:b/>
                <w:kern w:val="0"/>
                <w:szCs w:val="28"/>
              </w:rPr>
              <w:t>标题</w:t>
            </w:r>
          </w:p>
        </w:tc>
        <w:tc>
          <w:tcPr>
            <w:tcW w:w="1134"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032F31AE" w14:textId="77777777" w:rsidR="001C2850" w:rsidRDefault="001C2850" w:rsidP="001C2850">
            <w:pPr>
              <w:autoSpaceDE w:val="0"/>
              <w:autoSpaceDN w:val="0"/>
              <w:adjustRightInd w:val="0"/>
              <w:spacing w:line="360" w:lineRule="auto"/>
              <w:ind w:firstLineChars="49" w:firstLine="103"/>
              <w:rPr>
                <w:rFonts w:hint="eastAsia"/>
                <w:b/>
                <w:szCs w:val="28"/>
              </w:rPr>
            </w:pPr>
            <w:r>
              <w:rPr>
                <w:rFonts w:hint="eastAsia"/>
                <w:b/>
                <w:kern w:val="0"/>
                <w:szCs w:val="28"/>
              </w:rPr>
              <w:t>评分</w:t>
            </w:r>
          </w:p>
        </w:tc>
        <w:tc>
          <w:tcPr>
            <w:tcW w:w="628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491A36C" w14:textId="77777777" w:rsidR="001C2850" w:rsidRDefault="001C2850" w:rsidP="001C2850">
            <w:pPr>
              <w:autoSpaceDE w:val="0"/>
              <w:autoSpaceDN w:val="0"/>
              <w:adjustRightInd w:val="0"/>
              <w:spacing w:line="360" w:lineRule="auto"/>
              <w:ind w:firstLine="420"/>
              <w:jc w:val="center"/>
              <w:rPr>
                <w:rFonts w:hint="eastAsia"/>
                <w:b/>
                <w:szCs w:val="28"/>
              </w:rPr>
            </w:pPr>
            <w:r>
              <w:rPr>
                <w:rFonts w:hint="eastAsia"/>
                <w:b/>
                <w:kern w:val="0"/>
                <w:szCs w:val="28"/>
              </w:rPr>
              <w:t>描述</w:t>
            </w:r>
          </w:p>
        </w:tc>
      </w:tr>
      <w:tr w:rsidR="001C2850" w14:paraId="2A9DFF8C"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3C3D661B"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很低</w:t>
            </w:r>
          </w:p>
        </w:tc>
        <w:tc>
          <w:tcPr>
            <w:tcW w:w="1134" w:type="dxa"/>
            <w:tcBorders>
              <w:top w:val="single" w:sz="4" w:space="0" w:color="000000"/>
              <w:left w:val="single" w:sz="4" w:space="0" w:color="000000"/>
              <w:bottom w:val="single" w:sz="4" w:space="0" w:color="000000"/>
              <w:right w:val="single" w:sz="4" w:space="0" w:color="000000"/>
            </w:tcBorders>
            <w:hideMark/>
          </w:tcPr>
          <w:p w14:paraId="1A82E0EB"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20</w:t>
            </w:r>
          </w:p>
        </w:tc>
        <w:tc>
          <w:tcPr>
            <w:tcW w:w="6287" w:type="dxa"/>
            <w:tcBorders>
              <w:top w:val="single" w:sz="4" w:space="0" w:color="000000"/>
              <w:left w:val="single" w:sz="4" w:space="0" w:color="000000"/>
              <w:bottom w:val="single" w:sz="4" w:space="0" w:color="000000"/>
              <w:right w:val="single" w:sz="4" w:space="0" w:color="000000"/>
            </w:tcBorders>
            <w:hideMark/>
          </w:tcPr>
          <w:p w14:paraId="29FB594F"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对项目无明显影响。由于太小，对项目的影响无法度量。</w:t>
            </w:r>
          </w:p>
        </w:tc>
      </w:tr>
      <w:tr w:rsidR="001C2850" w14:paraId="538E0CD7"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0A615B28"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低</w:t>
            </w:r>
          </w:p>
        </w:tc>
        <w:tc>
          <w:tcPr>
            <w:tcW w:w="1134" w:type="dxa"/>
            <w:tcBorders>
              <w:top w:val="single" w:sz="4" w:space="0" w:color="000000"/>
              <w:left w:val="single" w:sz="4" w:space="0" w:color="000000"/>
              <w:bottom w:val="single" w:sz="4" w:space="0" w:color="000000"/>
              <w:right w:val="single" w:sz="4" w:space="0" w:color="000000"/>
            </w:tcBorders>
            <w:hideMark/>
          </w:tcPr>
          <w:p w14:paraId="53F2B0F9"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40</w:t>
            </w:r>
          </w:p>
        </w:tc>
        <w:tc>
          <w:tcPr>
            <w:tcW w:w="6287" w:type="dxa"/>
            <w:tcBorders>
              <w:top w:val="single" w:sz="4" w:space="0" w:color="000000"/>
              <w:left w:val="single" w:sz="4" w:space="0" w:color="000000"/>
              <w:bottom w:val="single" w:sz="4" w:space="0" w:color="000000"/>
              <w:right w:val="single" w:sz="4" w:space="0" w:color="000000"/>
            </w:tcBorders>
            <w:hideMark/>
          </w:tcPr>
          <w:p w14:paraId="207C1714" w14:textId="5F93C199"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对项目影响较小，例如，项目范围、到截止日期的进度、项目预算有&lt;5%的偏离。</w:t>
            </w:r>
          </w:p>
        </w:tc>
      </w:tr>
      <w:tr w:rsidR="001C2850" w14:paraId="160AE064"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0B8F8540"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中等</w:t>
            </w:r>
          </w:p>
        </w:tc>
        <w:tc>
          <w:tcPr>
            <w:tcW w:w="1134" w:type="dxa"/>
            <w:tcBorders>
              <w:top w:val="single" w:sz="4" w:space="0" w:color="000000"/>
              <w:left w:val="single" w:sz="4" w:space="0" w:color="000000"/>
              <w:bottom w:val="single" w:sz="4" w:space="0" w:color="000000"/>
              <w:right w:val="single" w:sz="4" w:space="0" w:color="000000"/>
            </w:tcBorders>
            <w:hideMark/>
          </w:tcPr>
          <w:p w14:paraId="1BF7A65E"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60</w:t>
            </w:r>
          </w:p>
        </w:tc>
        <w:tc>
          <w:tcPr>
            <w:tcW w:w="6287" w:type="dxa"/>
            <w:tcBorders>
              <w:top w:val="single" w:sz="4" w:space="0" w:color="000000"/>
              <w:left w:val="single" w:sz="4" w:space="0" w:color="000000"/>
              <w:bottom w:val="single" w:sz="4" w:space="0" w:color="000000"/>
              <w:right w:val="single" w:sz="4" w:space="0" w:color="000000"/>
            </w:tcBorders>
            <w:hideMark/>
          </w:tcPr>
          <w:p w14:paraId="06B62DE2" w14:textId="65F4F71A"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对项目有可度量的影响，例如，项目范围、到截止日期的进度、项目预算有5－10%的偏离。</w:t>
            </w:r>
          </w:p>
        </w:tc>
      </w:tr>
      <w:tr w:rsidR="001C2850" w14:paraId="7AACF357"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3A4F1307"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高</w:t>
            </w:r>
          </w:p>
        </w:tc>
        <w:tc>
          <w:tcPr>
            <w:tcW w:w="1134" w:type="dxa"/>
            <w:tcBorders>
              <w:top w:val="single" w:sz="4" w:space="0" w:color="000000"/>
              <w:left w:val="single" w:sz="4" w:space="0" w:color="000000"/>
              <w:bottom w:val="single" w:sz="4" w:space="0" w:color="000000"/>
              <w:right w:val="single" w:sz="4" w:space="0" w:color="000000"/>
            </w:tcBorders>
            <w:hideMark/>
          </w:tcPr>
          <w:p w14:paraId="0699BDF3"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80</w:t>
            </w:r>
          </w:p>
        </w:tc>
        <w:tc>
          <w:tcPr>
            <w:tcW w:w="6287" w:type="dxa"/>
            <w:tcBorders>
              <w:top w:val="single" w:sz="4" w:space="0" w:color="000000"/>
              <w:left w:val="single" w:sz="4" w:space="0" w:color="000000"/>
              <w:bottom w:val="single" w:sz="4" w:space="0" w:color="000000"/>
              <w:right w:val="single" w:sz="4" w:space="0" w:color="000000"/>
            </w:tcBorders>
            <w:hideMark/>
          </w:tcPr>
          <w:p w14:paraId="5318D4EA" w14:textId="21E6BE44"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对项目有明显的影响，项目范围、到截止日期的进度、项目预算有10－25%的偏离。</w:t>
            </w:r>
          </w:p>
        </w:tc>
      </w:tr>
      <w:tr w:rsidR="001C2850" w14:paraId="657BEAC7" w14:textId="77777777" w:rsidTr="001C2850">
        <w:tc>
          <w:tcPr>
            <w:tcW w:w="1101" w:type="dxa"/>
            <w:tcBorders>
              <w:top w:val="single" w:sz="4" w:space="0" w:color="000000"/>
              <w:left w:val="single" w:sz="4" w:space="0" w:color="000000"/>
              <w:bottom w:val="single" w:sz="4" w:space="0" w:color="000000"/>
              <w:right w:val="single" w:sz="4" w:space="0" w:color="000000"/>
            </w:tcBorders>
            <w:hideMark/>
          </w:tcPr>
          <w:p w14:paraId="580044BE"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很高</w:t>
            </w:r>
          </w:p>
        </w:tc>
        <w:tc>
          <w:tcPr>
            <w:tcW w:w="1134" w:type="dxa"/>
            <w:tcBorders>
              <w:top w:val="single" w:sz="4" w:space="0" w:color="000000"/>
              <w:left w:val="single" w:sz="4" w:space="0" w:color="000000"/>
              <w:bottom w:val="single" w:sz="4" w:space="0" w:color="000000"/>
              <w:right w:val="single" w:sz="4" w:space="0" w:color="000000"/>
            </w:tcBorders>
            <w:hideMark/>
          </w:tcPr>
          <w:p w14:paraId="1D5A1BD8" w14:textId="77777777"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100</w:t>
            </w:r>
          </w:p>
        </w:tc>
        <w:tc>
          <w:tcPr>
            <w:tcW w:w="6287" w:type="dxa"/>
            <w:tcBorders>
              <w:top w:val="single" w:sz="4" w:space="0" w:color="000000"/>
              <w:left w:val="single" w:sz="4" w:space="0" w:color="000000"/>
              <w:bottom w:val="single" w:sz="4" w:space="0" w:color="000000"/>
              <w:right w:val="single" w:sz="4" w:space="0" w:color="000000"/>
            </w:tcBorders>
            <w:hideMark/>
          </w:tcPr>
          <w:p w14:paraId="24EAF9BF" w14:textId="13CA6296" w:rsidR="001C2850" w:rsidRDefault="001C2850" w:rsidP="001C2850">
            <w:pPr>
              <w:pStyle w:val="ab"/>
              <w:spacing w:line="360" w:lineRule="auto"/>
              <w:rPr>
                <w:rFonts w:ascii="宋体" w:eastAsia="宋体" w:hAnsi="宋体" w:hint="eastAsia"/>
                <w:sz w:val="24"/>
                <w:szCs w:val="28"/>
              </w:rPr>
            </w:pPr>
            <w:r>
              <w:rPr>
                <w:rFonts w:ascii="宋体" w:eastAsia="宋体" w:hAnsi="宋体" w:hint="eastAsia"/>
                <w:sz w:val="24"/>
                <w:szCs w:val="28"/>
              </w:rPr>
              <w:t>对项目有很大影响，项目范围、到截止日期的进度、项目预算有&gt;25%的偏离。</w:t>
            </w:r>
          </w:p>
        </w:tc>
      </w:tr>
    </w:tbl>
    <w:p w14:paraId="5DEABEB1" w14:textId="77777777" w:rsidR="001C2850" w:rsidRDefault="001C2850" w:rsidP="001C2850">
      <w:pPr>
        <w:pStyle w:val="7"/>
        <w:rPr>
          <w:rFonts w:ascii="Times New Roman" w:eastAsia="黑体" w:hAnsi="Times New Roman" w:cs="Times New Roman"/>
        </w:rPr>
      </w:pPr>
      <w:bookmarkStart w:id="67" w:name="_Toc180263832"/>
      <w:bookmarkStart w:id="68" w:name="_Toc251253050"/>
      <w:bookmarkStart w:id="69" w:name="_Toc372272975"/>
      <w:r>
        <w:rPr>
          <w:rFonts w:hint="eastAsia"/>
        </w:rPr>
        <w:t>风险优先级</w:t>
      </w:r>
      <w:bookmarkEnd w:id="67"/>
      <w:bookmarkEnd w:id="68"/>
      <w:bookmarkEnd w:id="69"/>
    </w:p>
    <w:p w14:paraId="11A26372" w14:textId="77777777" w:rsidR="001C2850" w:rsidRDefault="001C2850" w:rsidP="001C2850">
      <w:pPr>
        <w:pStyle w:val="a9"/>
        <w:spacing w:line="360" w:lineRule="auto"/>
        <w:ind w:firstLine="480"/>
        <w:rPr>
          <w:sz w:val="24"/>
        </w:rPr>
      </w:pPr>
      <w:r>
        <w:rPr>
          <w:rFonts w:hint="eastAsia"/>
          <w:sz w:val="24"/>
        </w:rPr>
        <w:t>通过识别风险发生的概率以及它对项目的影响，确定每项风险的优先级。一旦分配了概率和影响，优先级的评分将按照以下的方式计算出：</w:t>
      </w:r>
    </w:p>
    <w:p w14:paraId="1DCDC968" w14:textId="77777777" w:rsidR="001C2850" w:rsidRDefault="001C2850" w:rsidP="001C2850">
      <w:pPr>
        <w:pStyle w:val="a9"/>
        <w:spacing w:line="360" w:lineRule="auto"/>
        <w:ind w:firstLine="480"/>
        <w:rPr>
          <w:sz w:val="24"/>
        </w:rPr>
      </w:pPr>
      <w:r>
        <w:rPr>
          <w:rFonts w:hint="eastAsia"/>
          <w:sz w:val="24"/>
        </w:rPr>
        <w:t>优先级等于概率和影响的平均值</w:t>
      </w:r>
    </w:p>
    <w:p w14:paraId="7AB46F13" w14:textId="5F707808" w:rsidR="001C2850" w:rsidRDefault="001C2850" w:rsidP="001C2850">
      <w:pPr>
        <w:pStyle w:val="a9"/>
        <w:spacing w:line="360" w:lineRule="auto"/>
        <w:ind w:firstLine="480"/>
        <w:rPr>
          <w:sz w:val="24"/>
        </w:rPr>
      </w:pPr>
      <w:r>
        <w:rPr>
          <w:rFonts w:hint="eastAsia"/>
          <w:sz w:val="24"/>
        </w:rPr>
        <w:t>优先级＝</w:t>
      </w:r>
      <w:r>
        <w:rPr>
          <w:sz w:val="24"/>
        </w:rPr>
        <w:t>(</w:t>
      </w:r>
      <w:r>
        <w:rPr>
          <w:rFonts w:hint="eastAsia"/>
          <w:sz w:val="24"/>
        </w:rPr>
        <w:t>概率＋影响</w:t>
      </w:r>
      <w:r>
        <w:rPr>
          <w:sz w:val="24"/>
        </w:rPr>
        <w:t>)/2</w:t>
      </w:r>
    </w:p>
    <w:p w14:paraId="77161300" w14:textId="77777777" w:rsidR="001C2850" w:rsidRDefault="001C2850" w:rsidP="001C2850">
      <w:pPr>
        <w:pStyle w:val="a9"/>
        <w:spacing w:line="360" w:lineRule="auto"/>
        <w:ind w:firstLine="480"/>
        <w:rPr>
          <w:sz w:val="24"/>
        </w:rPr>
      </w:pPr>
      <w:r>
        <w:rPr>
          <w:rFonts w:hint="eastAsia"/>
          <w:sz w:val="24"/>
        </w:rPr>
        <w:t>完成的结果如下表（包括例子）：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127"/>
        <w:gridCol w:w="1743"/>
        <w:gridCol w:w="1705"/>
        <w:gridCol w:w="1705"/>
      </w:tblGrid>
      <w:tr w:rsidR="001C2850" w14:paraId="3553AA82" w14:textId="77777777" w:rsidTr="001C2850">
        <w:trPr>
          <w:trHeight w:val="602"/>
        </w:trPr>
        <w:tc>
          <w:tcPr>
            <w:tcW w:w="1242"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24E3E4CE" w14:textId="77777777" w:rsidR="001C2850" w:rsidRDefault="001C2850" w:rsidP="001C2850">
            <w:pPr>
              <w:autoSpaceDE w:val="0"/>
              <w:autoSpaceDN w:val="0"/>
              <w:adjustRightInd w:val="0"/>
              <w:spacing w:line="360" w:lineRule="auto"/>
              <w:ind w:firstLineChars="82" w:firstLine="172"/>
              <w:rPr>
                <w:rFonts w:hint="eastAsia"/>
                <w:b/>
                <w:szCs w:val="28"/>
              </w:rPr>
            </w:pPr>
            <w:r>
              <w:rPr>
                <w:b/>
                <w:kern w:val="0"/>
                <w:szCs w:val="28"/>
              </w:rPr>
              <w:t>ID</w:t>
            </w:r>
          </w:p>
        </w:tc>
        <w:tc>
          <w:tcPr>
            <w:tcW w:w="212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55CD8BC6" w14:textId="77777777" w:rsidR="001C2850" w:rsidRDefault="001C2850" w:rsidP="001C2850">
            <w:pPr>
              <w:autoSpaceDE w:val="0"/>
              <w:autoSpaceDN w:val="0"/>
              <w:adjustRightInd w:val="0"/>
              <w:spacing w:line="360" w:lineRule="auto"/>
              <w:ind w:firstLine="420"/>
              <w:rPr>
                <w:rFonts w:hint="eastAsia"/>
                <w:b/>
                <w:szCs w:val="28"/>
              </w:rPr>
            </w:pPr>
            <w:r>
              <w:rPr>
                <w:rFonts w:hint="eastAsia"/>
                <w:b/>
                <w:kern w:val="0"/>
                <w:szCs w:val="28"/>
              </w:rPr>
              <w:t>概率</w:t>
            </w:r>
          </w:p>
        </w:tc>
        <w:tc>
          <w:tcPr>
            <w:tcW w:w="1743"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9781C12" w14:textId="77777777" w:rsidR="001C2850" w:rsidRDefault="001C2850" w:rsidP="001C2850">
            <w:pPr>
              <w:autoSpaceDE w:val="0"/>
              <w:autoSpaceDN w:val="0"/>
              <w:adjustRightInd w:val="0"/>
              <w:spacing w:line="360" w:lineRule="auto"/>
              <w:ind w:firstLine="420"/>
              <w:rPr>
                <w:rFonts w:hint="eastAsia"/>
                <w:b/>
                <w:szCs w:val="28"/>
              </w:rPr>
            </w:pPr>
            <w:r>
              <w:rPr>
                <w:rFonts w:hint="eastAsia"/>
                <w:b/>
                <w:kern w:val="0"/>
                <w:szCs w:val="28"/>
              </w:rPr>
              <w:t>影响</w:t>
            </w:r>
          </w:p>
        </w:tc>
        <w:tc>
          <w:tcPr>
            <w:tcW w:w="1705"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1FD9C305" w14:textId="77777777" w:rsidR="001C2850" w:rsidRDefault="001C2850" w:rsidP="001C2850">
            <w:pPr>
              <w:autoSpaceDE w:val="0"/>
              <w:autoSpaceDN w:val="0"/>
              <w:adjustRightInd w:val="0"/>
              <w:spacing w:line="360" w:lineRule="auto"/>
              <w:jc w:val="center"/>
              <w:rPr>
                <w:rFonts w:hint="eastAsia"/>
                <w:b/>
                <w:szCs w:val="28"/>
              </w:rPr>
            </w:pPr>
            <w:r>
              <w:rPr>
                <w:rFonts w:hint="eastAsia"/>
                <w:b/>
                <w:kern w:val="0"/>
                <w:szCs w:val="28"/>
              </w:rPr>
              <w:t>优先级评分</w:t>
            </w:r>
          </w:p>
        </w:tc>
        <w:tc>
          <w:tcPr>
            <w:tcW w:w="1705"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001B608D" w14:textId="77777777" w:rsidR="001C2850" w:rsidRDefault="001C2850" w:rsidP="001C2850">
            <w:pPr>
              <w:autoSpaceDE w:val="0"/>
              <w:autoSpaceDN w:val="0"/>
              <w:adjustRightInd w:val="0"/>
              <w:spacing w:line="360" w:lineRule="auto"/>
              <w:ind w:firstLine="420"/>
              <w:rPr>
                <w:rFonts w:hint="eastAsia"/>
                <w:b/>
                <w:szCs w:val="28"/>
              </w:rPr>
            </w:pPr>
            <w:r>
              <w:rPr>
                <w:rFonts w:hint="eastAsia"/>
                <w:b/>
                <w:kern w:val="0"/>
                <w:szCs w:val="28"/>
              </w:rPr>
              <w:t>等级</w:t>
            </w:r>
          </w:p>
        </w:tc>
      </w:tr>
      <w:tr w:rsidR="001C2850" w14:paraId="7E6B8F90"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65C11A49"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1</w:t>
            </w:r>
          </w:p>
        </w:tc>
        <w:tc>
          <w:tcPr>
            <w:tcW w:w="2127" w:type="dxa"/>
            <w:tcBorders>
              <w:top w:val="single" w:sz="4" w:space="0" w:color="000000"/>
              <w:left w:val="single" w:sz="4" w:space="0" w:color="000000"/>
              <w:bottom w:val="single" w:sz="4" w:space="0" w:color="000000"/>
              <w:right w:val="single" w:sz="4" w:space="0" w:color="000000"/>
            </w:tcBorders>
            <w:hideMark/>
          </w:tcPr>
          <w:p w14:paraId="3C1A61AC" w14:textId="77777777" w:rsidR="001C2850" w:rsidRDefault="001C2850" w:rsidP="001C2850">
            <w:pPr>
              <w:pStyle w:val="a9"/>
              <w:spacing w:line="360" w:lineRule="auto"/>
              <w:ind w:firstLine="0"/>
              <w:jc w:val="center"/>
              <w:rPr>
                <w:szCs w:val="28"/>
              </w:rPr>
            </w:pPr>
            <w:r>
              <w:rPr>
                <w:szCs w:val="28"/>
              </w:rPr>
              <w:t>20</w:t>
            </w:r>
          </w:p>
        </w:tc>
        <w:tc>
          <w:tcPr>
            <w:tcW w:w="1743" w:type="dxa"/>
            <w:tcBorders>
              <w:top w:val="single" w:sz="4" w:space="0" w:color="000000"/>
              <w:left w:val="single" w:sz="4" w:space="0" w:color="000000"/>
              <w:bottom w:val="single" w:sz="4" w:space="0" w:color="000000"/>
              <w:right w:val="single" w:sz="4" w:space="0" w:color="000000"/>
            </w:tcBorders>
            <w:hideMark/>
          </w:tcPr>
          <w:p w14:paraId="5B21E6B0"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hideMark/>
          </w:tcPr>
          <w:p w14:paraId="3E9BDAA9" w14:textId="77777777" w:rsidR="001C2850" w:rsidRDefault="001C2850" w:rsidP="001C2850">
            <w:pPr>
              <w:pStyle w:val="a9"/>
              <w:spacing w:line="360" w:lineRule="auto"/>
              <w:ind w:firstLine="0"/>
              <w:jc w:val="center"/>
              <w:rPr>
                <w:szCs w:val="28"/>
              </w:rPr>
            </w:pPr>
            <w:r>
              <w:rPr>
                <w:szCs w:val="28"/>
              </w:rPr>
              <w:t>50</w:t>
            </w:r>
          </w:p>
        </w:tc>
        <w:tc>
          <w:tcPr>
            <w:tcW w:w="1705" w:type="dxa"/>
            <w:tcBorders>
              <w:top w:val="single" w:sz="4" w:space="0" w:color="000000"/>
              <w:left w:val="single" w:sz="4" w:space="0" w:color="000000"/>
              <w:bottom w:val="single" w:sz="4" w:space="0" w:color="000000"/>
              <w:right w:val="single" w:sz="4" w:space="0" w:color="000000"/>
            </w:tcBorders>
            <w:shd w:val="clear" w:color="auto" w:fill="FFFF00"/>
            <w:hideMark/>
          </w:tcPr>
          <w:p w14:paraId="7C204E5F" w14:textId="77777777" w:rsidR="001C2850" w:rsidRDefault="001C2850" w:rsidP="001C2850">
            <w:pPr>
              <w:pStyle w:val="a9"/>
              <w:spacing w:line="360" w:lineRule="auto"/>
              <w:ind w:firstLine="0"/>
              <w:jc w:val="center"/>
              <w:rPr>
                <w:szCs w:val="28"/>
              </w:rPr>
            </w:pPr>
            <w:r>
              <w:rPr>
                <w:rFonts w:hint="eastAsia"/>
                <w:szCs w:val="28"/>
              </w:rPr>
              <w:t>中等</w:t>
            </w:r>
          </w:p>
        </w:tc>
      </w:tr>
      <w:tr w:rsidR="001C2850" w14:paraId="07CE5A01" w14:textId="77777777" w:rsidTr="001C2850">
        <w:trPr>
          <w:trHeight w:val="377"/>
        </w:trPr>
        <w:tc>
          <w:tcPr>
            <w:tcW w:w="1242" w:type="dxa"/>
            <w:tcBorders>
              <w:top w:val="single" w:sz="4" w:space="0" w:color="000000"/>
              <w:left w:val="single" w:sz="4" w:space="0" w:color="000000"/>
              <w:bottom w:val="single" w:sz="4" w:space="0" w:color="000000"/>
              <w:right w:val="single" w:sz="4" w:space="0" w:color="000000"/>
            </w:tcBorders>
            <w:hideMark/>
          </w:tcPr>
          <w:p w14:paraId="7F6F8DA8"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14:paraId="759A5A18" w14:textId="77777777" w:rsidR="001C2850" w:rsidRDefault="001C2850" w:rsidP="001C2850">
            <w:pPr>
              <w:pStyle w:val="a9"/>
              <w:spacing w:line="360" w:lineRule="auto"/>
              <w:ind w:firstLine="0"/>
              <w:jc w:val="center"/>
              <w:rPr>
                <w:szCs w:val="28"/>
              </w:rPr>
            </w:pPr>
            <w:r>
              <w:rPr>
                <w:szCs w:val="28"/>
              </w:rPr>
              <w:t>80</w:t>
            </w:r>
          </w:p>
        </w:tc>
        <w:tc>
          <w:tcPr>
            <w:tcW w:w="1743" w:type="dxa"/>
            <w:tcBorders>
              <w:top w:val="single" w:sz="4" w:space="0" w:color="000000"/>
              <w:left w:val="single" w:sz="4" w:space="0" w:color="000000"/>
              <w:bottom w:val="single" w:sz="4" w:space="0" w:color="000000"/>
              <w:right w:val="single" w:sz="4" w:space="0" w:color="000000"/>
            </w:tcBorders>
            <w:hideMark/>
          </w:tcPr>
          <w:p w14:paraId="3D7F327F" w14:textId="77777777" w:rsidR="001C2850" w:rsidRDefault="001C2850" w:rsidP="001C2850">
            <w:pPr>
              <w:pStyle w:val="a9"/>
              <w:spacing w:line="360" w:lineRule="auto"/>
              <w:ind w:firstLine="0"/>
              <w:jc w:val="center"/>
              <w:rPr>
                <w:szCs w:val="28"/>
              </w:rPr>
            </w:pPr>
            <w:r>
              <w:rPr>
                <w:szCs w:val="28"/>
              </w:rPr>
              <w:t>60</w:t>
            </w:r>
          </w:p>
        </w:tc>
        <w:tc>
          <w:tcPr>
            <w:tcW w:w="1705" w:type="dxa"/>
            <w:tcBorders>
              <w:top w:val="single" w:sz="4" w:space="0" w:color="000000"/>
              <w:left w:val="single" w:sz="4" w:space="0" w:color="000000"/>
              <w:bottom w:val="single" w:sz="4" w:space="0" w:color="000000"/>
              <w:right w:val="single" w:sz="4" w:space="0" w:color="000000"/>
            </w:tcBorders>
            <w:hideMark/>
          </w:tcPr>
          <w:p w14:paraId="53C0FBA4" w14:textId="77777777" w:rsidR="001C2850" w:rsidRDefault="001C2850" w:rsidP="001C2850">
            <w:pPr>
              <w:pStyle w:val="a9"/>
              <w:spacing w:line="360" w:lineRule="auto"/>
              <w:ind w:firstLine="0"/>
              <w:jc w:val="center"/>
              <w:rPr>
                <w:szCs w:val="28"/>
              </w:rPr>
            </w:pPr>
            <w:r>
              <w:rPr>
                <w:szCs w:val="28"/>
              </w:rPr>
              <w:t>70</w:t>
            </w:r>
          </w:p>
        </w:tc>
        <w:tc>
          <w:tcPr>
            <w:tcW w:w="1705" w:type="dxa"/>
            <w:tcBorders>
              <w:top w:val="single" w:sz="4" w:space="0" w:color="000000"/>
              <w:left w:val="single" w:sz="4" w:space="0" w:color="000000"/>
              <w:bottom w:val="single" w:sz="4" w:space="0" w:color="000000"/>
              <w:right w:val="single" w:sz="4" w:space="0" w:color="000000"/>
            </w:tcBorders>
            <w:shd w:val="clear" w:color="auto" w:fill="FFC000"/>
            <w:hideMark/>
          </w:tcPr>
          <w:p w14:paraId="2D82A3B0" w14:textId="77777777" w:rsidR="001C2850" w:rsidRDefault="001C2850" w:rsidP="001C2850">
            <w:pPr>
              <w:pStyle w:val="a9"/>
              <w:spacing w:line="360" w:lineRule="auto"/>
              <w:ind w:firstLine="0"/>
              <w:jc w:val="center"/>
              <w:rPr>
                <w:szCs w:val="28"/>
              </w:rPr>
            </w:pPr>
            <w:r>
              <w:rPr>
                <w:rFonts w:hint="eastAsia"/>
                <w:szCs w:val="28"/>
              </w:rPr>
              <w:t>高</w:t>
            </w:r>
          </w:p>
        </w:tc>
      </w:tr>
      <w:tr w:rsidR="001C2850" w14:paraId="2D5C8CBA"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125F7B48"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3</w:t>
            </w:r>
          </w:p>
        </w:tc>
        <w:tc>
          <w:tcPr>
            <w:tcW w:w="2127" w:type="dxa"/>
            <w:tcBorders>
              <w:top w:val="single" w:sz="4" w:space="0" w:color="000000"/>
              <w:left w:val="single" w:sz="4" w:space="0" w:color="000000"/>
              <w:bottom w:val="single" w:sz="4" w:space="0" w:color="000000"/>
              <w:right w:val="single" w:sz="4" w:space="0" w:color="000000"/>
            </w:tcBorders>
            <w:hideMark/>
          </w:tcPr>
          <w:p w14:paraId="7409455B" w14:textId="77777777" w:rsidR="001C2850" w:rsidRDefault="001C2850" w:rsidP="001C2850">
            <w:pPr>
              <w:pStyle w:val="a9"/>
              <w:spacing w:line="360" w:lineRule="auto"/>
              <w:ind w:firstLine="0"/>
              <w:jc w:val="center"/>
              <w:rPr>
                <w:szCs w:val="28"/>
              </w:rPr>
            </w:pPr>
            <w:r>
              <w:rPr>
                <w:szCs w:val="28"/>
              </w:rPr>
              <w:t>100</w:t>
            </w:r>
          </w:p>
        </w:tc>
        <w:tc>
          <w:tcPr>
            <w:tcW w:w="1743" w:type="dxa"/>
            <w:tcBorders>
              <w:top w:val="single" w:sz="4" w:space="0" w:color="000000"/>
              <w:left w:val="single" w:sz="4" w:space="0" w:color="000000"/>
              <w:bottom w:val="single" w:sz="4" w:space="0" w:color="000000"/>
              <w:right w:val="single" w:sz="4" w:space="0" w:color="000000"/>
            </w:tcBorders>
            <w:hideMark/>
          </w:tcPr>
          <w:p w14:paraId="22B6A9D9" w14:textId="77777777" w:rsidR="001C2850" w:rsidRDefault="001C2850" w:rsidP="001C2850">
            <w:pPr>
              <w:pStyle w:val="a9"/>
              <w:spacing w:line="360" w:lineRule="auto"/>
              <w:ind w:firstLine="0"/>
              <w:jc w:val="center"/>
              <w:rPr>
                <w:szCs w:val="28"/>
              </w:rPr>
            </w:pPr>
            <w:r>
              <w:rPr>
                <w:szCs w:val="28"/>
              </w:rPr>
              <w:t>40</w:t>
            </w:r>
          </w:p>
        </w:tc>
        <w:tc>
          <w:tcPr>
            <w:tcW w:w="1705" w:type="dxa"/>
            <w:tcBorders>
              <w:top w:val="single" w:sz="4" w:space="0" w:color="000000"/>
              <w:left w:val="single" w:sz="4" w:space="0" w:color="000000"/>
              <w:bottom w:val="single" w:sz="4" w:space="0" w:color="000000"/>
              <w:right w:val="single" w:sz="4" w:space="0" w:color="000000"/>
            </w:tcBorders>
            <w:hideMark/>
          </w:tcPr>
          <w:p w14:paraId="549EB1FD" w14:textId="77777777" w:rsidR="001C2850" w:rsidRDefault="001C2850" w:rsidP="001C2850">
            <w:pPr>
              <w:pStyle w:val="a9"/>
              <w:spacing w:line="360" w:lineRule="auto"/>
              <w:ind w:firstLine="0"/>
              <w:jc w:val="center"/>
              <w:rPr>
                <w:szCs w:val="28"/>
              </w:rPr>
            </w:pPr>
            <w:r>
              <w:rPr>
                <w:szCs w:val="28"/>
              </w:rPr>
              <w:t>70</w:t>
            </w:r>
          </w:p>
        </w:tc>
        <w:tc>
          <w:tcPr>
            <w:tcW w:w="1705" w:type="dxa"/>
            <w:tcBorders>
              <w:top w:val="single" w:sz="4" w:space="0" w:color="000000"/>
              <w:left w:val="single" w:sz="4" w:space="0" w:color="000000"/>
              <w:bottom w:val="single" w:sz="4" w:space="0" w:color="000000"/>
              <w:right w:val="single" w:sz="4" w:space="0" w:color="000000"/>
            </w:tcBorders>
            <w:shd w:val="clear" w:color="auto" w:fill="FFC000"/>
            <w:hideMark/>
          </w:tcPr>
          <w:p w14:paraId="671F0DAD" w14:textId="77777777" w:rsidR="001C2850" w:rsidRDefault="001C2850" w:rsidP="001C2850">
            <w:pPr>
              <w:pStyle w:val="a9"/>
              <w:spacing w:line="360" w:lineRule="auto"/>
              <w:ind w:firstLine="0"/>
              <w:jc w:val="center"/>
              <w:rPr>
                <w:szCs w:val="28"/>
              </w:rPr>
            </w:pPr>
            <w:r>
              <w:rPr>
                <w:rFonts w:hint="eastAsia"/>
                <w:szCs w:val="28"/>
              </w:rPr>
              <w:t>高</w:t>
            </w:r>
          </w:p>
        </w:tc>
      </w:tr>
      <w:tr w:rsidR="001C2850" w14:paraId="00251B50"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528F7E1B" w14:textId="77777777" w:rsidR="001C2850" w:rsidRDefault="001C2850" w:rsidP="001C2850">
            <w:pPr>
              <w:pStyle w:val="a9"/>
              <w:spacing w:line="360" w:lineRule="auto"/>
              <w:ind w:firstLine="0"/>
              <w:jc w:val="center"/>
              <w:rPr>
                <w:szCs w:val="28"/>
              </w:rPr>
            </w:pPr>
            <w:r>
              <w:rPr>
                <w:szCs w:val="28"/>
              </w:rPr>
              <w:t>2</w:t>
            </w:r>
            <w:r>
              <w:rPr>
                <w:rFonts w:hint="eastAsia"/>
                <w:szCs w:val="28"/>
              </w:rPr>
              <w:t>．</w:t>
            </w:r>
            <w:r>
              <w:rPr>
                <w:szCs w:val="28"/>
              </w:rPr>
              <w:t>1</w:t>
            </w:r>
          </w:p>
        </w:tc>
        <w:tc>
          <w:tcPr>
            <w:tcW w:w="2127" w:type="dxa"/>
            <w:tcBorders>
              <w:top w:val="single" w:sz="4" w:space="0" w:color="000000"/>
              <w:left w:val="single" w:sz="4" w:space="0" w:color="000000"/>
              <w:bottom w:val="single" w:sz="4" w:space="0" w:color="000000"/>
              <w:right w:val="single" w:sz="4" w:space="0" w:color="000000"/>
            </w:tcBorders>
            <w:hideMark/>
          </w:tcPr>
          <w:p w14:paraId="65E5B709" w14:textId="77777777" w:rsidR="001C2850" w:rsidRDefault="001C2850" w:rsidP="001C2850">
            <w:pPr>
              <w:pStyle w:val="a9"/>
              <w:spacing w:line="360" w:lineRule="auto"/>
              <w:ind w:firstLine="0"/>
              <w:jc w:val="center"/>
              <w:rPr>
                <w:szCs w:val="28"/>
              </w:rPr>
            </w:pPr>
            <w:r>
              <w:rPr>
                <w:szCs w:val="28"/>
              </w:rPr>
              <w:t>40</w:t>
            </w:r>
          </w:p>
        </w:tc>
        <w:tc>
          <w:tcPr>
            <w:tcW w:w="1743" w:type="dxa"/>
            <w:tcBorders>
              <w:top w:val="single" w:sz="4" w:space="0" w:color="000000"/>
              <w:left w:val="single" w:sz="4" w:space="0" w:color="000000"/>
              <w:bottom w:val="single" w:sz="4" w:space="0" w:color="000000"/>
              <w:right w:val="single" w:sz="4" w:space="0" w:color="000000"/>
            </w:tcBorders>
            <w:hideMark/>
          </w:tcPr>
          <w:p w14:paraId="38ABBD52" w14:textId="77777777" w:rsidR="001C2850" w:rsidRDefault="001C2850" w:rsidP="001C2850">
            <w:pPr>
              <w:pStyle w:val="a9"/>
              <w:spacing w:line="360" w:lineRule="auto"/>
              <w:ind w:firstLine="0"/>
              <w:jc w:val="center"/>
              <w:rPr>
                <w:szCs w:val="28"/>
              </w:rPr>
            </w:pPr>
            <w:r>
              <w:rPr>
                <w:szCs w:val="28"/>
              </w:rPr>
              <w:t>20</w:t>
            </w:r>
          </w:p>
        </w:tc>
        <w:tc>
          <w:tcPr>
            <w:tcW w:w="1705" w:type="dxa"/>
            <w:tcBorders>
              <w:top w:val="single" w:sz="4" w:space="0" w:color="000000"/>
              <w:left w:val="single" w:sz="4" w:space="0" w:color="000000"/>
              <w:bottom w:val="single" w:sz="4" w:space="0" w:color="000000"/>
              <w:right w:val="single" w:sz="4" w:space="0" w:color="000000"/>
            </w:tcBorders>
            <w:hideMark/>
          </w:tcPr>
          <w:p w14:paraId="2F8ABF98" w14:textId="77777777" w:rsidR="001C2850" w:rsidRDefault="001C2850" w:rsidP="001C2850">
            <w:pPr>
              <w:pStyle w:val="a9"/>
              <w:spacing w:line="360" w:lineRule="auto"/>
              <w:ind w:firstLine="0"/>
              <w:jc w:val="center"/>
              <w:rPr>
                <w:szCs w:val="28"/>
              </w:rPr>
            </w:pPr>
            <w:r>
              <w:rPr>
                <w:szCs w:val="28"/>
              </w:rPr>
              <w:t>30</w:t>
            </w:r>
          </w:p>
        </w:tc>
        <w:tc>
          <w:tcPr>
            <w:tcW w:w="1705" w:type="dxa"/>
            <w:tcBorders>
              <w:top w:val="single" w:sz="4" w:space="0" w:color="000000"/>
              <w:left w:val="single" w:sz="4" w:space="0" w:color="000000"/>
              <w:bottom w:val="single" w:sz="4" w:space="0" w:color="000000"/>
              <w:right w:val="single" w:sz="4" w:space="0" w:color="000000"/>
            </w:tcBorders>
            <w:shd w:val="clear" w:color="auto" w:fill="00B050"/>
            <w:hideMark/>
          </w:tcPr>
          <w:p w14:paraId="78E4E4A9" w14:textId="77777777" w:rsidR="001C2850" w:rsidRDefault="001C2850" w:rsidP="001C2850">
            <w:pPr>
              <w:pStyle w:val="a9"/>
              <w:spacing w:line="360" w:lineRule="auto"/>
              <w:ind w:firstLine="0"/>
              <w:jc w:val="center"/>
              <w:rPr>
                <w:szCs w:val="28"/>
              </w:rPr>
            </w:pPr>
            <w:r>
              <w:rPr>
                <w:rFonts w:hint="eastAsia"/>
                <w:szCs w:val="28"/>
              </w:rPr>
              <w:t>低</w:t>
            </w:r>
          </w:p>
        </w:tc>
      </w:tr>
      <w:tr w:rsidR="001C2850" w14:paraId="467486B2"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2A957F8A" w14:textId="77777777" w:rsidR="001C2850" w:rsidRDefault="001C2850" w:rsidP="001C2850">
            <w:pPr>
              <w:pStyle w:val="a9"/>
              <w:spacing w:line="360" w:lineRule="auto"/>
              <w:ind w:firstLine="0"/>
              <w:jc w:val="center"/>
              <w:rPr>
                <w:szCs w:val="28"/>
              </w:rPr>
            </w:pPr>
            <w:r>
              <w:rPr>
                <w:szCs w:val="28"/>
              </w:rPr>
              <w:t>2</w:t>
            </w:r>
            <w:r>
              <w:rPr>
                <w:rFonts w:hint="eastAsia"/>
                <w:szCs w:val="28"/>
              </w:rPr>
              <w:t>．</w:t>
            </w:r>
            <w:r>
              <w:rPr>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14:paraId="444AA2CE" w14:textId="77777777" w:rsidR="001C2850" w:rsidRDefault="001C2850" w:rsidP="001C2850">
            <w:pPr>
              <w:pStyle w:val="a9"/>
              <w:spacing w:line="360" w:lineRule="auto"/>
              <w:ind w:firstLine="0"/>
              <w:jc w:val="center"/>
              <w:rPr>
                <w:szCs w:val="28"/>
              </w:rPr>
            </w:pPr>
            <w:r>
              <w:rPr>
                <w:szCs w:val="28"/>
              </w:rPr>
              <w:t>80</w:t>
            </w:r>
          </w:p>
        </w:tc>
        <w:tc>
          <w:tcPr>
            <w:tcW w:w="1743" w:type="dxa"/>
            <w:tcBorders>
              <w:top w:val="single" w:sz="4" w:space="0" w:color="000000"/>
              <w:left w:val="single" w:sz="4" w:space="0" w:color="000000"/>
              <w:bottom w:val="single" w:sz="4" w:space="0" w:color="000000"/>
              <w:right w:val="single" w:sz="4" w:space="0" w:color="000000"/>
            </w:tcBorders>
            <w:hideMark/>
          </w:tcPr>
          <w:p w14:paraId="7E54A09C" w14:textId="77777777" w:rsidR="001C2850" w:rsidRDefault="001C2850" w:rsidP="001C2850">
            <w:pPr>
              <w:pStyle w:val="a9"/>
              <w:spacing w:line="360" w:lineRule="auto"/>
              <w:ind w:firstLine="0"/>
              <w:jc w:val="center"/>
              <w:rPr>
                <w:szCs w:val="28"/>
              </w:rPr>
            </w:pPr>
            <w:r>
              <w:rPr>
                <w:szCs w:val="28"/>
              </w:rPr>
              <w:t>100</w:t>
            </w:r>
          </w:p>
        </w:tc>
        <w:tc>
          <w:tcPr>
            <w:tcW w:w="1705" w:type="dxa"/>
            <w:tcBorders>
              <w:top w:val="single" w:sz="4" w:space="0" w:color="000000"/>
              <w:left w:val="single" w:sz="4" w:space="0" w:color="000000"/>
              <w:bottom w:val="single" w:sz="4" w:space="0" w:color="000000"/>
              <w:right w:val="single" w:sz="4" w:space="0" w:color="000000"/>
            </w:tcBorders>
            <w:hideMark/>
          </w:tcPr>
          <w:p w14:paraId="0FA27078"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shd w:val="clear" w:color="auto" w:fill="C00000"/>
            <w:hideMark/>
          </w:tcPr>
          <w:p w14:paraId="65C15F5E" w14:textId="77777777" w:rsidR="001C2850" w:rsidRDefault="001C2850" w:rsidP="001C2850">
            <w:pPr>
              <w:pStyle w:val="a9"/>
              <w:spacing w:line="360" w:lineRule="auto"/>
              <w:ind w:firstLine="0"/>
              <w:jc w:val="center"/>
              <w:rPr>
                <w:szCs w:val="28"/>
              </w:rPr>
            </w:pPr>
            <w:r>
              <w:rPr>
                <w:rFonts w:hint="eastAsia"/>
                <w:szCs w:val="28"/>
              </w:rPr>
              <w:t>很高</w:t>
            </w:r>
          </w:p>
        </w:tc>
      </w:tr>
      <w:tr w:rsidR="001C2850" w14:paraId="76623B92" w14:textId="77777777" w:rsidTr="001C2850">
        <w:tc>
          <w:tcPr>
            <w:tcW w:w="1242" w:type="dxa"/>
            <w:tcBorders>
              <w:top w:val="single" w:sz="4" w:space="0" w:color="000000"/>
              <w:left w:val="single" w:sz="4" w:space="0" w:color="000000"/>
              <w:bottom w:val="single" w:sz="4" w:space="0" w:color="000000"/>
              <w:right w:val="single" w:sz="4" w:space="0" w:color="000000"/>
            </w:tcBorders>
            <w:hideMark/>
          </w:tcPr>
          <w:p w14:paraId="7F602391" w14:textId="77777777" w:rsidR="001C2850" w:rsidRDefault="001C2850" w:rsidP="001C2850">
            <w:pPr>
              <w:pStyle w:val="a9"/>
              <w:spacing w:line="360" w:lineRule="auto"/>
              <w:ind w:firstLine="0"/>
              <w:jc w:val="center"/>
              <w:rPr>
                <w:szCs w:val="28"/>
              </w:rPr>
            </w:pPr>
            <w:r>
              <w:rPr>
                <w:szCs w:val="28"/>
              </w:rPr>
              <w:lastRenderedPageBreak/>
              <w:t>2</w:t>
            </w:r>
            <w:r>
              <w:rPr>
                <w:rFonts w:hint="eastAsia"/>
                <w:szCs w:val="28"/>
              </w:rPr>
              <w:t>．</w:t>
            </w:r>
            <w:r>
              <w:rPr>
                <w:szCs w:val="28"/>
              </w:rPr>
              <w:t>3</w:t>
            </w:r>
          </w:p>
        </w:tc>
        <w:tc>
          <w:tcPr>
            <w:tcW w:w="2127" w:type="dxa"/>
            <w:tcBorders>
              <w:top w:val="single" w:sz="4" w:space="0" w:color="000000"/>
              <w:left w:val="single" w:sz="4" w:space="0" w:color="000000"/>
              <w:bottom w:val="single" w:sz="4" w:space="0" w:color="000000"/>
              <w:right w:val="single" w:sz="4" w:space="0" w:color="000000"/>
            </w:tcBorders>
            <w:hideMark/>
          </w:tcPr>
          <w:p w14:paraId="264167C4" w14:textId="77777777" w:rsidR="001C2850" w:rsidRDefault="001C2850" w:rsidP="001C2850">
            <w:pPr>
              <w:pStyle w:val="a9"/>
              <w:spacing w:line="360" w:lineRule="auto"/>
              <w:ind w:firstLine="0"/>
              <w:jc w:val="center"/>
              <w:rPr>
                <w:szCs w:val="28"/>
              </w:rPr>
            </w:pPr>
            <w:r>
              <w:rPr>
                <w:szCs w:val="28"/>
              </w:rPr>
              <w:t>20</w:t>
            </w:r>
          </w:p>
        </w:tc>
        <w:tc>
          <w:tcPr>
            <w:tcW w:w="1743" w:type="dxa"/>
            <w:tcBorders>
              <w:top w:val="single" w:sz="4" w:space="0" w:color="000000"/>
              <w:left w:val="single" w:sz="4" w:space="0" w:color="000000"/>
              <w:bottom w:val="single" w:sz="4" w:space="0" w:color="000000"/>
              <w:right w:val="single" w:sz="4" w:space="0" w:color="000000"/>
            </w:tcBorders>
            <w:hideMark/>
          </w:tcPr>
          <w:p w14:paraId="363687DF"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hideMark/>
          </w:tcPr>
          <w:p w14:paraId="65073C4B" w14:textId="77777777" w:rsidR="001C2850" w:rsidRDefault="001C2850" w:rsidP="001C2850">
            <w:pPr>
              <w:pStyle w:val="a9"/>
              <w:spacing w:line="360" w:lineRule="auto"/>
              <w:ind w:firstLine="0"/>
              <w:jc w:val="center"/>
              <w:rPr>
                <w:szCs w:val="28"/>
              </w:rPr>
            </w:pPr>
            <w:r>
              <w:rPr>
                <w:szCs w:val="28"/>
              </w:rPr>
              <w:t>50</w:t>
            </w:r>
          </w:p>
        </w:tc>
        <w:tc>
          <w:tcPr>
            <w:tcW w:w="1705" w:type="dxa"/>
            <w:tcBorders>
              <w:top w:val="single" w:sz="4" w:space="0" w:color="000000"/>
              <w:left w:val="single" w:sz="4" w:space="0" w:color="000000"/>
              <w:bottom w:val="single" w:sz="4" w:space="0" w:color="000000"/>
              <w:right w:val="single" w:sz="4" w:space="0" w:color="000000"/>
            </w:tcBorders>
            <w:shd w:val="clear" w:color="auto" w:fill="FFFF00"/>
            <w:hideMark/>
          </w:tcPr>
          <w:p w14:paraId="61A0F19F" w14:textId="77777777" w:rsidR="001C2850" w:rsidRDefault="001C2850" w:rsidP="001C2850">
            <w:pPr>
              <w:pStyle w:val="a9"/>
              <w:spacing w:line="360" w:lineRule="auto"/>
              <w:ind w:firstLine="0"/>
              <w:jc w:val="center"/>
              <w:rPr>
                <w:szCs w:val="28"/>
              </w:rPr>
            </w:pPr>
            <w:r>
              <w:rPr>
                <w:rFonts w:hint="eastAsia"/>
                <w:szCs w:val="28"/>
              </w:rPr>
              <w:t>中等</w:t>
            </w:r>
          </w:p>
        </w:tc>
      </w:tr>
    </w:tbl>
    <w:p w14:paraId="319455F0" w14:textId="77777777" w:rsidR="001C2850" w:rsidRDefault="001C2850" w:rsidP="001C2850">
      <w:pPr>
        <w:pStyle w:val="a9"/>
        <w:spacing w:line="360" w:lineRule="auto"/>
        <w:ind w:firstLine="480"/>
        <w:rPr>
          <w:sz w:val="24"/>
        </w:rPr>
      </w:pPr>
      <w:r>
        <w:rPr>
          <w:rFonts w:hint="eastAsia"/>
          <w:sz w:val="24"/>
        </w:rPr>
        <w:t>优先级的等级是基于计算得出的优先级的得分。使用如下的方法确定等级：</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1"/>
        <w:gridCol w:w="2841"/>
      </w:tblGrid>
      <w:tr w:rsidR="001C2850" w14:paraId="387F0390" w14:textId="77777777" w:rsidTr="001C2850">
        <w:tc>
          <w:tcPr>
            <w:tcW w:w="2840" w:type="dxa"/>
            <w:tcBorders>
              <w:top w:val="single" w:sz="4" w:space="0" w:color="000000"/>
              <w:left w:val="single" w:sz="4" w:space="0" w:color="000000"/>
              <w:bottom w:val="single" w:sz="4" w:space="0" w:color="000000"/>
              <w:right w:val="single" w:sz="4" w:space="0" w:color="000000"/>
            </w:tcBorders>
            <w:shd w:val="pct20" w:color="auto" w:fill="auto"/>
            <w:hideMark/>
          </w:tcPr>
          <w:p w14:paraId="22B1A272" w14:textId="77777777" w:rsidR="001C2850" w:rsidRDefault="001C2850" w:rsidP="001C2850">
            <w:pPr>
              <w:autoSpaceDE w:val="0"/>
              <w:autoSpaceDN w:val="0"/>
              <w:adjustRightInd w:val="0"/>
              <w:spacing w:line="360" w:lineRule="auto"/>
              <w:ind w:firstLine="420"/>
              <w:jc w:val="center"/>
              <w:rPr>
                <w:rFonts w:hint="eastAsia"/>
                <w:b/>
                <w:szCs w:val="28"/>
              </w:rPr>
            </w:pPr>
            <w:r>
              <w:rPr>
                <w:rFonts w:hint="eastAsia"/>
                <w:b/>
                <w:kern w:val="0"/>
                <w:szCs w:val="28"/>
              </w:rPr>
              <w:t>优先级评分</w:t>
            </w:r>
          </w:p>
        </w:tc>
        <w:tc>
          <w:tcPr>
            <w:tcW w:w="2841" w:type="dxa"/>
            <w:tcBorders>
              <w:top w:val="single" w:sz="4" w:space="0" w:color="000000"/>
              <w:left w:val="single" w:sz="4" w:space="0" w:color="000000"/>
              <w:bottom w:val="single" w:sz="4" w:space="0" w:color="000000"/>
              <w:right w:val="single" w:sz="4" w:space="0" w:color="000000"/>
            </w:tcBorders>
            <w:shd w:val="pct20" w:color="auto" w:fill="auto"/>
            <w:hideMark/>
          </w:tcPr>
          <w:p w14:paraId="13B1A31E" w14:textId="77777777" w:rsidR="001C2850" w:rsidRDefault="001C2850" w:rsidP="001C2850">
            <w:pPr>
              <w:autoSpaceDE w:val="0"/>
              <w:autoSpaceDN w:val="0"/>
              <w:adjustRightInd w:val="0"/>
              <w:spacing w:line="360" w:lineRule="auto"/>
              <w:ind w:firstLine="420"/>
              <w:jc w:val="center"/>
              <w:rPr>
                <w:rFonts w:hint="eastAsia"/>
                <w:b/>
                <w:szCs w:val="28"/>
              </w:rPr>
            </w:pPr>
            <w:r>
              <w:rPr>
                <w:rFonts w:hint="eastAsia"/>
                <w:b/>
                <w:kern w:val="0"/>
                <w:szCs w:val="28"/>
              </w:rPr>
              <w:t>优先级等级</w:t>
            </w:r>
          </w:p>
        </w:tc>
        <w:tc>
          <w:tcPr>
            <w:tcW w:w="2841" w:type="dxa"/>
            <w:tcBorders>
              <w:top w:val="single" w:sz="4" w:space="0" w:color="000000"/>
              <w:left w:val="single" w:sz="4" w:space="0" w:color="000000"/>
              <w:bottom w:val="single" w:sz="4" w:space="0" w:color="000000"/>
              <w:right w:val="single" w:sz="4" w:space="0" w:color="000000"/>
            </w:tcBorders>
            <w:shd w:val="pct20" w:color="auto" w:fill="auto"/>
            <w:hideMark/>
          </w:tcPr>
          <w:p w14:paraId="20CB761D" w14:textId="77777777" w:rsidR="001C2850" w:rsidRDefault="001C2850" w:rsidP="001C2850">
            <w:pPr>
              <w:autoSpaceDE w:val="0"/>
              <w:autoSpaceDN w:val="0"/>
              <w:adjustRightInd w:val="0"/>
              <w:spacing w:line="360" w:lineRule="auto"/>
              <w:ind w:firstLine="420"/>
              <w:jc w:val="center"/>
              <w:rPr>
                <w:rFonts w:hint="eastAsia"/>
                <w:b/>
                <w:szCs w:val="28"/>
              </w:rPr>
            </w:pPr>
            <w:r>
              <w:rPr>
                <w:rFonts w:hint="eastAsia"/>
                <w:b/>
                <w:kern w:val="0"/>
                <w:szCs w:val="28"/>
              </w:rPr>
              <w:t>颜色</w:t>
            </w:r>
          </w:p>
        </w:tc>
      </w:tr>
      <w:tr w:rsidR="001C2850" w14:paraId="2E3D30CB"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7BB87AA9" w14:textId="77777777" w:rsidR="001C2850" w:rsidRDefault="001C2850" w:rsidP="001C2850">
            <w:pPr>
              <w:pStyle w:val="ab"/>
              <w:spacing w:line="360" w:lineRule="auto"/>
              <w:jc w:val="center"/>
              <w:rPr>
                <w:sz w:val="24"/>
                <w:szCs w:val="28"/>
              </w:rPr>
            </w:pPr>
            <w:r>
              <w:rPr>
                <w:sz w:val="24"/>
                <w:szCs w:val="28"/>
              </w:rPr>
              <w:t>0~20</w:t>
            </w:r>
          </w:p>
        </w:tc>
        <w:tc>
          <w:tcPr>
            <w:tcW w:w="2841" w:type="dxa"/>
            <w:tcBorders>
              <w:top w:val="single" w:sz="4" w:space="0" w:color="000000"/>
              <w:left w:val="single" w:sz="4" w:space="0" w:color="000000"/>
              <w:bottom w:val="single" w:sz="4" w:space="0" w:color="000000"/>
              <w:right w:val="single" w:sz="4" w:space="0" w:color="000000"/>
            </w:tcBorders>
            <w:hideMark/>
          </w:tcPr>
          <w:p w14:paraId="6F468CF1" w14:textId="77777777" w:rsidR="001C2850" w:rsidRDefault="001C2850" w:rsidP="001C2850">
            <w:pPr>
              <w:pStyle w:val="ab"/>
              <w:spacing w:line="360" w:lineRule="auto"/>
              <w:jc w:val="center"/>
              <w:rPr>
                <w:sz w:val="24"/>
                <w:szCs w:val="28"/>
              </w:rPr>
            </w:pPr>
            <w:r>
              <w:rPr>
                <w:rFonts w:hint="eastAsia"/>
                <w:sz w:val="24"/>
                <w:szCs w:val="28"/>
              </w:rPr>
              <w:t>很低</w:t>
            </w:r>
          </w:p>
        </w:tc>
        <w:tc>
          <w:tcPr>
            <w:tcW w:w="2841" w:type="dxa"/>
            <w:tcBorders>
              <w:top w:val="single" w:sz="4" w:space="0" w:color="000000"/>
              <w:left w:val="single" w:sz="4" w:space="0" w:color="000000"/>
              <w:bottom w:val="single" w:sz="4" w:space="0" w:color="000000"/>
              <w:right w:val="single" w:sz="4" w:space="0" w:color="000000"/>
            </w:tcBorders>
            <w:hideMark/>
          </w:tcPr>
          <w:p w14:paraId="0099FAF5" w14:textId="77777777" w:rsidR="001C2850" w:rsidRDefault="001C2850" w:rsidP="001C2850">
            <w:pPr>
              <w:pStyle w:val="ab"/>
              <w:spacing w:line="360" w:lineRule="auto"/>
              <w:jc w:val="center"/>
              <w:rPr>
                <w:sz w:val="24"/>
                <w:szCs w:val="28"/>
              </w:rPr>
            </w:pPr>
            <w:r>
              <w:rPr>
                <w:rFonts w:hint="eastAsia"/>
                <w:sz w:val="24"/>
                <w:szCs w:val="28"/>
              </w:rPr>
              <w:t>兰</w:t>
            </w:r>
          </w:p>
        </w:tc>
      </w:tr>
      <w:tr w:rsidR="001C2850" w14:paraId="6DC1BC93"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7C85A087" w14:textId="77777777" w:rsidR="001C2850" w:rsidRDefault="001C2850" w:rsidP="001C2850">
            <w:pPr>
              <w:pStyle w:val="ab"/>
              <w:spacing w:line="360" w:lineRule="auto"/>
              <w:jc w:val="center"/>
              <w:rPr>
                <w:sz w:val="24"/>
                <w:szCs w:val="28"/>
              </w:rPr>
            </w:pPr>
            <w:r>
              <w:rPr>
                <w:sz w:val="24"/>
                <w:szCs w:val="28"/>
              </w:rPr>
              <w:t>21~40</w:t>
            </w:r>
          </w:p>
        </w:tc>
        <w:tc>
          <w:tcPr>
            <w:tcW w:w="2841" w:type="dxa"/>
            <w:tcBorders>
              <w:top w:val="single" w:sz="4" w:space="0" w:color="000000"/>
              <w:left w:val="single" w:sz="4" w:space="0" w:color="000000"/>
              <w:bottom w:val="single" w:sz="4" w:space="0" w:color="000000"/>
              <w:right w:val="single" w:sz="4" w:space="0" w:color="000000"/>
            </w:tcBorders>
            <w:hideMark/>
          </w:tcPr>
          <w:p w14:paraId="2D6C5D02" w14:textId="77777777" w:rsidR="001C2850" w:rsidRDefault="001C2850" w:rsidP="001C2850">
            <w:pPr>
              <w:pStyle w:val="ab"/>
              <w:spacing w:line="360" w:lineRule="auto"/>
              <w:jc w:val="center"/>
              <w:rPr>
                <w:sz w:val="24"/>
                <w:szCs w:val="28"/>
              </w:rPr>
            </w:pPr>
            <w:r>
              <w:rPr>
                <w:rFonts w:hint="eastAsia"/>
                <w:sz w:val="24"/>
                <w:szCs w:val="28"/>
              </w:rPr>
              <w:t>低</w:t>
            </w:r>
          </w:p>
        </w:tc>
        <w:tc>
          <w:tcPr>
            <w:tcW w:w="2841" w:type="dxa"/>
            <w:tcBorders>
              <w:top w:val="single" w:sz="4" w:space="0" w:color="000000"/>
              <w:left w:val="single" w:sz="4" w:space="0" w:color="000000"/>
              <w:bottom w:val="single" w:sz="4" w:space="0" w:color="000000"/>
              <w:right w:val="single" w:sz="4" w:space="0" w:color="000000"/>
            </w:tcBorders>
            <w:hideMark/>
          </w:tcPr>
          <w:p w14:paraId="3138DEA2" w14:textId="77777777" w:rsidR="001C2850" w:rsidRDefault="001C2850" w:rsidP="001C2850">
            <w:pPr>
              <w:pStyle w:val="ab"/>
              <w:spacing w:line="360" w:lineRule="auto"/>
              <w:jc w:val="center"/>
              <w:rPr>
                <w:sz w:val="24"/>
                <w:szCs w:val="28"/>
              </w:rPr>
            </w:pPr>
            <w:r>
              <w:rPr>
                <w:rFonts w:hint="eastAsia"/>
                <w:sz w:val="24"/>
                <w:szCs w:val="28"/>
              </w:rPr>
              <w:t>绿</w:t>
            </w:r>
          </w:p>
        </w:tc>
      </w:tr>
      <w:tr w:rsidR="001C2850" w14:paraId="688D9347"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3C6C376F" w14:textId="77777777" w:rsidR="001C2850" w:rsidRDefault="001C2850" w:rsidP="001C2850">
            <w:pPr>
              <w:pStyle w:val="ab"/>
              <w:spacing w:line="360" w:lineRule="auto"/>
              <w:jc w:val="center"/>
              <w:rPr>
                <w:sz w:val="24"/>
                <w:szCs w:val="28"/>
              </w:rPr>
            </w:pPr>
            <w:r>
              <w:rPr>
                <w:sz w:val="24"/>
                <w:szCs w:val="28"/>
              </w:rPr>
              <w:t>41~60</w:t>
            </w:r>
          </w:p>
        </w:tc>
        <w:tc>
          <w:tcPr>
            <w:tcW w:w="2841" w:type="dxa"/>
            <w:tcBorders>
              <w:top w:val="single" w:sz="4" w:space="0" w:color="000000"/>
              <w:left w:val="single" w:sz="4" w:space="0" w:color="000000"/>
              <w:bottom w:val="single" w:sz="4" w:space="0" w:color="000000"/>
              <w:right w:val="single" w:sz="4" w:space="0" w:color="000000"/>
            </w:tcBorders>
            <w:hideMark/>
          </w:tcPr>
          <w:p w14:paraId="1E9763AF" w14:textId="77777777" w:rsidR="001C2850" w:rsidRDefault="001C2850" w:rsidP="001C2850">
            <w:pPr>
              <w:pStyle w:val="ab"/>
              <w:spacing w:line="360" w:lineRule="auto"/>
              <w:jc w:val="center"/>
              <w:rPr>
                <w:sz w:val="24"/>
                <w:szCs w:val="28"/>
              </w:rPr>
            </w:pPr>
            <w:r>
              <w:rPr>
                <w:rFonts w:hint="eastAsia"/>
                <w:sz w:val="24"/>
                <w:szCs w:val="28"/>
              </w:rPr>
              <w:t>中等</w:t>
            </w:r>
          </w:p>
        </w:tc>
        <w:tc>
          <w:tcPr>
            <w:tcW w:w="2841" w:type="dxa"/>
            <w:tcBorders>
              <w:top w:val="single" w:sz="4" w:space="0" w:color="000000"/>
              <w:left w:val="single" w:sz="4" w:space="0" w:color="000000"/>
              <w:bottom w:val="single" w:sz="4" w:space="0" w:color="000000"/>
              <w:right w:val="single" w:sz="4" w:space="0" w:color="000000"/>
            </w:tcBorders>
            <w:hideMark/>
          </w:tcPr>
          <w:p w14:paraId="30D7F98E" w14:textId="77777777" w:rsidR="001C2850" w:rsidRDefault="001C2850" w:rsidP="001C2850">
            <w:pPr>
              <w:pStyle w:val="ab"/>
              <w:spacing w:line="360" w:lineRule="auto"/>
              <w:jc w:val="center"/>
              <w:rPr>
                <w:sz w:val="24"/>
                <w:szCs w:val="28"/>
              </w:rPr>
            </w:pPr>
            <w:r>
              <w:rPr>
                <w:rFonts w:hint="eastAsia"/>
                <w:sz w:val="24"/>
                <w:szCs w:val="28"/>
              </w:rPr>
              <w:t>黄</w:t>
            </w:r>
          </w:p>
        </w:tc>
      </w:tr>
      <w:tr w:rsidR="001C2850" w14:paraId="192EA331"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1A57EAB4" w14:textId="77777777" w:rsidR="001C2850" w:rsidRDefault="001C2850" w:rsidP="001C2850">
            <w:pPr>
              <w:pStyle w:val="ab"/>
              <w:spacing w:line="360" w:lineRule="auto"/>
              <w:jc w:val="center"/>
              <w:rPr>
                <w:sz w:val="24"/>
                <w:szCs w:val="28"/>
              </w:rPr>
            </w:pPr>
            <w:r>
              <w:rPr>
                <w:sz w:val="24"/>
                <w:szCs w:val="28"/>
              </w:rPr>
              <w:t>61~80</w:t>
            </w:r>
          </w:p>
        </w:tc>
        <w:tc>
          <w:tcPr>
            <w:tcW w:w="2841" w:type="dxa"/>
            <w:tcBorders>
              <w:top w:val="single" w:sz="4" w:space="0" w:color="000000"/>
              <w:left w:val="single" w:sz="4" w:space="0" w:color="000000"/>
              <w:bottom w:val="single" w:sz="4" w:space="0" w:color="000000"/>
              <w:right w:val="single" w:sz="4" w:space="0" w:color="000000"/>
            </w:tcBorders>
            <w:hideMark/>
          </w:tcPr>
          <w:p w14:paraId="39D3C20C" w14:textId="77777777" w:rsidR="001C2850" w:rsidRDefault="001C2850" w:rsidP="001C2850">
            <w:pPr>
              <w:pStyle w:val="ab"/>
              <w:spacing w:line="360" w:lineRule="auto"/>
              <w:jc w:val="center"/>
              <w:rPr>
                <w:sz w:val="24"/>
                <w:szCs w:val="28"/>
              </w:rPr>
            </w:pPr>
            <w:r>
              <w:rPr>
                <w:rFonts w:hint="eastAsia"/>
                <w:sz w:val="24"/>
                <w:szCs w:val="28"/>
              </w:rPr>
              <w:t>高</w:t>
            </w:r>
          </w:p>
        </w:tc>
        <w:tc>
          <w:tcPr>
            <w:tcW w:w="2841" w:type="dxa"/>
            <w:tcBorders>
              <w:top w:val="single" w:sz="4" w:space="0" w:color="000000"/>
              <w:left w:val="single" w:sz="4" w:space="0" w:color="000000"/>
              <w:bottom w:val="single" w:sz="4" w:space="0" w:color="000000"/>
              <w:right w:val="single" w:sz="4" w:space="0" w:color="000000"/>
            </w:tcBorders>
            <w:hideMark/>
          </w:tcPr>
          <w:p w14:paraId="0BC82B37" w14:textId="77777777" w:rsidR="001C2850" w:rsidRDefault="001C2850" w:rsidP="001C2850">
            <w:pPr>
              <w:pStyle w:val="ab"/>
              <w:spacing w:line="360" w:lineRule="auto"/>
              <w:jc w:val="center"/>
              <w:rPr>
                <w:sz w:val="24"/>
                <w:szCs w:val="28"/>
              </w:rPr>
            </w:pPr>
            <w:r>
              <w:rPr>
                <w:rFonts w:hint="eastAsia"/>
                <w:sz w:val="24"/>
                <w:szCs w:val="28"/>
              </w:rPr>
              <w:t>橙</w:t>
            </w:r>
          </w:p>
        </w:tc>
      </w:tr>
      <w:tr w:rsidR="001C2850" w14:paraId="25A9A378" w14:textId="77777777" w:rsidTr="001C2850">
        <w:tc>
          <w:tcPr>
            <w:tcW w:w="2840" w:type="dxa"/>
            <w:tcBorders>
              <w:top w:val="single" w:sz="4" w:space="0" w:color="000000"/>
              <w:left w:val="single" w:sz="4" w:space="0" w:color="000000"/>
              <w:bottom w:val="single" w:sz="4" w:space="0" w:color="000000"/>
              <w:right w:val="single" w:sz="4" w:space="0" w:color="000000"/>
            </w:tcBorders>
            <w:hideMark/>
          </w:tcPr>
          <w:p w14:paraId="2D3749D9" w14:textId="77777777" w:rsidR="001C2850" w:rsidRDefault="001C2850" w:rsidP="001C2850">
            <w:pPr>
              <w:pStyle w:val="ab"/>
              <w:spacing w:line="360" w:lineRule="auto"/>
              <w:jc w:val="center"/>
              <w:rPr>
                <w:sz w:val="24"/>
                <w:szCs w:val="28"/>
              </w:rPr>
            </w:pPr>
            <w:r>
              <w:rPr>
                <w:sz w:val="24"/>
                <w:szCs w:val="28"/>
              </w:rPr>
              <w:t>81~100</w:t>
            </w:r>
          </w:p>
        </w:tc>
        <w:tc>
          <w:tcPr>
            <w:tcW w:w="2841" w:type="dxa"/>
            <w:tcBorders>
              <w:top w:val="single" w:sz="4" w:space="0" w:color="000000"/>
              <w:left w:val="single" w:sz="4" w:space="0" w:color="000000"/>
              <w:bottom w:val="single" w:sz="4" w:space="0" w:color="000000"/>
              <w:right w:val="single" w:sz="4" w:space="0" w:color="000000"/>
            </w:tcBorders>
            <w:hideMark/>
          </w:tcPr>
          <w:p w14:paraId="3D18C267" w14:textId="77777777" w:rsidR="001C2850" w:rsidRDefault="001C2850" w:rsidP="001C2850">
            <w:pPr>
              <w:pStyle w:val="ab"/>
              <w:spacing w:line="360" w:lineRule="auto"/>
              <w:jc w:val="center"/>
              <w:rPr>
                <w:sz w:val="24"/>
                <w:szCs w:val="28"/>
              </w:rPr>
            </w:pPr>
            <w:r>
              <w:rPr>
                <w:rFonts w:hint="eastAsia"/>
                <w:sz w:val="24"/>
                <w:szCs w:val="28"/>
              </w:rPr>
              <w:t>很高</w:t>
            </w:r>
          </w:p>
        </w:tc>
        <w:tc>
          <w:tcPr>
            <w:tcW w:w="2841" w:type="dxa"/>
            <w:tcBorders>
              <w:top w:val="single" w:sz="4" w:space="0" w:color="000000"/>
              <w:left w:val="single" w:sz="4" w:space="0" w:color="000000"/>
              <w:bottom w:val="single" w:sz="4" w:space="0" w:color="000000"/>
              <w:right w:val="single" w:sz="4" w:space="0" w:color="000000"/>
            </w:tcBorders>
            <w:hideMark/>
          </w:tcPr>
          <w:p w14:paraId="79E6C893" w14:textId="77777777" w:rsidR="001C2850" w:rsidRDefault="001C2850" w:rsidP="001C2850">
            <w:pPr>
              <w:pStyle w:val="ab"/>
              <w:spacing w:line="360" w:lineRule="auto"/>
              <w:jc w:val="center"/>
              <w:rPr>
                <w:sz w:val="24"/>
                <w:szCs w:val="28"/>
              </w:rPr>
            </w:pPr>
            <w:r>
              <w:rPr>
                <w:rFonts w:hint="eastAsia"/>
                <w:sz w:val="24"/>
                <w:szCs w:val="28"/>
              </w:rPr>
              <w:t>红</w:t>
            </w:r>
          </w:p>
        </w:tc>
      </w:tr>
    </w:tbl>
    <w:p w14:paraId="77F0F401" w14:textId="77777777" w:rsidR="001C2850" w:rsidRDefault="001C2850" w:rsidP="001C2850">
      <w:pPr>
        <w:pStyle w:val="a9"/>
        <w:spacing w:line="360" w:lineRule="auto"/>
        <w:ind w:firstLine="480"/>
        <w:rPr>
          <w:sz w:val="24"/>
        </w:rPr>
      </w:pPr>
      <w:r>
        <w:rPr>
          <w:rFonts w:hint="eastAsia"/>
          <w:sz w:val="24"/>
        </w:rPr>
        <w:t>注：也可以以颜色码表示以上最终的等级，最高级的风险需要最大的关注。</w:t>
      </w:r>
    </w:p>
    <w:p w14:paraId="71CDBA27" w14:textId="77777777" w:rsidR="001C2850" w:rsidRDefault="001C2850" w:rsidP="001C2850">
      <w:pPr>
        <w:pStyle w:val="6"/>
        <w:rPr>
          <w:rFonts w:hint="eastAsia"/>
        </w:rPr>
      </w:pPr>
      <w:bookmarkStart w:id="70" w:name="_Toc372272976"/>
      <w:r>
        <w:rPr>
          <w:rFonts w:hint="eastAsia"/>
        </w:rPr>
        <w:t>项目风险管理</w:t>
      </w:r>
      <w:bookmarkEnd w:id="28"/>
      <w:bookmarkEnd w:id="70"/>
    </w:p>
    <w:p w14:paraId="7C6B6AAB" w14:textId="77777777" w:rsidR="001C2850" w:rsidRDefault="001C2850" w:rsidP="001C2850">
      <w:pPr>
        <w:pStyle w:val="a6"/>
      </w:pPr>
      <w:r>
        <w:rPr>
          <w:rFonts w:hint="eastAsia"/>
        </w:rPr>
        <w:t>项目管理必须引入风险管理，依据项目的生命管理周期，中软国际的项目风险管理包括风险管理计划、项目风险识别、定性</w:t>
      </w:r>
      <w:r>
        <w:t>/</w:t>
      </w:r>
      <w:r>
        <w:rPr>
          <w:rFonts w:hint="eastAsia"/>
        </w:rPr>
        <w:t>定量分析项目风险、风险应对规划、风险监控五个方面。</w:t>
      </w:r>
    </w:p>
    <w:p w14:paraId="3FE80FBE" w14:textId="743FF376" w:rsidR="001C2850" w:rsidRDefault="001C2850" w:rsidP="001C2850">
      <w:pPr>
        <w:pStyle w:val="a6"/>
      </w:pPr>
      <w:r>
        <w:t>1</w:t>
      </w:r>
      <w:r>
        <w:rPr>
          <w:rFonts w:hint="eastAsia"/>
        </w:rPr>
        <w:t>）风险管理计划。项目团队举行规划会议制定风险管理计划。参会者包括项目经理、利害关系者及其他项目团队成员。风险管理计划包括如下内容：方法论（风险管理可使用的方法、工具及数据来源）；角色与职责；确定在整个项目周期中应纳入项目进度计划的风险管理活动；风险类别定义；风险概率和影响的定义；汇报格式；跟踪。</w:t>
      </w:r>
    </w:p>
    <w:p w14:paraId="44B0BBF9" w14:textId="02D060E1" w:rsidR="001C2850" w:rsidRDefault="001C2850" w:rsidP="001C2850">
      <w:pPr>
        <w:pStyle w:val="a6"/>
      </w:pPr>
      <w:r>
        <w:t>2</w:t>
      </w:r>
      <w:r>
        <w:rPr>
          <w:rFonts w:hint="eastAsia"/>
        </w:rPr>
        <w:t>）项目风险识别。运用一定的方法，判断在项目周期中已面临的和潜在的风险。识别风险可以通过感性认识和经验，更重要的是通过运用会计、统计、项目执行情况和风险记录进行分析、归纳和整理项目风险的识别过程。首先是对该项目人员和物资的构成与分布的全面分析和归类，然后对人和物资所面临的和潜在的风险进行识别和判断。项目风险的识别应该贯穿项目的始终，其方法也因情况而定。</w:t>
      </w:r>
      <w:r>
        <w:br/>
        <w:t>3</w:t>
      </w:r>
      <w:r>
        <w:rPr>
          <w:rFonts w:hint="eastAsia"/>
        </w:rPr>
        <w:t>）项目风险分析。项目风险分析是在识别的基础上，通过对所收集的大量的详细的损失资料加以分析，运用定性和定量的方法，估计和预测风险发生的概率和损失幅度。估测出项目风险的损失概率和损失幅度后，综合考虑这两个因素。衡量该风险对项目的影响程度和处理该风险所付出的成本，确定是否该采取措施，因为项目管理者不可能对项目中的所有风险加以处理。</w:t>
      </w:r>
      <w:r>
        <w:br/>
        <w:t>4</w:t>
      </w:r>
      <w:r>
        <w:rPr>
          <w:rFonts w:hint="eastAsia"/>
        </w:rPr>
        <w:t>）风险应对规划。综合考虑项目的目标、规模和可接受的风险大小，以一定的方法和原则</w:t>
      </w:r>
      <w:r>
        <w:rPr>
          <w:rFonts w:hint="eastAsia"/>
        </w:rPr>
        <w:lastRenderedPageBreak/>
        <w:t>为指导，对项目面临的风险采取适当的措施，以降低风险发生的概率和风险事故发生带来的损失程度。风险应对措施有很多，如避免风险，编制应急计划，转移风险，风险自留等。</w:t>
      </w:r>
    </w:p>
    <w:p w14:paraId="4B281207" w14:textId="77777777" w:rsidR="001C2850" w:rsidRDefault="001C2850" w:rsidP="001C2850">
      <w:pPr>
        <w:pStyle w:val="a6"/>
      </w:pPr>
      <w:r>
        <w:rPr>
          <w:rFonts w:hint="eastAsia"/>
        </w:rPr>
        <w:t>根据以往项目经验，从技术风险、管理风险、环境风险三个方面，列出</w:t>
      </w:r>
      <w:r>
        <w:rPr>
          <w:rFonts w:hAnsi="宋体" w:cs="宋体" w:hint="eastAsia"/>
        </w:rPr>
        <w:t>数字专卖系统</w:t>
      </w:r>
      <w:r>
        <w:rPr>
          <w:rFonts w:hint="eastAsia"/>
        </w:rPr>
        <w:t>实施中可能遇到的风险及规避措施。</w:t>
      </w:r>
    </w:p>
    <w:p w14:paraId="5B4876D3" w14:textId="77777777" w:rsidR="001C2850" w:rsidRDefault="001C2850" w:rsidP="001C2850">
      <w:pPr>
        <w:pStyle w:val="a6"/>
      </w:pPr>
      <w:r>
        <w:t>1</w:t>
      </w:r>
      <w:r>
        <w:rPr>
          <w:rFonts w:hint="eastAsia"/>
        </w:rPr>
        <w:t>）数字专卖系统涉及的业务多、部门多，流程复杂，在实施过程中需要沟通、协调的事项较多，项目沟通协调难度大。</w:t>
      </w:r>
    </w:p>
    <w:p w14:paraId="06036628" w14:textId="77777777" w:rsidR="001C2850" w:rsidRDefault="001C2850" w:rsidP="001C2850">
      <w:pPr>
        <w:pStyle w:val="a6"/>
      </w:pPr>
      <w:r>
        <w:t>2</w:t>
      </w:r>
      <w:r>
        <w:rPr>
          <w:rFonts w:hint="eastAsia"/>
        </w:rPr>
        <w:t>）要把握好项目需求——明确需求边界，细化需求，及时与用户确认，做到需求明确，不返工。</w:t>
      </w:r>
    </w:p>
    <w:p w14:paraId="4B72B66A" w14:textId="620F032A" w:rsidR="001C2850" w:rsidRDefault="001C2850" w:rsidP="001C2850">
      <w:pPr>
        <w:pStyle w:val="a6"/>
      </w:pPr>
      <w:r>
        <w:t>3</w:t>
      </w:r>
      <w:r>
        <w:rPr>
          <w:rFonts w:hint="eastAsia"/>
        </w:rPr>
        <w:t>）合同之外费用的增加</w:t>
      </w:r>
      <w:r>
        <w:t>——</w:t>
      </w:r>
      <w:r>
        <w:rPr>
          <w:rFonts w:hint="eastAsia"/>
        </w:rPr>
        <w:t>严格按照合同</w:t>
      </w:r>
      <w:r w:rsidR="006C6F6D" w:rsidRPr="006C6F6D">
        <w:rPr>
          <w:rFonts w:hint="eastAsia"/>
          <w:b/>
        </w:rPr>
        <w:t>招标文件要求</w:t>
      </w:r>
      <w:r>
        <w:rPr>
          <w:rFonts w:hint="eastAsia"/>
        </w:rPr>
        <w:t>，以系统成功为最终目标，相关单位密切合作，尽量做到以有限的费用办最有效的事。</w:t>
      </w:r>
    </w:p>
    <w:p w14:paraId="0ACCEEF5" w14:textId="77777777" w:rsidR="001C2850" w:rsidRDefault="001C2850" w:rsidP="001C2850">
      <w:pPr>
        <w:pStyle w:val="a6"/>
      </w:pPr>
      <w:r>
        <w:t>4</w:t>
      </w:r>
      <w:r>
        <w:rPr>
          <w:rFonts w:hint="eastAsia"/>
        </w:rPr>
        <w:t>）项目管理风险</w:t>
      </w:r>
      <w:r>
        <w:t>——</w:t>
      </w:r>
      <w:r>
        <w:rPr>
          <w:rFonts w:hint="eastAsia"/>
        </w:rPr>
        <w:t>结合各方在项目管理中的成功经验，将项目管理作为项目成功保证的高度上认识，提出切实可行的项目管理办法，并报请项目领导小组审批。</w:t>
      </w:r>
    </w:p>
    <w:p w14:paraId="72F7D670" w14:textId="77777777" w:rsidR="001C2850" w:rsidRDefault="001C2850" w:rsidP="001C2850">
      <w:pPr>
        <w:pStyle w:val="a6"/>
      </w:pPr>
      <w:r>
        <w:t>5</w:t>
      </w:r>
      <w:r>
        <w:rPr>
          <w:rFonts w:hint="eastAsia"/>
        </w:rPr>
        <w:t>）项目组织机构变动</w:t>
      </w:r>
      <w:r>
        <w:t>——</w:t>
      </w:r>
      <w:r>
        <w:rPr>
          <w:rFonts w:hint="eastAsia"/>
        </w:rPr>
        <w:t>在组建项目小组时，充分考虑项目成员的稳定性。</w:t>
      </w:r>
    </w:p>
    <w:p w14:paraId="28EA71B0" w14:textId="1B85265C" w:rsidR="001C2850" w:rsidRDefault="001C2850" w:rsidP="001C2850">
      <w:pPr>
        <w:pStyle w:val="7"/>
        <w:rPr>
          <w:rFonts w:hint="eastAsia"/>
        </w:rPr>
      </w:pPr>
      <w:bookmarkStart w:id="71" w:name="_Toc185788744"/>
      <w:bookmarkStart w:id="72" w:name="_Toc180263836"/>
      <w:bookmarkStart w:id="73" w:name="_Toc250971664"/>
      <w:bookmarkStart w:id="74" w:name="_Toc251253052"/>
      <w:bookmarkStart w:id="75" w:name="_Toc290734020"/>
      <w:bookmarkStart w:id="76" w:name="_Toc309547581"/>
      <w:bookmarkStart w:id="77" w:name="_Toc372272977"/>
      <w:r>
        <w:rPr>
          <w:rFonts w:hint="eastAsia"/>
        </w:rPr>
        <w:t>项目风险防范</w:t>
      </w:r>
      <w:bookmarkEnd w:id="71"/>
      <w:bookmarkEnd w:id="72"/>
      <w:bookmarkEnd w:id="73"/>
      <w:bookmarkEnd w:id="74"/>
      <w:bookmarkEnd w:id="75"/>
      <w:bookmarkEnd w:id="76"/>
      <w:bookmarkEnd w:id="77"/>
    </w:p>
    <w:p w14:paraId="45182F19" w14:textId="77777777" w:rsidR="001C2850" w:rsidRDefault="001C2850" w:rsidP="001C2850">
      <w:pPr>
        <w:pStyle w:val="7"/>
        <w:rPr>
          <w:rFonts w:hint="eastAsia"/>
        </w:rPr>
      </w:pPr>
      <w:bookmarkStart w:id="78" w:name="_Toc251253053"/>
      <w:bookmarkStart w:id="79" w:name="_Toc372272978"/>
      <w:r>
        <w:rPr>
          <w:rFonts w:hint="eastAsia"/>
        </w:rPr>
        <w:t>从项目的整体规划看本项目工程的项目风险及防范</w:t>
      </w:r>
      <w:bookmarkEnd w:id="78"/>
      <w:bookmarkEnd w:id="79"/>
    </w:p>
    <w:p w14:paraId="4BD3BAD5" w14:textId="0F215B1A" w:rsidR="001C2850" w:rsidRDefault="001C2850" w:rsidP="001C2850">
      <w:pPr>
        <w:pStyle w:val="aa"/>
        <w:adjustRightInd/>
        <w:spacing w:line="360" w:lineRule="auto"/>
        <w:ind w:firstLineChars="200" w:firstLine="480"/>
        <w:rPr>
          <w:sz w:val="24"/>
          <w:szCs w:val="24"/>
        </w:rPr>
      </w:pPr>
      <w:r>
        <w:rPr>
          <w:rFonts w:hint="eastAsia"/>
          <w:sz w:val="24"/>
          <w:szCs w:val="24"/>
        </w:rPr>
        <w:t>从项目的整体规划上看，</w:t>
      </w: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云端资源池建设项目作为一项信息化工程建设项目，其具有以下特点：</w:t>
      </w:r>
    </w:p>
    <w:p w14:paraId="14B354AC" w14:textId="40657044" w:rsidR="001C2850" w:rsidRDefault="001C2850" w:rsidP="001C2850">
      <w:pPr>
        <w:pStyle w:val="aa"/>
        <w:adjustRightInd/>
        <w:spacing w:line="360" w:lineRule="auto"/>
        <w:ind w:firstLineChars="200" w:firstLine="480"/>
        <w:rPr>
          <w:sz w:val="24"/>
          <w:szCs w:val="24"/>
        </w:rPr>
      </w:pPr>
      <w:r>
        <w:rPr>
          <w:sz w:val="24"/>
          <w:szCs w:val="24"/>
        </w:rPr>
        <w:t>1</w:t>
      </w:r>
      <w:r>
        <w:rPr>
          <w:rFonts w:hint="eastAsia"/>
          <w:sz w:val="24"/>
          <w:szCs w:val="24"/>
        </w:rPr>
        <w:t>、</w:t>
      </w: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云端资源池建设项目建设中所涉及的应用系统比较多，建设内容多，涉及产品和设备较多；</w:t>
      </w:r>
    </w:p>
    <w:p w14:paraId="3EC4156A" w14:textId="1838EF74" w:rsidR="001C2850" w:rsidRDefault="001C2850" w:rsidP="001C2850">
      <w:pPr>
        <w:pStyle w:val="aa"/>
        <w:adjustRightInd/>
        <w:spacing w:line="360" w:lineRule="auto"/>
        <w:ind w:firstLineChars="200" w:firstLine="480"/>
        <w:rPr>
          <w:sz w:val="24"/>
          <w:szCs w:val="24"/>
        </w:rPr>
      </w:pPr>
      <w:r>
        <w:rPr>
          <w:sz w:val="24"/>
          <w:szCs w:val="24"/>
        </w:rPr>
        <w:t>2</w:t>
      </w:r>
      <w:r>
        <w:rPr>
          <w:rFonts w:hint="eastAsia"/>
          <w:sz w:val="24"/>
          <w:szCs w:val="24"/>
        </w:rPr>
        <w:t>、</w:t>
      </w: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云端资源池建设项目涉及到多个层面，实施范围广，难度大；</w:t>
      </w:r>
    </w:p>
    <w:p w14:paraId="03764F90" w14:textId="77777777" w:rsidR="001C2850" w:rsidRDefault="001C2850" w:rsidP="001C2850">
      <w:pPr>
        <w:pStyle w:val="aa"/>
        <w:adjustRightInd/>
        <w:spacing w:line="360" w:lineRule="auto"/>
        <w:ind w:firstLineChars="200" w:firstLine="480"/>
        <w:rPr>
          <w:sz w:val="24"/>
          <w:szCs w:val="24"/>
        </w:rPr>
      </w:pPr>
      <w:r>
        <w:rPr>
          <w:rFonts w:hint="eastAsia"/>
          <w:sz w:val="24"/>
          <w:szCs w:val="24"/>
        </w:rPr>
        <w:t>由于项目的这些特点，使项目的建设存在以下风险性：</w:t>
      </w:r>
    </w:p>
    <w:p w14:paraId="6CD708CC" w14:textId="77777777" w:rsidR="001C2850" w:rsidRDefault="001C2850" w:rsidP="001C2850">
      <w:pPr>
        <w:pStyle w:val="a9"/>
        <w:spacing w:line="360" w:lineRule="auto"/>
        <w:ind w:firstLine="482"/>
        <w:rPr>
          <w:b/>
          <w:sz w:val="24"/>
          <w:szCs w:val="24"/>
        </w:rPr>
      </w:pPr>
      <w:r>
        <w:rPr>
          <w:b/>
          <w:sz w:val="24"/>
          <w:szCs w:val="24"/>
        </w:rPr>
        <w:t>1</w:t>
      </w:r>
      <w:r>
        <w:rPr>
          <w:rFonts w:hint="eastAsia"/>
          <w:b/>
          <w:sz w:val="24"/>
          <w:szCs w:val="24"/>
        </w:rPr>
        <w:t>、项目建设的统筹规划、协调实施方面的风险性</w:t>
      </w:r>
    </w:p>
    <w:p w14:paraId="107970E0" w14:textId="77777777" w:rsidR="001C2850" w:rsidRDefault="001C2850" w:rsidP="001C2850">
      <w:pPr>
        <w:pStyle w:val="aa"/>
        <w:adjustRightInd/>
        <w:spacing w:line="360" w:lineRule="auto"/>
        <w:ind w:firstLineChars="200" w:firstLine="480"/>
        <w:rPr>
          <w:sz w:val="24"/>
          <w:szCs w:val="24"/>
        </w:rPr>
      </w:pPr>
      <w:r>
        <w:rPr>
          <w:rFonts w:hint="eastAsia"/>
          <w:sz w:val="24"/>
          <w:szCs w:val="24"/>
        </w:rPr>
        <w:t>这一风险属于项目管理的风险，主要体现为制定合理的项目计划、预算项目成本、资源配置、质量管理及项目管理技术选择等方面，由于项目的规模巨大，建设内容多，建设内容存在交叉与关联，因此使项目的建设不确定性、复杂性并存，带来项目统筹规划、协调实施的风险性。</w:t>
      </w:r>
    </w:p>
    <w:p w14:paraId="1DEBF11B" w14:textId="77777777" w:rsidR="001C2850" w:rsidRDefault="001C2850" w:rsidP="001C2850">
      <w:pPr>
        <w:pStyle w:val="a9"/>
        <w:spacing w:line="360" w:lineRule="auto"/>
        <w:ind w:firstLine="482"/>
        <w:rPr>
          <w:b/>
          <w:sz w:val="24"/>
          <w:szCs w:val="24"/>
        </w:rPr>
      </w:pPr>
      <w:r>
        <w:rPr>
          <w:b/>
          <w:sz w:val="24"/>
          <w:szCs w:val="24"/>
        </w:rPr>
        <w:t>2</w:t>
      </w:r>
      <w:r>
        <w:rPr>
          <w:rFonts w:hint="eastAsia"/>
          <w:b/>
          <w:sz w:val="24"/>
          <w:szCs w:val="24"/>
        </w:rPr>
        <w:t>、项目投资较大而周期相对较短造成的组织、实施方面的风险性</w:t>
      </w:r>
    </w:p>
    <w:p w14:paraId="7F8D6754" w14:textId="77777777" w:rsidR="001C2850" w:rsidRDefault="001C2850" w:rsidP="001C2850">
      <w:pPr>
        <w:pStyle w:val="a9"/>
        <w:spacing w:line="360" w:lineRule="auto"/>
        <w:ind w:firstLine="480"/>
        <w:rPr>
          <w:sz w:val="24"/>
          <w:szCs w:val="24"/>
        </w:rPr>
      </w:pPr>
      <w:r>
        <w:rPr>
          <w:rFonts w:hint="eastAsia"/>
          <w:sz w:val="24"/>
          <w:szCs w:val="24"/>
        </w:rPr>
        <w:lastRenderedPageBreak/>
        <w:t>组织风险中的一个重要的风险就是项目决策时所确定的项目范围、时间与费用之间的矛盾。此系统的应用软件开发任务多、工作量大，而项目工期相对短，这造成了项目范围和时间的矛盾，因此给如何合理地组织人力与资源，制定可行的项目进度计划带来了困难，形成了项目实施的一定风险。</w:t>
      </w:r>
    </w:p>
    <w:p w14:paraId="6EC20F81" w14:textId="77777777" w:rsidR="001C2850" w:rsidRDefault="001C2850" w:rsidP="001C2850">
      <w:pPr>
        <w:pStyle w:val="a9"/>
        <w:spacing w:line="360" w:lineRule="auto"/>
        <w:ind w:firstLine="482"/>
        <w:rPr>
          <w:b/>
          <w:sz w:val="24"/>
          <w:szCs w:val="24"/>
        </w:rPr>
      </w:pPr>
      <w:r>
        <w:rPr>
          <w:b/>
          <w:sz w:val="24"/>
          <w:szCs w:val="24"/>
        </w:rPr>
        <w:t>3</w:t>
      </w:r>
      <w:r>
        <w:rPr>
          <w:rFonts w:hint="eastAsia"/>
          <w:b/>
          <w:sz w:val="24"/>
          <w:szCs w:val="24"/>
        </w:rPr>
        <w:t>、项目受不可控因素影响产生的风险性</w:t>
      </w:r>
    </w:p>
    <w:p w14:paraId="25D9A9CC" w14:textId="77777777" w:rsidR="001C2850" w:rsidRDefault="001C2850" w:rsidP="001C2850">
      <w:pPr>
        <w:pStyle w:val="a9"/>
        <w:spacing w:line="360" w:lineRule="auto"/>
        <w:ind w:firstLine="480"/>
        <w:rPr>
          <w:sz w:val="24"/>
          <w:szCs w:val="24"/>
        </w:rPr>
      </w:pPr>
      <w:r>
        <w:rPr>
          <w:rFonts w:hint="eastAsia"/>
          <w:sz w:val="24"/>
          <w:szCs w:val="24"/>
        </w:rPr>
        <w:t>该项目受不可控因素的影响主要表现在以下几个方面：</w:t>
      </w:r>
    </w:p>
    <w:p w14:paraId="2A53BA2C" w14:textId="1AD941DB" w:rsidR="001C2850" w:rsidRDefault="001C2850">
      <w:pPr>
        <w:pStyle w:val="a9"/>
        <w:numPr>
          <w:ilvl w:val="0"/>
          <w:numId w:val="11"/>
        </w:numPr>
        <w:spacing w:line="360" w:lineRule="auto"/>
        <w:ind w:left="480"/>
        <w:rPr>
          <w:sz w:val="24"/>
          <w:szCs w:val="24"/>
        </w:rPr>
      </w:pP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云端资源池建设项目的建设</w:t>
      </w:r>
      <w:r w:rsidR="006C6F6D" w:rsidRPr="006C6F6D">
        <w:rPr>
          <w:rFonts w:hint="eastAsia"/>
          <w:b/>
          <w:sz w:val="24"/>
          <w:szCs w:val="24"/>
        </w:rPr>
        <w:t>招标文件要求</w:t>
      </w:r>
      <w:r>
        <w:rPr>
          <w:rFonts w:hint="eastAsia"/>
          <w:sz w:val="24"/>
          <w:szCs w:val="24"/>
        </w:rPr>
        <w:t>领导层在深刻理解信息化的本质基础上给于高度关注和重视，提供充分的资源支持。</w:t>
      </w:r>
    </w:p>
    <w:p w14:paraId="6919F343" w14:textId="4095BB0C" w:rsidR="001C2850" w:rsidRDefault="001C2850">
      <w:pPr>
        <w:pStyle w:val="a9"/>
        <w:numPr>
          <w:ilvl w:val="0"/>
          <w:numId w:val="11"/>
        </w:numPr>
        <w:spacing w:line="360" w:lineRule="auto"/>
        <w:ind w:left="480"/>
        <w:rPr>
          <w:sz w:val="24"/>
          <w:szCs w:val="24"/>
        </w:rPr>
      </w:pP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云端资源池建设项目建设是一项投资大、周期短、知识密集、高风险的系统工程，项目管理不到位，缺少足够的经验，不严格按信息化建设规律办事等都有可能加大本项目失败的风险。</w:t>
      </w:r>
    </w:p>
    <w:p w14:paraId="239643E8" w14:textId="77777777" w:rsidR="001C2850" w:rsidRDefault="001C2850">
      <w:pPr>
        <w:pStyle w:val="a9"/>
        <w:numPr>
          <w:ilvl w:val="0"/>
          <w:numId w:val="11"/>
        </w:numPr>
        <w:spacing w:line="360" w:lineRule="auto"/>
        <w:ind w:left="480"/>
        <w:rPr>
          <w:sz w:val="24"/>
          <w:szCs w:val="24"/>
        </w:rPr>
      </w:pPr>
      <w:r>
        <w:rPr>
          <w:rFonts w:hint="eastAsia"/>
          <w:sz w:val="24"/>
          <w:szCs w:val="24"/>
        </w:rPr>
        <w:t>系统建设过程中如若缺乏一种有效的监督管理机制，将致使工程项目在质量、进度、投资等方面都无法得到很好的保证和控制，出了问题就互相推诿，项目中途下马或完工后难以达到预期建设目标。</w:t>
      </w:r>
    </w:p>
    <w:p w14:paraId="56B7EAB4" w14:textId="77777777" w:rsidR="001C2850" w:rsidRDefault="001C2850" w:rsidP="001C2850">
      <w:pPr>
        <w:pStyle w:val="a9"/>
        <w:spacing w:line="360" w:lineRule="auto"/>
        <w:ind w:firstLine="482"/>
        <w:rPr>
          <w:b/>
          <w:sz w:val="24"/>
          <w:szCs w:val="24"/>
        </w:rPr>
      </w:pPr>
      <w:r>
        <w:rPr>
          <w:b/>
          <w:sz w:val="24"/>
          <w:szCs w:val="24"/>
        </w:rPr>
        <w:t>4</w:t>
      </w:r>
      <w:r>
        <w:rPr>
          <w:rFonts w:hint="eastAsia"/>
          <w:b/>
          <w:sz w:val="24"/>
          <w:szCs w:val="24"/>
        </w:rPr>
        <w:t>、项目由于外部因素影响可能存在的风险性</w:t>
      </w:r>
    </w:p>
    <w:p w14:paraId="68B3E9E8" w14:textId="77777777" w:rsidR="001C2850" w:rsidRDefault="001C2850" w:rsidP="001C2850">
      <w:pPr>
        <w:pStyle w:val="aa"/>
        <w:adjustRightInd/>
        <w:spacing w:line="360" w:lineRule="auto"/>
        <w:ind w:firstLineChars="200" w:firstLine="480"/>
        <w:rPr>
          <w:sz w:val="24"/>
          <w:szCs w:val="24"/>
        </w:rPr>
      </w:pPr>
      <w:r>
        <w:rPr>
          <w:rFonts w:hint="eastAsia"/>
          <w:sz w:val="24"/>
          <w:szCs w:val="24"/>
        </w:rPr>
        <w:t>项目外部风险主要是指项目的政治、经济环境的变化，包括与项目相关的规章或标准的变化，组织中机构的变化，如机构合并、自然灾害等。这类风险对项目的影响和项目性质的关系较大。</w:t>
      </w:r>
    </w:p>
    <w:p w14:paraId="59216669" w14:textId="72ADD2DB" w:rsidR="001C2850" w:rsidRDefault="001C2850" w:rsidP="001C2850">
      <w:pPr>
        <w:pStyle w:val="7"/>
        <w:rPr>
          <w:rFonts w:hint="eastAsia"/>
        </w:rPr>
      </w:pPr>
      <w:bookmarkStart w:id="80" w:name="_Toc251253054"/>
      <w:bookmarkStart w:id="81" w:name="_Toc372272979"/>
      <w:r>
        <w:rPr>
          <w:rFonts w:hint="eastAsia"/>
        </w:rPr>
        <w:t>项目风险及防范措施</w:t>
      </w:r>
      <w:bookmarkEnd w:id="80"/>
      <w:bookmarkEnd w:id="81"/>
    </w:p>
    <w:p w14:paraId="7162B105" w14:textId="77777777" w:rsidR="001C2850" w:rsidRDefault="001C2850" w:rsidP="001C2850">
      <w:pPr>
        <w:pStyle w:val="aa"/>
        <w:adjustRightInd/>
        <w:spacing w:line="360" w:lineRule="auto"/>
        <w:ind w:firstLineChars="200" w:firstLine="480"/>
        <w:rPr>
          <w:sz w:val="24"/>
          <w:szCs w:val="24"/>
        </w:rPr>
      </w:pPr>
      <w:r>
        <w:rPr>
          <w:rFonts w:hint="eastAsia"/>
          <w:sz w:val="24"/>
          <w:szCs w:val="24"/>
        </w:rPr>
        <w:t>项目管理贯穿在整个生命周期的每个阶段。项目管理可以从范围管理、时间管理、费用管理、质量管理、人力资源管理、沟通管理、风险管理、采购管理和整体管理等</w:t>
      </w:r>
      <w:r>
        <w:rPr>
          <w:sz w:val="24"/>
          <w:szCs w:val="24"/>
        </w:rPr>
        <w:t>9</w:t>
      </w:r>
      <w:r>
        <w:rPr>
          <w:rFonts w:hint="eastAsia"/>
          <w:sz w:val="24"/>
          <w:szCs w:val="24"/>
        </w:rPr>
        <w:t>个方面考虑，每个阶段、每个过程都要重视这几方面的管理。</w:t>
      </w:r>
    </w:p>
    <w:p w14:paraId="722DF5B7" w14:textId="6B6A2085" w:rsidR="001C2850" w:rsidRDefault="001C2850" w:rsidP="001C2850">
      <w:pPr>
        <w:pStyle w:val="aa"/>
        <w:adjustRightInd/>
        <w:spacing w:line="360" w:lineRule="auto"/>
        <w:ind w:firstLineChars="200" w:firstLine="480"/>
        <w:rPr>
          <w:sz w:val="24"/>
          <w:szCs w:val="24"/>
        </w:rPr>
      </w:pP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阶段中，在初始阶段项目风险发生的概率最高，但是这时候一旦预计的风险发生了，损失却是最小的，比如：在这个阶段如果某种原因突然资金来源断了，以至于不能继续进行项目，不得不终止项目，那么这时候的损失可以在后面的阶段进行弥补。随着项目的进展项目成功的可能性变大，风险发生的概率逐渐变小，风险对项目的损失逐渐变大，快到收尾阶段的时候风险对项目的损失最大，随着收尾阶段的进行风险又逐渐变小。</w:t>
      </w:r>
    </w:p>
    <w:p w14:paraId="683852B5" w14:textId="77777777" w:rsidR="001C2850" w:rsidRDefault="001C2850" w:rsidP="001C2850">
      <w:pPr>
        <w:pStyle w:val="a9"/>
        <w:spacing w:line="360" w:lineRule="auto"/>
        <w:ind w:firstLine="482"/>
        <w:rPr>
          <w:b/>
          <w:sz w:val="24"/>
          <w:szCs w:val="24"/>
        </w:rPr>
      </w:pPr>
      <w:r>
        <w:rPr>
          <w:b/>
          <w:sz w:val="24"/>
          <w:szCs w:val="24"/>
        </w:rPr>
        <w:lastRenderedPageBreak/>
        <w:t>1</w:t>
      </w:r>
      <w:r>
        <w:rPr>
          <w:rFonts w:hint="eastAsia"/>
          <w:b/>
          <w:sz w:val="24"/>
          <w:szCs w:val="24"/>
        </w:rPr>
        <w:t>、风险分类</w:t>
      </w:r>
    </w:p>
    <w:tbl>
      <w:tblPr>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6001"/>
      </w:tblGrid>
      <w:tr w:rsidR="001C2850" w14:paraId="5B2AB8E9" w14:textId="77777777" w:rsidTr="001C2850">
        <w:tc>
          <w:tcPr>
            <w:tcW w:w="2550" w:type="dxa"/>
            <w:tcBorders>
              <w:top w:val="single" w:sz="4" w:space="0" w:color="000000"/>
              <w:left w:val="single" w:sz="4" w:space="0" w:color="000000"/>
              <w:bottom w:val="single" w:sz="4" w:space="0" w:color="000000"/>
              <w:right w:val="single" w:sz="4" w:space="0" w:color="000000"/>
            </w:tcBorders>
            <w:shd w:val="pct20" w:color="auto" w:fill="auto"/>
            <w:hideMark/>
          </w:tcPr>
          <w:p w14:paraId="53C9D2E1" w14:textId="77777777" w:rsidR="001C2850" w:rsidRDefault="001C2850">
            <w:pPr>
              <w:pStyle w:val="ab"/>
              <w:spacing w:line="360" w:lineRule="auto"/>
              <w:ind w:firstLine="482"/>
              <w:jc w:val="center"/>
              <w:rPr>
                <w:b/>
                <w:sz w:val="24"/>
                <w:szCs w:val="28"/>
              </w:rPr>
            </w:pPr>
            <w:r>
              <w:rPr>
                <w:rFonts w:hint="eastAsia"/>
                <w:b/>
                <w:sz w:val="24"/>
                <w:szCs w:val="28"/>
              </w:rPr>
              <w:t>分类</w:t>
            </w:r>
          </w:p>
        </w:tc>
        <w:tc>
          <w:tcPr>
            <w:tcW w:w="6005" w:type="dxa"/>
            <w:tcBorders>
              <w:top w:val="single" w:sz="4" w:space="0" w:color="000000"/>
              <w:left w:val="single" w:sz="4" w:space="0" w:color="000000"/>
              <w:bottom w:val="single" w:sz="4" w:space="0" w:color="000000"/>
              <w:right w:val="single" w:sz="4" w:space="0" w:color="000000"/>
            </w:tcBorders>
            <w:shd w:val="pct20" w:color="auto" w:fill="auto"/>
            <w:hideMark/>
          </w:tcPr>
          <w:p w14:paraId="00ABD583" w14:textId="77777777" w:rsidR="001C2850" w:rsidRDefault="001C2850">
            <w:pPr>
              <w:pStyle w:val="ab"/>
              <w:spacing w:line="360" w:lineRule="auto"/>
              <w:ind w:firstLine="482"/>
              <w:jc w:val="center"/>
              <w:rPr>
                <w:b/>
                <w:sz w:val="24"/>
                <w:szCs w:val="28"/>
              </w:rPr>
            </w:pPr>
            <w:r>
              <w:rPr>
                <w:rFonts w:hint="eastAsia"/>
                <w:b/>
                <w:sz w:val="24"/>
                <w:szCs w:val="28"/>
              </w:rPr>
              <w:t>风险</w:t>
            </w:r>
          </w:p>
        </w:tc>
      </w:tr>
      <w:tr w:rsidR="001C2850" w14:paraId="574EC5D9"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1104B6F0"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范围风险</w:t>
            </w:r>
          </w:p>
        </w:tc>
        <w:tc>
          <w:tcPr>
            <w:tcW w:w="6005" w:type="dxa"/>
            <w:tcBorders>
              <w:top w:val="single" w:sz="4" w:space="0" w:color="000000"/>
              <w:left w:val="single" w:sz="4" w:space="0" w:color="000000"/>
              <w:bottom w:val="single" w:sz="4" w:space="0" w:color="000000"/>
              <w:right w:val="single" w:sz="4" w:space="0" w:color="000000"/>
            </w:tcBorders>
            <w:hideMark/>
          </w:tcPr>
          <w:p w14:paraId="7CEAD087"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与范围变更有关的风险</w:t>
            </w:r>
          </w:p>
        </w:tc>
      </w:tr>
      <w:tr w:rsidR="001C2850" w14:paraId="133D4720"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04090AF3"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质量风险</w:t>
            </w:r>
          </w:p>
        </w:tc>
        <w:tc>
          <w:tcPr>
            <w:tcW w:w="6005" w:type="dxa"/>
            <w:tcBorders>
              <w:top w:val="single" w:sz="4" w:space="0" w:color="000000"/>
              <w:left w:val="single" w:sz="4" w:space="0" w:color="000000"/>
              <w:bottom w:val="single" w:sz="4" w:space="0" w:color="000000"/>
              <w:right w:val="single" w:sz="4" w:space="0" w:color="000000"/>
            </w:tcBorders>
            <w:hideMark/>
          </w:tcPr>
          <w:p w14:paraId="69F5BC14" w14:textId="38A0DA02"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没有按照</w:t>
            </w:r>
            <w:r w:rsidR="006C6F6D" w:rsidRPr="006C6F6D">
              <w:rPr>
                <w:rFonts w:ascii="宋体" w:eastAsia="宋体" w:hAnsi="宋体" w:hint="eastAsia"/>
                <w:b/>
                <w:sz w:val="24"/>
                <w:szCs w:val="28"/>
              </w:rPr>
              <w:t>招标文件要求</w:t>
            </w:r>
            <w:r>
              <w:rPr>
                <w:rFonts w:ascii="宋体" w:eastAsia="宋体" w:hAnsi="宋体" w:hint="eastAsia"/>
                <w:sz w:val="24"/>
                <w:szCs w:val="28"/>
              </w:rPr>
              <w:t>的技术性能和质量水平完成任务</w:t>
            </w:r>
          </w:p>
        </w:tc>
      </w:tr>
      <w:tr w:rsidR="001C2850" w14:paraId="2DF3492F"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30DE53C5"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进度风险</w:t>
            </w:r>
          </w:p>
        </w:tc>
        <w:tc>
          <w:tcPr>
            <w:tcW w:w="6005" w:type="dxa"/>
            <w:tcBorders>
              <w:top w:val="single" w:sz="4" w:space="0" w:color="000000"/>
              <w:left w:val="single" w:sz="4" w:space="0" w:color="000000"/>
              <w:bottom w:val="single" w:sz="4" w:space="0" w:color="000000"/>
              <w:right w:val="single" w:sz="4" w:space="0" w:color="000000"/>
            </w:tcBorders>
            <w:hideMark/>
          </w:tcPr>
          <w:p w14:paraId="5C40686F"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没有在预算的时间范围内完成任务</w:t>
            </w:r>
          </w:p>
        </w:tc>
      </w:tr>
      <w:tr w:rsidR="001C2850" w14:paraId="4CC55E01"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694B6843"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成本风险</w:t>
            </w:r>
          </w:p>
        </w:tc>
        <w:tc>
          <w:tcPr>
            <w:tcW w:w="6005" w:type="dxa"/>
            <w:tcBorders>
              <w:top w:val="single" w:sz="4" w:space="0" w:color="000000"/>
              <w:left w:val="single" w:sz="4" w:space="0" w:color="000000"/>
              <w:bottom w:val="single" w:sz="4" w:space="0" w:color="000000"/>
              <w:right w:val="single" w:sz="4" w:space="0" w:color="000000"/>
            </w:tcBorders>
            <w:hideMark/>
          </w:tcPr>
          <w:p w14:paraId="0CEBCA87"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没有在预算的成本范围内完成任务</w:t>
            </w:r>
          </w:p>
        </w:tc>
      </w:tr>
      <w:tr w:rsidR="001C2850" w14:paraId="68371AB2"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4AB438B6"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技术风险</w:t>
            </w:r>
          </w:p>
        </w:tc>
        <w:tc>
          <w:tcPr>
            <w:tcW w:w="6005" w:type="dxa"/>
            <w:tcBorders>
              <w:top w:val="single" w:sz="4" w:space="0" w:color="000000"/>
              <w:left w:val="single" w:sz="4" w:space="0" w:color="000000"/>
              <w:bottom w:val="single" w:sz="4" w:space="0" w:color="000000"/>
              <w:right w:val="single" w:sz="4" w:space="0" w:color="000000"/>
            </w:tcBorders>
            <w:hideMark/>
          </w:tcPr>
          <w:p w14:paraId="7EF06A9E"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技术变化、对技术的掌握不足以完成本项目</w:t>
            </w:r>
          </w:p>
        </w:tc>
      </w:tr>
      <w:tr w:rsidR="001C2850" w14:paraId="58341109"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2507FCB3"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法律风险</w:t>
            </w:r>
          </w:p>
        </w:tc>
        <w:tc>
          <w:tcPr>
            <w:tcW w:w="6005" w:type="dxa"/>
            <w:tcBorders>
              <w:top w:val="single" w:sz="4" w:space="0" w:color="000000"/>
              <w:left w:val="single" w:sz="4" w:space="0" w:color="000000"/>
              <w:bottom w:val="single" w:sz="4" w:space="0" w:color="000000"/>
              <w:right w:val="single" w:sz="4" w:space="0" w:color="000000"/>
            </w:tcBorders>
            <w:hideMark/>
          </w:tcPr>
          <w:p w14:paraId="3E76374B"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许可权、专利、合同失效、诉讼、不可抗力</w:t>
            </w:r>
          </w:p>
        </w:tc>
      </w:tr>
      <w:tr w:rsidR="001C2850" w14:paraId="7F486330"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607E6979"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外部可预测风险</w:t>
            </w:r>
          </w:p>
        </w:tc>
        <w:tc>
          <w:tcPr>
            <w:tcW w:w="6005" w:type="dxa"/>
            <w:tcBorders>
              <w:top w:val="single" w:sz="4" w:space="0" w:color="000000"/>
              <w:left w:val="single" w:sz="4" w:space="0" w:color="000000"/>
              <w:bottom w:val="single" w:sz="4" w:space="0" w:color="000000"/>
              <w:right w:val="single" w:sz="4" w:space="0" w:color="000000"/>
            </w:tcBorders>
            <w:hideMark/>
          </w:tcPr>
          <w:p w14:paraId="6CA133AD"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市场风险（开发原材料可利用性、需求）、日常运作（维修需求）、环境影响、社会影响、货币变动、通货膨胀、税收</w:t>
            </w:r>
          </w:p>
        </w:tc>
      </w:tr>
      <w:tr w:rsidR="001C2850" w14:paraId="2675DDE3"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171225A5"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外部可预测风险</w:t>
            </w:r>
          </w:p>
        </w:tc>
        <w:tc>
          <w:tcPr>
            <w:tcW w:w="6005" w:type="dxa"/>
            <w:tcBorders>
              <w:top w:val="single" w:sz="4" w:space="0" w:color="000000"/>
              <w:left w:val="single" w:sz="4" w:space="0" w:color="000000"/>
              <w:bottom w:val="single" w:sz="4" w:space="0" w:color="000000"/>
              <w:right w:val="single" w:sz="4" w:space="0" w:color="000000"/>
            </w:tcBorders>
            <w:hideMark/>
          </w:tcPr>
          <w:p w14:paraId="2E3AF280"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规章（不可预测的政府干预）、自然灾害</w:t>
            </w:r>
          </w:p>
        </w:tc>
      </w:tr>
      <w:tr w:rsidR="001C2850" w14:paraId="092267F3" w14:textId="77777777" w:rsidTr="001C2850">
        <w:tc>
          <w:tcPr>
            <w:tcW w:w="2550" w:type="dxa"/>
            <w:tcBorders>
              <w:top w:val="single" w:sz="4" w:space="0" w:color="000000"/>
              <w:left w:val="single" w:sz="4" w:space="0" w:color="000000"/>
              <w:bottom w:val="single" w:sz="4" w:space="0" w:color="000000"/>
              <w:right w:val="single" w:sz="4" w:space="0" w:color="000000"/>
            </w:tcBorders>
            <w:hideMark/>
          </w:tcPr>
          <w:p w14:paraId="12CE0896"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内部非技术风险</w:t>
            </w:r>
          </w:p>
        </w:tc>
        <w:tc>
          <w:tcPr>
            <w:tcW w:w="6005" w:type="dxa"/>
            <w:tcBorders>
              <w:top w:val="single" w:sz="4" w:space="0" w:color="000000"/>
              <w:left w:val="single" w:sz="4" w:space="0" w:color="000000"/>
              <w:bottom w:val="single" w:sz="4" w:space="0" w:color="000000"/>
              <w:right w:val="single" w:sz="4" w:space="0" w:color="000000"/>
            </w:tcBorders>
            <w:hideMark/>
          </w:tcPr>
          <w:p w14:paraId="052C2209"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战略风险（工程项目的经营战略发生了变化）、管理风险（工程管理人员是否成熟等）</w:t>
            </w:r>
          </w:p>
        </w:tc>
      </w:tr>
    </w:tbl>
    <w:p w14:paraId="07FA7CFE" w14:textId="77777777" w:rsidR="001C2850" w:rsidRDefault="001C2850" w:rsidP="001C2850">
      <w:pPr>
        <w:pStyle w:val="a9"/>
        <w:ind w:firstLine="482"/>
        <w:rPr>
          <w:b/>
        </w:rPr>
      </w:pPr>
      <w:r>
        <w:rPr>
          <w:b/>
        </w:rPr>
        <w:t>2</w:t>
      </w:r>
      <w:r>
        <w:rPr>
          <w:rFonts w:hint="eastAsia"/>
          <w:b/>
        </w:rPr>
        <w:t>、风险识别</w:t>
      </w:r>
    </w:p>
    <w:tbl>
      <w:tblPr>
        <w:tblW w:w="8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8"/>
        <w:gridCol w:w="6522"/>
      </w:tblGrid>
      <w:tr w:rsidR="001C2850" w14:paraId="762E7F88" w14:textId="77777777" w:rsidTr="001C2850">
        <w:tc>
          <w:tcPr>
            <w:tcW w:w="2237" w:type="dxa"/>
            <w:tcBorders>
              <w:top w:val="single" w:sz="4" w:space="0" w:color="000000"/>
              <w:left w:val="single" w:sz="4" w:space="0" w:color="000000"/>
              <w:bottom w:val="single" w:sz="4" w:space="0" w:color="000000"/>
              <w:right w:val="single" w:sz="4" w:space="0" w:color="000000"/>
            </w:tcBorders>
            <w:shd w:val="pct20" w:color="auto" w:fill="auto"/>
            <w:hideMark/>
          </w:tcPr>
          <w:p w14:paraId="2F99DA17" w14:textId="77777777" w:rsidR="001C2850" w:rsidRDefault="001C2850">
            <w:pPr>
              <w:pStyle w:val="ab"/>
              <w:spacing w:line="360" w:lineRule="auto"/>
              <w:ind w:firstLine="482"/>
              <w:jc w:val="center"/>
              <w:rPr>
                <w:b/>
                <w:sz w:val="24"/>
                <w:szCs w:val="28"/>
              </w:rPr>
            </w:pPr>
            <w:r>
              <w:rPr>
                <w:rFonts w:hint="eastAsia"/>
                <w:b/>
                <w:sz w:val="24"/>
                <w:szCs w:val="28"/>
              </w:rPr>
              <w:t>项目阶段</w:t>
            </w:r>
          </w:p>
        </w:tc>
        <w:tc>
          <w:tcPr>
            <w:tcW w:w="6521" w:type="dxa"/>
            <w:tcBorders>
              <w:top w:val="single" w:sz="4" w:space="0" w:color="000000"/>
              <w:left w:val="single" w:sz="4" w:space="0" w:color="000000"/>
              <w:bottom w:val="single" w:sz="4" w:space="0" w:color="000000"/>
              <w:right w:val="single" w:sz="4" w:space="0" w:color="000000"/>
            </w:tcBorders>
            <w:shd w:val="pct20" w:color="auto" w:fill="auto"/>
            <w:hideMark/>
          </w:tcPr>
          <w:p w14:paraId="3C507893" w14:textId="77777777" w:rsidR="001C2850" w:rsidRDefault="001C2850">
            <w:pPr>
              <w:pStyle w:val="ab"/>
              <w:spacing w:line="360" w:lineRule="auto"/>
              <w:ind w:left="-110" w:firstLine="482"/>
              <w:jc w:val="center"/>
              <w:rPr>
                <w:b/>
                <w:sz w:val="24"/>
                <w:szCs w:val="28"/>
              </w:rPr>
            </w:pPr>
            <w:r>
              <w:rPr>
                <w:rFonts w:hint="eastAsia"/>
                <w:b/>
                <w:sz w:val="24"/>
                <w:szCs w:val="28"/>
              </w:rPr>
              <w:t>风险</w:t>
            </w:r>
          </w:p>
        </w:tc>
      </w:tr>
      <w:tr w:rsidR="001C2850" w14:paraId="3D2C4473" w14:textId="77777777" w:rsidTr="001C2850">
        <w:tc>
          <w:tcPr>
            <w:tcW w:w="2237" w:type="dxa"/>
            <w:tcBorders>
              <w:top w:val="single" w:sz="4" w:space="0" w:color="000000"/>
              <w:left w:val="single" w:sz="4" w:space="0" w:color="000000"/>
              <w:bottom w:val="single" w:sz="4" w:space="0" w:color="000000"/>
              <w:right w:val="single" w:sz="4" w:space="0" w:color="000000"/>
            </w:tcBorders>
            <w:hideMark/>
          </w:tcPr>
          <w:p w14:paraId="70DF8654"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需求和设计阶段</w:t>
            </w:r>
          </w:p>
        </w:tc>
        <w:tc>
          <w:tcPr>
            <w:tcW w:w="6521" w:type="dxa"/>
            <w:tcBorders>
              <w:top w:val="single" w:sz="4" w:space="0" w:color="000000"/>
              <w:left w:val="single" w:sz="4" w:space="0" w:color="000000"/>
              <w:bottom w:val="single" w:sz="4" w:space="0" w:color="000000"/>
              <w:right w:val="single" w:sz="4" w:space="0" w:color="000000"/>
            </w:tcBorders>
            <w:hideMark/>
          </w:tcPr>
          <w:p w14:paraId="4A314385"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1、项目宏观目标不清</w:t>
            </w:r>
          </w:p>
          <w:p w14:paraId="5EF81AA8"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2、项目范围不明确（范围太大太小都不可以）</w:t>
            </w:r>
          </w:p>
          <w:p w14:paraId="6F239AF6"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3、用户参与少或和用户沟通少</w:t>
            </w:r>
          </w:p>
          <w:p w14:paraId="43FCB9D7"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4、对业务了解不够</w:t>
            </w:r>
          </w:p>
          <w:p w14:paraId="51724B4A"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5、对需求了解不够</w:t>
            </w:r>
          </w:p>
          <w:p w14:paraId="28BF3C16"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6、没有进行可行性研究</w:t>
            </w:r>
          </w:p>
          <w:p w14:paraId="4B70E88A"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7、项目具体目标不清</w:t>
            </w:r>
          </w:p>
          <w:p w14:paraId="4595DA16"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8、项目范围不够精确</w:t>
            </w:r>
          </w:p>
          <w:p w14:paraId="20DC63AC"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9、用户参与不够</w:t>
            </w:r>
          </w:p>
          <w:p w14:paraId="41E8839E"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10、本项目的规划不够准确</w:t>
            </w:r>
          </w:p>
          <w:p w14:paraId="100E1ED7"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11、项目队伍缺乏经验，如缺乏有经验的项目经理</w:t>
            </w:r>
          </w:p>
          <w:p w14:paraId="08C1DACD"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lastRenderedPageBreak/>
              <w:t>12、没有变更控制计划，以至于变更没有依据，该变更的不变，不该变的也变，这样得来的设计势必会失败或者偏离用户需求</w:t>
            </w:r>
          </w:p>
          <w:p w14:paraId="0FF3A2E6"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13、仓促计划，可能带来进度方面的风险</w:t>
            </w:r>
          </w:p>
          <w:p w14:paraId="10BCFC6B"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14、漏项，由于设计人员的疏忽某个功能没有考虑进去</w:t>
            </w:r>
          </w:p>
        </w:tc>
      </w:tr>
      <w:tr w:rsidR="001C2850" w14:paraId="19E35E06" w14:textId="77777777" w:rsidTr="001C2850">
        <w:tc>
          <w:tcPr>
            <w:tcW w:w="2237" w:type="dxa"/>
            <w:tcBorders>
              <w:top w:val="single" w:sz="4" w:space="0" w:color="000000"/>
              <w:left w:val="single" w:sz="4" w:space="0" w:color="000000"/>
              <w:bottom w:val="single" w:sz="4" w:space="0" w:color="000000"/>
              <w:right w:val="single" w:sz="4" w:space="0" w:color="000000"/>
            </w:tcBorders>
            <w:hideMark/>
          </w:tcPr>
          <w:p w14:paraId="664AD6BA"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lastRenderedPageBreak/>
              <w:t>开发与实施阶段</w:t>
            </w:r>
          </w:p>
        </w:tc>
        <w:tc>
          <w:tcPr>
            <w:tcW w:w="6521" w:type="dxa"/>
            <w:tcBorders>
              <w:top w:val="single" w:sz="4" w:space="0" w:color="000000"/>
              <w:left w:val="single" w:sz="4" w:space="0" w:color="000000"/>
              <w:bottom w:val="single" w:sz="4" w:space="0" w:color="000000"/>
              <w:right w:val="single" w:sz="4" w:space="0" w:color="000000"/>
            </w:tcBorders>
            <w:hideMark/>
          </w:tcPr>
          <w:p w14:paraId="601C8D70"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1、设备环境没有具备好</w:t>
            </w:r>
          </w:p>
          <w:p w14:paraId="426AE2CB"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2、计划错误带来的实施困难</w:t>
            </w:r>
          </w:p>
          <w:p w14:paraId="198B6F2C"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3、项目团队实施能力差</w:t>
            </w:r>
          </w:p>
          <w:p w14:paraId="1534B444"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4、项目范围改变（突然要增加或修改一些功能，需要重新考虑设计）</w:t>
            </w:r>
          </w:p>
          <w:p w14:paraId="21F460E8" w14:textId="3BE7F118"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5、项目进度改变（</w:t>
            </w:r>
            <w:r w:rsidR="006C6F6D" w:rsidRPr="006C6F6D">
              <w:rPr>
                <w:rFonts w:ascii="宋体" w:eastAsia="宋体" w:hAnsi="宋体" w:hint="eastAsia"/>
                <w:b/>
                <w:sz w:val="24"/>
                <w:szCs w:val="28"/>
              </w:rPr>
              <w:t>招标文件要求</w:t>
            </w:r>
            <w:r>
              <w:rPr>
                <w:rFonts w:ascii="宋体" w:eastAsia="宋体" w:hAnsi="宋体" w:hint="eastAsia"/>
                <w:sz w:val="24"/>
                <w:szCs w:val="28"/>
              </w:rPr>
              <w:t>提前完成任务等）</w:t>
            </w:r>
          </w:p>
          <w:p w14:paraId="373673B5"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6、人员离开，在一个项目内软件开发工作有一定的连续性，需要移交和交接，有时人员离开对项目的影响会很大</w:t>
            </w:r>
          </w:p>
          <w:p w14:paraId="3F01AEE9"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7、开发团队内部沟通不够，导致程序员对系统设计的理解上有偏差</w:t>
            </w:r>
          </w:p>
          <w:p w14:paraId="3E9FF769"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8、没有有效的备份方案</w:t>
            </w:r>
          </w:p>
        </w:tc>
      </w:tr>
      <w:tr w:rsidR="001C2850" w14:paraId="7E3B1EB2" w14:textId="77777777" w:rsidTr="001C2850">
        <w:tc>
          <w:tcPr>
            <w:tcW w:w="2237" w:type="dxa"/>
            <w:tcBorders>
              <w:top w:val="single" w:sz="4" w:space="0" w:color="000000"/>
              <w:left w:val="single" w:sz="4" w:space="0" w:color="000000"/>
              <w:bottom w:val="single" w:sz="4" w:space="0" w:color="000000"/>
              <w:right w:val="single" w:sz="4" w:space="0" w:color="000000"/>
            </w:tcBorders>
            <w:hideMark/>
          </w:tcPr>
          <w:p w14:paraId="429ACEB7"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验收阶段</w:t>
            </w:r>
          </w:p>
        </w:tc>
        <w:tc>
          <w:tcPr>
            <w:tcW w:w="6521" w:type="dxa"/>
            <w:tcBorders>
              <w:top w:val="single" w:sz="4" w:space="0" w:color="000000"/>
              <w:left w:val="single" w:sz="4" w:space="0" w:color="000000"/>
              <w:bottom w:val="single" w:sz="4" w:space="0" w:color="000000"/>
              <w:right w:val="single" w:sz="4" w:space="0" w:color="000000"/>
            </w:tcBorders>
            <w:hideMark/>
          </w:tcPr>
          <w:p w14:paraId="47F927B5"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1、没有切实可行的验收计划</w:t>
            </w:r>
          </w:p>
          <w:p w14:paraId="3C7533CE"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2、验收人员经验不足</w:t>
            </w:r>
          </w:p>
          <w:p w14:paraId="775132A2"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3、质量差</w:t>
            </w:r>
          </w:p>
          <w:p w14:paraId="01107807"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4、客户不满意</w:t>
            </w:r>
          </w:p>
          <w:p w14:paraId="6FD94BBA"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5、设备没有按时到货，软件无法应用</w:t>
            </w:r>
          </w:p>
        </w:tc>
      </w:tr>
      <w:tr w:rsidR="001C2850" w14:paraId="0CF23640" w14:textId="77777777" w:rsidTr="001C2850">
        <w:tc>
          <w:tcPr>
            <w:tcW w:w="2237" w:type="dxa"/>
            <w:tcBorders>
              <w:top w:val="single" w:sz="4" w:space="0" w:color="000000"/>
              <w:left w:val="single" w:sz="4" w:space="0" w:color="000000"/>
              <w:bottom w:val="single" w:sz="4" w:space="0" w:color="000000"/>
              <w:right w:val="single" w:sz="4" w:space="0" w:color="000000"/>
            </w:tcBorders>
            <w:hideMark/>
          </w:tcPr>
          <w:p w14:paraId="3D158F45" w14:textId="77777777" w:rsidR="001C2850" w:rsidRDefault="001C2850">
            <w:pPr>
              <w:pStyle w:val="ab"/>
              <w:spacing w:line="360" w:lineRule="auto"/>
              <w:rPr>
                <w:rFonts w:ascii="宋体" w:eastAsia="宋体" w:hAnsi="宋体" w:hint="eastAsia"/>
                <w:sz w:val="24"/>
                <w:szCs w:val="28"/>
              </w:rPr>
            </w:pPr>
            <w:r>
              <w:rPr>
                <w:rFonts w:ascii="宋体" w:eastAsia="宋体" w:hAnsi="宋体" w:hint="eastAsia"/>
                <w:sz w:val="24"/>
                <w:szCs w:val="28"/>
              </w:rPr>
              <w:t>维护阶段</w:t>
            </w:r>
          </w:p>
        </w:tc>
        <w:tc>
          <w:tcPr>
            <w:tcW w:w="6521" w:type="dxa"/>
            <w:tcBorders>
              <w:top w:val="single" w:sz="4" w:space="0" w:color="000000"/>
              <w:left w:val="single" w:sz="4" w:space="0" w:color="000000"/>
              <w:bottom w:val="single" w:sz="4" w:space="0" w:color="000000"/>
              <w:right w:val="single" w:sz="4" w:space="0" w:color="000000"/>
            </w:tcBorders>
            <w:hideMark/>
          </w:tcPr>
          <w:p w14:paraId="7F262699"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1、系统运行不稳定</w:t>
            </w:r>
          </w:p>
          <w:p w14:paraId="75A3C84B"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2、客户人事变化</w:t>
            </w:r>
          </w:p>
          <w:p w14:paraId="2747EA3F" w14:textId="77777777" w:rsidR="001C2850" w:rsidRDefault="001C2850">
            <w:pPr>
              <w:pStyle w:val="ab"/>
              <w:spacing w:line="360" w:lineRule="auto"/>
              <w:ind w:left="-110"/>
              <w:rPr>
                <w:rFonts w:ascii="宋体" w:eastAsia="宋体" w:hAnsi="宋体" w:hint="eastAsia"/>
                <w:sz w:val="24"/>
                <w:szCs w:val="28"/>
              </w:rPr>
            </w:pPr>
            <w:r>
              <w:rPr>
                <w:rFonts w:ascii="宋体" w:eastAsia="宋体" w:hAnsi="宋体" w:hint="eastAsia"/>
                <w:sz w:val="24"/>
                <w:szCs w:val="28"/>
              </w:rPr>
              <w:t>3、客户业务变化导致付款出现问题</w:t>
            </w:r>
          </w:p>
        </w:tc>
      </w:tr>
    </w:tbl>
    <w:p w14:paraId="4317F40A" w14:textId="77777777" w:rsidR="001C2850" w:rsidRDefault="001C2850" w:rsidP="001C2850">
      <w:pPr>
        <w:pStyle w:val="a9"/>
        <w:spacing w:line="360" w:lineRule="auto"/>
        <w:ind w:firstLine="482"/>
        <w:rPr>
          <w:b/>
          <w:sz w:val="24"/>
          <w:szCs w:val="24"/>
        </w:rPr>
      </w:pPr>
      <w:r>
        <w:rPr>
          <w:b/>
          <w:sz w:val="24"/>
          <w:szCs w:val="24"/>
        </w:rPr>
        <w:t>3</w:t>
      </w:r>
      <w:r>
        <w:rPr>
          <w:rFonts w:hint="eastAsia"/>
          <w:b/>
          <w:sz w:val="24"/>
          <w:szCs w:val="24"/>
        </w:rPr>
        <w:t>．风险分析</w:t>
      </w:r>
    </w:p>
    <w:p w14:paraId="08FA05B8" w14:textId="77777777" w:rsidR="001C2850" w:rsidRDefault="001C2850" w:rsidP="001C2850">
      <w:pPr>
        <w:pStyle w:val="a9"/>
        <w:spacing w:line="360" w:lineRule="auto"/>
        <w:ind w:firstLine="480"/>
        <w:rPr>
          <w:sz w:val="24"/>
          <w:szCs w:val="24"/>
        </w:rPr>
      </w:pPr>
      <w:r>
        <w:rPr>
          <w:rFonts w:hint="eastAsia"/>
          <w:sz w:val="24"/>
          <w:szCs w:val="24"/>
        </w:rPr>
        <w:t>风险分析即对以上识别出来的风险事件做风险影响分析。</w:t>
      </w:r>
    </w:p>
    <w:p w14:paraId="7ABA0E66" w14:textId="77777777" w:rsidR="001C2850" w:rsidRDefault="001C2850" w:rsidP="001C2850">
      <w:pPr>
        <w:pStyle w:val="a9"/>
        <w:spacing w:line="360" w:lineRule="auto"/>
        <w:ind w:firstLine="480"/>
        <w:rPr>
          <w:sz w:val="24"/>
          <w:szCs w:val="24"/>
        </w:rPr>
      </w:pPr>
      <w:r>
        <w:rPr>
          <w:rFonts w:hint="eastAsia"/>
          <w:sz w:val="24"/>
          <w:szCs w:val="24"/>
        </w:rPr>
        <w:t>和风险相关的有四个因素：</w:t>
      </w:r>
    </w:p>
    <w:p w14:paraId="4EC765DA" w14:textId="77777777" w:rsidR="001C2850" w:rsidRDefault="001C2850" w:rsidP="001C2850">
      <w:pPr>
        <w:pStyle w:val="a9"/>
        <w:spacing w:line="360" w:lineRule="auto"/>
        <w:ind w:firstLine="480"/>
        <w:rPr>
          <w:sz w:val="24"/>
          <w:szCs w:val="24"/>
        </w:rPr>
      </w:pPr>
      <w:r>
        <w:rPr>
          <w:rFonts w:hint="eastAsia"/>
          <w:sz w:val="24"/>
          <w:szCs w:val="24"/>
        </w:rPr>
        <w:t>风险事件，破坏或影响项目的事件</w:t>
      </w:r>
    </w:p>
    <w:p w14:paraId="529B2D58" w14:textId="77777777" w:rsidR="001C2850" w:rsidRDefault="001C2850" w:rsidP="001C2850">
      <w:pPr>
        <w:pStyle w:val="a9"/>
        <w:spacing w:line="360" w:lineRule="auto"/>
        <w:ind w:firstLine="480"/>
        <w:rPr>
          <w:sz w:val="24"/>
          <w:szCs w:val="24"/>
        </w:rPr>
      </w:pPr>
      <w:r>
        <w:rPr>
          <w:rFonts w:hint="eastAsia"/>
          <w:sz w:val="24"/>
          <w:szCs w:val="24"/>
        </w:rPr>
        <w:t>风险概率（</w:t>
      </w:r>
      <w:r>
        <w:rPr>
          <w:sz w:val="24"/>
          <w:szCs w:val="24"/>
        </w:rPr>
        <w:t>%</w:t>
      </w:r>
      <w:r>
        <w:rPr>
          <w:rFonts w:hint="eastAsia"/>
          <w:sz w:val="24"/>
          <w:szCs w:val="24"/>
        </w:rPr>
        <w:t>），事件发生的可能性</w:t>
      </w:r>
    </w:p>
    <w:p w14:paraId="262757F2" w14:textId="0DB0B33E" w:rsidR="001C2850" w:rsidRDefault="001C2850" w:rsidP="001C2850">
      <w:pPr>
        <w:pStyle w:val="a9"/>
        <w:spacing w:line="360" w:lineRule="auto"/>
        <w:ind w:firstLine="480"/>
        <w:rPr>
          <w:sz w:val="24"/>
          <w:szCs w:val="24"/>
        </w:rPr>
      </w:pPr>
      <w:r>
        <w:rPr>
          <w:rFonts w:hint="eastAsia"/>
          <w:sz w:val="24"/>
          <w:szCs w:val="24"/>
        </w:rPr>
        <w:lastRenderedPageBreak/>
        <w:t>风险得失量（金额），说明可能造成的损失</w:t>
      </w:r>
    </w:p>
    <w:p w14:paraId="4E65A39F" w14:textId="45C92E43" w:rsidR="001C2850" w:rsidRDefault="001C2850" w:rsidP="001C2850">
      <w:pPr>
        <w:pStyle w:val="a9"/>
        <w:spacing w:line="360" w:lineRule="auto"/>
        <w:ind w:firstLine="480"/>
        <w:rPr>
          <w:sz w:val="24"/>
          <w:szCs w:val="24"/>
        </w:rPr>
      </w:pPr>
      <w:r>
        <w:rPr>
          <w:rFonts w:hint="eastAsia"/>
          <w:sz w:val="24"/>
          <w:szCs w:val="24"/>
        </w:rPr>
        <w:t>风险影响（金额），等于风险概率×风险得失量</w:t>
      </w:r>
    </w:p>
    <w:p w14:paraId="2C42FA42" w14:textId="77777777" w:rsidR="001C2850" w:rsidRDefault="001C2850" w:rsidP="001C2850">
      <w:pPr>
        <w:pStyle w:val="a9"/>
        <w:spacing w:line="360" w:lineRule="auto"/>
        <w:ind w:firstLine="480"/>
        <w:rPr>
          <w:rFonts w:ascii="仿宋_GB2312" w:eastAsia="仿宋_GB2312"/>
          <w:sz w:val="24"/>
          <w:szCs w:val="24"/>
        </w:rPr>
      </w:pPr>
      <w:r>
        <w:rPr>
          <w:rFonts w:hint="eastAsia"/>
          <w:sz w:val="24"/>
          <w:szCs w:val="24"/>
        </w:rPr>
        <w:t>通过对风险及风险的相互作用的估算来评价项目可能结果的范围，从成本、进度及性能三个方面对风险进行评价，确定上述哪些风险事件或来源可以避免，哪些可以忽略不考虑（包括可以承受），哪些要采取应对措施。</w:t>
      </w:r>
    </w:p>
    <w:p w14:paraId="2087743F" w14:textId="5200917D" w:rsidR="001C2850" w:rsidRDefault="001C2850" w:rsidP="001C2850">
      <w:pPr>
        <w:pStyle w:val="a9"/>
        <w:spacing w:line="360" w:lineRule="auto"/>
        <w:ind w:firstLine="482"/>
        <w:rPr>
          <w:b/>
          <w:sz w:val="24"/>
          <w:szCs w:val="24"/>
        </w:rPr>
      </w:pPr>
      <w:r>
        <w:rPr>
          <w:b/>
          <w:sz w:val="24"/>
          <w:szCs w:val="24"/>
        </w:rPr>
        <w:t>4</w:t>
      </w:r>
      <w:r>
        <w:rPr>
          <w:rFonts w:hint="eastAsia"/>
          <w:b/>
          <w:sz w:val="24"/>
          <w:szCs w:val="24"/>
        </w:rPr>
        <w:t>．风险应对防范</w:t>
      </w:r>
    </w:p>
    <w:p w14:paraId="07834631" w14:textId="77777777" w:rsidR="001C2850" w:rsidRDefault="001C2850">
      <w:pPr>
        <w:pStyle w:val="a9"/>
        <w:numPr>
          <w:ilvl w:val="0"/>
          <w:numId w:val="12"/>
        </w:numPr>
        <w:spacing w:line="360" w:lineRule="auto"/>
        <w:ind w:left="840"/>
        <w:rPr>
          <w:sz w:val="24"/>
          <w:szCs w:val="24"/>
        </w:rPr>
      </w:pPr>
      <w:r>
        <w:rPr>
          <w:rFonts w:hint="eastAsia"/>
          <w:sz w:val="24"/>
          <w:szCs w:val="24"/>
        </w:rPr>
        <w:t>应对方法</w:t>
      </w:r>
    </w:p>
    <w:p w14:paraId="52288D35" w14:textId="77777777" w:rsidR="001C2850" w:rsidRDefault="001C2850" w:rsidP="001C2850">
      <w:pPr>
        <w:pStyle w:val="a9"/>
        <w:spacing w:line="360" w:lineRule="auto"/>
        <w:ind w:firstLine="480"/>
        <w:rPr>
          <w:sz w:val="24"/>
          <w:szCs w:val="24"/>
        </w:rPr>
      </w:pPr>
      <w:r>
        <w:rPr>
          <w:rFonts w:hint="eastAsia"/>
          <w:sz w:val="24"/>
          <w:szCs w:val="24"/>
        </w:rPr>
        <w:t>项目中的风险永远不能全部消除，</w:t>
      </w:r>
      <w:r>
        <w:rPr>
          <w:sz w:val="24"/>
          <w:szCs w:val="24"/>
        </w:rPr>
        <w:t>PMBOK</w:t>
      </w:r>
      <w:r>
        <w:rPr>
          <w:rFonts w:hint="eastAsia"/>
          <w:sz w:val="24"/>
          <w:szCs w:val="24"/>
        </w:rPr>
        <w:t>提到三种应对方法：</w:t>
      </w:r>
    </w:p>
    <w:p w14:paraId="78BE0810" w14:textId="77777777" w:rsidR="001C2850" w:rsidRDefault="001C2850" w:rsidP="001C2850">
      <w:pPr>
        <w:pStyle w:val="a9"/>
        <w:spacing w:line="360" w:lineRule="auto"/>
        <w:ind w:firstLine="480"/>
        <w:rPr>
          <w:sz w:val="24"/>
          <w:szCs w:val="24"/>
        </w:rPr>
      </w:pPr>
      <w:r>
        <w:rPr>
          <w:rFonts w:hint="eastAsia"/>
          <w:sz w:val="24"/>
          <w:szCs w:val="24"/>
        </w:rPr>
        <w:t>避免：通过分析找出来发生风险事件的原因，消除这些原因来避免一些特定的风险事件发生。</w:t>
      </w:r>
    </w:p>
    <w:p w14:paraId="2D48378A" w14:textId="77777777" w:rsidR="001C2850" w:rsidRDefault="001C2850" w:rsidP="001C2850">
      <w:pPr>
        <w:pStyle w:val="a9"/>
        <w:spacing w:line="360" w:lineRule="auto"/>
        <w:ind w:firstLine="480"/>
        <w:rPr>
          <w:sz w:val="24"/>
          <w:szCs w:val="24"/>
        </w:rPr>
      </w:pPr>
      <w:r>
        <w:rPr>
          <w:rFonts w:hint="eastAsia"/>
          <w:sz w:val="24"/>
          <w:szCs w:val="24"/>
        </w:rPr>
        <w:t>减轻：通过降低风险事件发生的概率或得失量来减轻对项目的影响。也可以采用风险转移的方法来减轻风险对项目带来的影响。项目预算中考虑应急储备金是另一种降低风险影响的方法。</w:t>
      </w:r>
    </w:p>
    <w:p w14:paraId="468767FF" w14:textId="77777777" w:rsidR="001C2850" w:rsidRDefault="001C2850" w:rsidP="001C2850">
      <w:pPr>
        <w:pStyle w:val="a9"/>
        <w:spacing w:line="360" w:lineRule="auto"/>
        <w:ind w:firstLine="480"/>
        <w:rPr>
          <w:sz w:val="24"/>
          <w:szCs w:val="24"/>
        </w:rPr>
      </w:pPr>
      <w:r>
        <w:rPr>
          <w:rFonts w:hint="eastAsia"/>
          <w:sz w:val="24"/>
          <w:szCs w:val="24"/>
        </w:rPr>
        <w:t>接受：接收风险造成的后果。</w:t>
      </w:r>
    </w:p>
    <w:p w14:paraId="53AD8AAF" w14:textId="77777777" w:rsidR="001C2850" w:rsidRDefault="001C2850">
      <w:pPr>
        <w:pStyle w:val="a9"/>
        <w:numPr>
          <w:ilvl w:val="0"/>
          <w:numId w:val="12"/>
        </w:numPr>
        <w:spacing w:line="360" w:lineRule="auto"/>
        <w:ind w:left="840"/>
        <w:rPr>
          <w:sz w:val="24"/>
          <w:szCs w:val="24"/>
        </w:rPr>
      </w:pPr>
      <w:r>
        <w:rPr>
          <w:rFonts w:hint="eastAsia"/>
          <w:sz w:val="24"/>
          <w:szCs w:val="24"/>
        </w:rPr>
        <w:t>开发应对计划：针对需要采取应对措施的风险事件，开发应对计划，一旦加入项目进行过程中，就实施应对计划，并以事前控制的方法论为主进行控制。</w:t>
      </w:r>
    </w:p>
    <w:p w14:paraId="43AE4EBD" w14:textId="77777777" w:rsidR="001C2850" w:rsidRDefault="001C2850" w:rsidP="001C2850">
      <w:pPr>
        <w:pStyle w:val="a9"/>
        <w:spacing w:line="360" w:lineRule="auto"/>
        <w:ind w:firstLine="480"/>
        <w:rPr>
          <w:sz w:val="24"/>
          <w:szCs w:val="24"/>
        </w:rPr>
      </w:pPr>
      <w:r>
        <w:rPr>
          <w:rFonts w:hint="eastAsia"/>
          <w:sz w:val="24"/>
          <w:szCs w:val="24"/>
        </w:rPr>
        <w:t>这里所谓的应对计划，就是面向工程项目整体的咨询方案，由于咨询工作是站在工程战略、实施总体方法和方案的高度上进行规划，所以从根本上说其时刻就是进行的消除风险工作，防患于未然，进行了有效的风险控制。</w:t>
      </w:r>
    </w:p>
    <w:p w14:paraId="110F8978" w14:textId="77777777" w:rsidR="001C2850" w:rsidRDefault="001C2850" w:rsidP="001C2850">
      <w:pPr>
        <w:pStyle w:val="aa"/>
        <w:adjustRightInd/>
        <w:spacing w:line="360" w:lineRule="auto"/>
        <w:ind w:firstLineChars="200" w:firstLine="480"/>
        <w:rPr>
          <w:sz w:val="24"/>
          <w:szCs w:val="24"/>
        </w:rPr>
      </w:pPr>
      <w:r>
        <w:rPr>
          <w:rFonts w:hint="eastAsia"/>
          <w:sz w:val="24"/>
          <w:szCs w:val="24"/>
        </w:rPr>
        <w:t>因此对应本项目的风险控制，其关键则是对工程在各个阶段对应不同项目的风险分解，并将其与本工程的特点相对应，并由此产生针对性的咨询措施。</w:t>
      </w:r>
    </w:p>
    <w:p w14:paraId="07A9863D" w14:textId="541ED924" w:rsidR="00E752DD" w:rsidRDefault="001C2850" w:rsidP="001C2850">
      <w:pPr>
        <w:pStyle w:val="5"/>
        <w:rPr>
          <w:rFonts w:hint="eastAsia"/>
        </w:rPr>
      </w:pPr>
      <w:r>
        <w:rPr>
          <w:rFonts w:hint="eastAsia"/>
        </w:rPr>
        <w:t>质量保障</w:t>
      </w:r>
    </w:p>
    <w:p w14:paraId="6B5596CA" w14:textId="6D8CFC5D" w:rsidR="001C2850" w:rsidRDefault="001C2850" w:rsidP="001C2850">
      <w:pPr>
        <w:pStyle w:val="a6"/>
      </w:pPr>
      <w:r>
        <w:rPr>
          <w:rFonts w:hint="eastAsia"/>
        </w:rPr>
        <w:t>为了有效管理工程实施的进展，并能及时控制、调整、解决实施中的问题，</w:t>
      </w:r>
      <w:r w:rsidR="00152F2A">
        <w:rPr>
          <w:rFonts w:hint="eastAsia"/>
        </w:rPr>
        <w:t>我公司</w:t>
      </w:r>
      <w:r>
        <w:rPr>
          <w:rFonts w:hint="eastAsia"/>
        </w:rPr>
        <w:t>将在实施过程中执行以下管理措施：</w:t>
      </w:r>
    </w:p>
    <w:p w14:paraId="4D86B14D" w14:textId="77777777" w:rsidR="001C2850" w:rsidRDefault="001C2850" w:rsidP="001C2850">
      <w:pPr>
        <w:pStyle w:val="a6"/>
        <w:ind w:firstLineChars="0" w:firstLine="0"/>
      </w:pPr>
      <w:r>
        <w:object w:dxaOrig="8070" w:dyaOrig="4875" w14:anchorId="536425F8">
          <v:shape id="_x0000_i1026" type="#_x0000_t75" style="width:403.7pt;height:243.9pt" o:ole="">
            <v:imagedata r:id="rId15" o:title=""/>
          </v:shape>
          <o:OLEObject Type="Embed" ProgID="PowerPoint.Show.8" ShapeID="_x0000_i1026" DrawAspect="Content" ObjectID="_1813082549" r:id="rId16"/>
        </w:object>
      </w:r>
    </w:p>
    <w:p w14:paraId="434CC2CB" w14:textId="77777777" w:rsidR="001C2850" w:rsidRPr="001C2850" w:rsidRDefault="001C2850" w:rsidP="001C2850">
      <w:pPr>
        <w:pStyle w:val="6"/>
        <w:rPr>
          <w:rFonts w:hint="eastAsia"/>
        </w:rPr>
      </w:pPr>
      <w:bookmarkStart w:id="82" w:name="_Toc176012431"/>
      <w:bookmarkStart w:id="83" w:name="_Toc233440167"/>
      <w:bookmarkStart w:id="84" w:name="_Toc372272981"/>
      <w:r w:rsidRPr="001C2850">
        <w:rPr>
          <w:rFonts w:hint="eastAsia"/>
        </w:rPr>
        <w:t>项目审查会议制度</w:t>
      </w:r>
      <w:bookmarkEnd w:id="82"/>
      <w:bookmarkEnd w:id="83"/>
      <w:bookmarkEnd w:id="84"/>
    </w:p>
    <w:p w14:paraId="72D9CE31" w14:textId="77777777" w:rsidR="001C2850" w:rsidRDefault="001C2850" w:rsidP="001C2850">
      <w:pPr>
        <w:pStyle w:val="a6"/>
      </w:pPr>
      <w:r>
        <w:rPr>
          <w:rFonts w:hint="eastAsia"/>
        </w:rPr>
        <w:t>定期的项目审查会议贯穿整个项目的实施过程，由项目经理负责召集相关人员定期召开，内容包括：</w:t>
      </w:r>
    </w:p>
    <w:p w14:paraId="28C835F2" w14:textId="77777777" w:rsidR="001C2850" w:rsidRDefault="001C2850">
      <w:pPr>
        <w:pStyle w:val="a6"/>
        <w:numPr>
          <w:ilvl w:val="0"/>
          <w:numId w:val="13"/>
        </w:numPr>
        <w:ind w:firstLineChars="0"/>
      </w:pPr>
      <w:r>
        <w:rPr>
          <w:rFonts w:hint="eastAsia"/>
        </w:rPr>
        <w:t>审查项目进程</w:t>
      </w:r>
    </w:p>
    <w:p w14:paraId="23CA6067" w14:textId="77777777" w:rsidR="001C2850" w:rsidRDefault="001C2850">
      <w:pPr>
        <w:pStyle w:val="a6"/>
        <w:numPr>
          <w:ilvl w:val="0"/>
          <w:numId w:val="13"/>
        </w:numPr>
        <w:ind w:firstLineChars="0"/>
      </w:pPr>
      <w:r>
        <w:rPr>
          <w:rFonts w:hint="eastAsia"/>
        </w:rPr>
        <w:t>解决存在问题</w:t>
      </w:r>
    </w:p>
    <w:p w14:paraId="25E120F1" w14:textId="77777777" w:rsidR="001C2850" w:rsidRDefault="001C2850">
      <w:pPr>
        <w:pStyle w:val="a6"/>
        <w:numPr>
          <w:ilvl w:val="0"/>
          <w:numId w:val="13"/>
        </w:numPr>
        <w:ind w:firstLineChars="0"/>
      </w:pPr>
      <w:r>
        <w:rPr>
          <w:rFonts w:hint="eastAsia"/>
        </w:rPr>
        <w:t>检查落实后续的工作</w:t>
      </w:r>
    </w:p>
    <w:p w14:paraId="48B98901" w14:textId="77777777" w:rsidR="001C2850" w:rsidRPr="001C2850" w:rsidRDefault="001C2850" w:rsidP="001C2850">
      <w:pPr>
        <w:pStyle w:val="6"/>
        <w:rPr>
          <w:rFonts w:hint="eastAsia"/>
        </w:rPr>
      </w:pPr>
      <w:bookmarkStart w:id="85" w:name="_Toc176012432"/>
      <w:bookmarkStart w:id="86" w:name="_Toc233440168"/>
      <w:bookmarkStart w:id="87" w:name="_Toc372272982"/>
      <w:r w:rsidRPr="001C2850">
        <w:rPr>
          <w:rFonts w:hint="eastAsia"/>
        </w:rPr>
        <w:t>全过程检查管理</w:t>
      </w:r>
      <w:bookmarkEnd w:id="85"/>
      <w:bookmarkEnd w:id="86"/>
      <w:bookmarkEnd w:id="87"/>
    </w:p>
    <w:p w14:paraId="10C9C1D5" w14:textId="77777777" w:rsidR="001C2850" w:rsidRDefault="001C2850" w:rsidP="001C2850">
      <w:pPr>
        <w:pStyle w:val="a6"/>
      </w:pPr>
      <w:r>
        <w:rPr>
          <w:rFonts w:hint="eastAsia"/>
        </w:rPr>
        <w:t>由项目管理员将所有的阶段性验收排入项目计划之中，目的是为了保证项目的计划落实和项目质量，同时强化用户对系统的熟悉程度。</w:t>
      </w:r>
    </w:p>
    <w:p w14:paraId="271DD362" w14:textId="77777777" w:rsidR="001C2850" w:rsidRDefault="001C2850" w:rsidP="001C2850">
      <w:pPr>
        <w:pStyle w:val="a6"/>
      </w:pPr>
      <w:r>
        <w:rPr>
          <w:rFonts w:hint="eastAsia"/>
        </w:rPr>
        <w:t>质量和技术控制主要针对特定阶段提交的交付物，而不是针对整个阶段的产品结果。目的是为了在开发阶段尽可能早的确认并改正错误。它通常采用下面控制机制：</w:t>
      </w:r>
    </w:p>
    <w:p w14:paraId="3E43299F" w14:textId="77777777" w:rsidR="001C2850" w:rsidRDefault="001C2850" w:rsidP="001C2850">
      <w:pPr>
        <w:pStyle w:val="a6"/>
      </w:pPr>
      <w:r>
        <w:rPr>
          <w:rFonts w:hint="eastAsia"/>
        </w:rPr>
        <w:t>质量抽查：是指技术、质量保证及用户的相关人员对交付物进行检查，确定它已经完成并符合质量标准和相关的用户需求。</w:t>
      </w:r>
    </w:p>
    <w:p w14:paraId="31A09C7E" w14:textId="77777777" w:rsidR="001C2850" w:rsidRDefault="001C2850" w:rsidP="001C2850">
      <w:pPr>
        <w:pStyle w:val="a6"/>
      </w:pPr>
      <w:r>
        <w:rPr>
          <w:rFonts w:hint="eastAsia"/>
        </w:rPr>
        <w:t>变更控制：一个变更是指与一个或多个交付物相关的并且事先未知的需求改变。它需要被记录并应采取适当措施加以控制以防变化扩大化。</w:t>
      </w:r>
    </w:p>
    <w:p w14:paraId="79A05E8B" w14:textId="77777777" w:rsidR="001C2850" w:rsidRDefault="001C2850" w:rsidP="001C2850">
      <w:pPr>
        <w:pStyle w:val="a6"/>
      </w:pPr>
      <w:r>
        <w:rPr>
          <w:rFonts w:hint="eastAsia"/>
        </w:rPr>
        <w:t>软件配置管理：提供一个正式的机制用来对交付物进行标记和归档，跟踪开发状态及它们之间的关系。</w:t>
      </w:r>
    </w:p>
    <w:p w14:paraId="1857F35C" w14:textId="77777777" w:rsidR="001C2850" w:rsidRDefault="001C2850" w:rsidP="001C2850">
      <w:pPr>
        <w:pStyle w:val="a6"/>
      </w:pPr>
      <w:r>
        <w:rPr>
          <w:rFonts w:hint="eastAsia"/>
        </w:rPr>
        <w:lastRenderedPageBreak/>
        <w:t>缺陷管理：缺陷是指已被认为正式通过后交付物发现技术上异常问题。它需被记录及改正以保持交付产品的完整性。</w:t>
      </w:r>
    </w:p>
    <w:p w14:paraId="011FC374" w14:textId="77777777" w:rsidR="001C2850" w:rsidRDefault="001C2850" w:rsidP="001C2850">
      <w:pPr>
        <w:pStyle w:val="6"/>
        <w:rPr>
          <w:rFonts w:hint="eastAsia"/>
        </w:rPr>
      </w:pPr>
      <w:bookmarkStart w:id="88" w:name="_Toc176012433"/>
      <w:bookmarkStart w:id="89" w:name="_Toc233440169"/>
      <w:bookmarkStart w:id="90" w:name="_Toc372272983"/>
      <w:r>
        <w:rPr>
          <w:rFonts w:hint="eastAsia"/>
        </w:rPr>
        <w:t>全过程汇报制度</w:t>
      </w:r>
      <w:bookmarkEnd w:id="88"/>
      <w:bookmarkEnd w:id="89"/>
      <w:bookmarkEnd w:id="90"/>
    </w:p>
    <w:p w14:paraId="3A99E101" w14:textId="77777777" w:rsidR="001C2850" w:rsidRDefault="001C2850" w:rsidP="001C2850">
      <w:pPr>
        <w:pStyle w:val="a6"/>
      </w:pPr>
      <w:r>
        <w:rPr>
          <w:rFonts w:hint="eastAsia"/>
        </w:rPr>
        <w:t>在实施期间培训进展情况采取每日汇报制度；对技术方案制定及开发情况采取隔日汇报制度；对现场安装调试情况、系统联调情况采取每日汇报制度；对系统试运行情况采取每日汇报制度。</w:t>
      </w:r>
    </w:p>
    <w:p w14:paraId="3C59AF1E" w14:textId="77777777" w:rsidR="001C2850" w:rsidRDefault="001C2850" w:rsidP="001C2850">
      <w:pPr>
        <w:pStyle w:val="a6"/>
      </w:pPr>
      <w:r>
        <w:rPr>
          <w:rFonts w:hint="eastAsia"/>
        </w:rPr>
        <w:t>采用电话和邮件的快速通讯手段，进行信息的发布，日志的填报、技术问题的提交，作到项目实施过程中的痕迹管理。</w:t>
      </w:r>
    </w:p>
    <w:p w14:paraId="579FE957" w14:textId="77777777" w:rsidR="001C2850" w:rsidRDefault="001C2850" w:rsidP="001C2850">
      <w:pPr>
        <w:pStyle w:val="6"/>
        <w:rPr>
          <w:rFonts w:hint="eastAsia"/>
        </w:rPr>
      </w:pPr>
      <w:bookmarkStart w:id="91" w:name="_Toc176012434"/>
      <w:bookmarkStart w:id="92" w:name="_Toc233440170"/>
      <w:bookmarkStart w:id="93" w:name="_Toc372272984"/>
      <w:r>
        <w:rPr>
          <w:rFonts w:hint="eastAsia"/>
        </w:rPr>
        <w:t>风险管理制度</w:t>
      </w:r>
      <w:bookmarkEnd w:id="91"/>
      <w:bookmarkEnd w:id="92"/>
      <w:bookmarkEnd w:id="93"/>
    </w:p>
    <w:p w14:paraId="2CC78779" w14:textId="0F9B3D06" w:rsidR="001C2850" w:rsidRDefault="001C2850" w:rsidP="001C2850">
      <w:pPr>
        <w:pStyle w:val="a6"/>
      </w:pPr>
      <w:r>
        <w:rPr>
          <w:rFonts w:hint="eastAsia"/>
        </w:rPr>
        <w:t>项目风险是指在软件开发过程中遇到的预算和进度等方面的问题以及这些问题对软件项目的影响。软件项目风险会影响项目计划的实现。</w:t>
      </w:r>
      <w:r w:rsidR="00152F2A">
        <w:rPr>
          <w:rFonts w:hint="eastAsia"/>
        </w:rPr>
        <w:t>我公司</w:t>
      </w:r>
      <w:r>
        <w:rPr>
          <w:rFonts w:hint="eastAsia"/>
        </w:rPr>
        <w:t>会对项目进行风险管理，就可以最大限度的减少风险的发生。</w:t>
      </w:r>
    </w:p>
    <w:p w14:paraId="7DA4F0C4" w14:textId="56283CA3" w:rsidR="001C2850" w:rsidRDefault="001C2850" w:rsidP="001C2850">
      <w:pPr>
        <w:pStyle w:val="a6"/>
      </w:pPr>
      <w:r>
        <w:rPr>
          <w:rFonts w:hint="eastAsia"/>
        </w:rPr>
        <w:t>对已识别的风险要进行量化和评价，风险估计的主要任务是确定风险发生的概率与后果，风险评价则是确定该风险的经济意义及处理的费</w:t>
      </w:r>
      <w:r>
        <w:t>/</w:t>
      </w:r>
      <w:r>
        <w:rPr>
          <w:rFonts w:hint="eastAsia"/>
        </w:rPr>
        <w:t>效分析，常用的方法有：概率分布、外推法、多目标分析法等。为了便于量化管理，</w:t>
      </w:r>
      <w:r w:rsidR="00152F2A">
        <w:rPr>
          <w:rFonts w:hint="eastAsia"/>
        </w:rPr>
        <w:t>我公司</w:t>
      </w:r>
      <w:r>
        <w:rPr>
          <w:rFonts w:hint="eastAsia"/>
        </w:rPr>
        <w:t>给风险定义</w:t>
      </w:r>
      <w:r>
        <w:t>3</w:t>
      </w:r>
      <w:r>
        <w:rPr>
          <w:rFonts w:hint="eastAsia"/>
        </w:rPr>
        <w:t>个参数：</w:t>
      </w:r>
    </w:p>
    <w:p w14:paraId="3BB577CE" w14:textId="77777777" w:rsidR="001C2850" w:rsidRDefault="001C2850">
      <w:pPr>
        <w:pStyle w:val="a6"/>
        <w:numPr>
          <w:ilvl w:val="0"/>
          <w:numId w:val="14"/>
        </w:numPr>
        <w:ind w:firstLineChars="0"/>
      </w:pPr>
      <w:r>
        <w:rPr>
          <w:rFonts w:hint="eastAsia"/>
        </w:rPr>
        <w:t>风险严重性：指风险对项目造成的危害程度。划分为</w:t>
      </w:r>
      <w:r>
        <w:t>5</w:t>
      </w:r>
      <w:r>
        <w:rPr>
          <w:rFonts w:hint="eastAsia"/>
        </w:rPr>
        <w:t>个等级：</w:t>
      </w:r>
      <w:r>
        <w:t>5</w:t>
      </w:r>
      <w:r>
        <w:rPr>
          <w:rFonts w:hint="eastAsia"/>
        </w:rPr>
        <w:t>－很严重，</w:t>
      </w:r>
      <w:r>
        <w:t>4</w:t>
      </w:r>
      <w:r>
        <w:rPr>
          <w:rFonts w:hint="eastAsia"/>
        </w:rPr>
        <w:t>－比较严重，</w:t>
      </w:r>
      <w:r>
        <w:t>3</w:t>
      </w:r>
      <w:r>
        <w:rPr>
          <w:rFonts w:hint="eastAsia"/>
        </w:rPr>
        <w:t>－中等，</w:t>
      </w:r>
      <w:r>
        <w:t>2</w:t>
      </w:r>
      <w:r>
        <w:rPr>
          <w:rFonts w:hint="eastAsia"/>
        </w:rPr>
        <w:t>－轻度，</w:t>
      </w:r>
      <w:r>
        <w:t>1</w:t>
      </w:r>
      <w:r>
        <w:rPr>
          <w:rFonts w:hint="eastAsia"/>
        </w:rPr>
        <w:t>－低微；</w:t>
      </w:r>
    </w:p>
    <w:p w14:paraId="3BC1E331" w14:textId="77777777" w:rsidR="001C2850" w:rsidRDefault="001C2850">
      <w:pPr>
        <w:pStyle w:val="a6"/>
        <w:numPr>
          <w:ilvl w:val="0"/>
          <w:numId w:val="14"/>
        </w:numPr>
        <w:ind w:firstLineChars="0"/>
      </w:pPr>
      <w:r>
        <w:rPr>
          <w:rFonts w:hint="eastAsia"/>
        </w:rPr>
        <w:t>风险可能性：指风险发生的几率，用百分比表示；</w:t>
      </w:r>
    </w:p>
    <w:p w14:paraId="1835A1F9" w14:textId="77777777" w:rsidR="001C2850" w:rsidRDefault="001C2850">
      <w:pPr>
        <w:pStyle w:val="a6"/>
        <w:numPr>
          <w:ilvl w:val="0"/>
          <w:numId w:val="14"/>
        </w:numPr>
        <w:ind w:firstLineChars="0"/>
      </w:pPr>
      <w:r>
        <w:rPr>
          <w:rFonts w:hint="eastAsia"/>
        </w:rPr>
        <w:t>风险系数：是风险严重性和风险可能性的乘积。</w:t>
      </w:r>
    </w:p>
    <w:p w14:paraId="5C9398C2" w14:textId="77777777" w:rsidR="001C2850" w:rsidRDefault="001C2850" w:rsidP="001C2850">
      <w:pPr>
        <w:pStyle w:val="a6"/>
      </w:pPr>
      <w:r>
        <w:rPr>
          <w:rFonts w:hint="eastAsia"/>
        </w:rPr>
        <w:t>风险处理：一般而言，风险处理有三种方法，①风险控制法，即主动采取措施避免风险，消灭风险，中和风险或采用紧急方案降低风险。②风险自留，当风险量不大时可以余留风险。③风险转移。</w:t>
      </w:r>
    </w:p>
    <w:p w14:paraId="2558395F" w14:textId="77777777" w:rsidR="001C2850" w:rsidRDefault="001C2850" w:rsidP="001C2850">
      <w:pPr>
        <w:pStyle w:val="a6"/>
      </w:pPr>
      <w:r>
        <w:rPr>
          <w:rFonts w:hint="eastAsia"/>
        </w:rPr>
        <w:t>风险监控：包括对风险发生的监督和对风险管理的监督，前者是对已识别的风险源进行监视和控制，后者是在项目实施过程中监督人们认真执行风险管理的组织和技术措施。</w:t>
      </w:r>
    </w:p>
    <w:p w14:paraId="449DC4C2" w14:textId="77777777" w:rsidR="001C2850" w:rsidRDefault="001C2850" w:rsidP="001C2850">
      <w:pPr>
        <w:pStyle w:val="a6"/>
      </w:pPr>
      <w:r>
        <w:rPr>
          <w:rFonts w:hint="eastAsia"/>
        </w:rPr>
        <w:t>在本项目管理中，任命一名风险管理者，其职责是在制订与评估规划时，从风险管理的角度对项目规划或计划进行审核并发表意见，不断寻找可能出现的任何意外情况，试着指出各个风险的管理策略及常用的管理方法，以随时处理出现的风险。</w:t>
      </w:r>
    </w:p>
    <w:p w14:paraId="739218BF" w14:textId="77777777" w:rsidR="001C2850" w:rsidRDefault="001C2850" w:rsidP="001C2850">
      <w:pPr>
        <w:pStyle w:val="6"/>
        <w:rPr>
          <w:rFonts w:hint="eastAsia"/>
        </w:rPr>
      </w:pPr>
      <w:bookmarkStart w:id="94" w:name="_Toc151778277"/>
      <w:bookmarkStart w:id="95" w:name="_Toc176012435"/>
      <w:bookmarkStart w:id="96" w:name="_Toc233440171"/>
      <w:bookmarkStart w:id="97" w:name="_Toc372272985"/>
      <w:r>
        <w:rPr>
          <w:rFonts w:hint="eastAsia"/>
        </w:rPr>
        <w:lastRenderedPageBreak/>
        <w:t>组织管理保障</w:t>
      </w:r>
      <w:bookmarkEnd w:id="94"/>
      <w:bookmarkEnd w:id="95"/>
      <w:bookmarkEnd w:id="96"/>
      <w:bookmarkEnd w:id="97"/>
    </w:p>
    <w:p w14:paraId="46CC4229" w14:textId="77777777" w:rsidR="001C2850" w:rsidRDefault="001C2850" w:rsidP="001C2850">
      <w:pPr>
        <w:pStyle w:val="7"/>
        <w:rPr>
          <w:rFonts w:hint="eastAsia"/>
        </w:rPr>
      </w:pPr>
      <w:bookmarkStart w:id="98" w:name="_Toc372272986"/>
      <w:r>
        <w:rPr>
          <w:rFonts w:hint="eastAsia"/>
        </w:rPr>
        <w:t>队伍素质保障</w:t>
      </w:r>
      <w:bookmarkEnd w:id="98"/>
    </w:p>
    <w:p w14:paraId="2512F297" w14:textId="21EC44E2" w:rsidR="001C2850" w:rsidRDefault="001C2850" w:rsidP="001C2850">
      <w:pPr>
        <w:pStyle w:val="a6"/>
      </w:pPr>
      <w:r>
        <w:rPr>
          <w:rFonts w:hint="eastAsia"/>
        </w:rPr>
        <w:t>为了确保项目质量，提高工作效率，在整个项目实施过程中</w:t>
      </w:r>
      <w:r w:rsidR="00152F2A">
        <w:rPr>
          <w:rFonts w:hint="eastAsia"/>
        </w:rPr>
        <w:t>我公司</w:t>
      </w:r>
      <w:r>
        <w:rPr>
          <w:rFonts w:hint="eastAsia"/>
        </w:rPr>
        <w:t>都将不断组织对内部人员进行有针对性的业务培训，确保每个项目参与人员能够高质量的完成本职工作。</w:t>
      </w:r>
    </w:p>
    <w:p w14:paraId="62F16092" w14:textId="77777777" w:rsidR="001C2850" w:rsidRDefault="001C2850">
      <w:pPr>
        <w:pStyle w:val="a6"/>
        <w:numPr>
          <w:ilvl w:val="0"/>
          <w:numId w:val="15"/>
        </w:numPr>
        <w:ind w:firstLineChars="0"/>
      </w:pPr>
      <w:r>
        <w:rPr>
          <w:rFonts w:hint="eastAsia"/>
        </w:rPr>
        <w:t>需求分析讲解：根据需求调研与分析结果，给团队讲解项目的功能、流程，使各种技术人员都能够全面理解该系统，从而提高工作效率。</w:t>
      </w:r>
    </w:p>
    <w:p w14:paraId="6112B972" w14:textId="77777777" w:rsidR="001C2850" w:rsidRDefault="001C2850">
      <w:pPr>
        <w:pStyle w:val="a6"/>
        <w:numPr>
          <w:ilvl w:val="0"/>
          <w:numId w:val="15"/>
        </w:numPr>
        <w:ind w:firstLineChars="0"/>
      </w:pPr>
      <w:r>
        <w:rPr>
          <w:rFonts w:hint="eastAsia"/>
        </w:rPr>
        <w:t>系统设计培训：根据系统设计结果，给整个团队讲解产品架构。</w:t>
      </w:r>
    </w:p>
    <w:p w14:paraId="266146A6" w14:textId="77777777" w:rsidR="001C2850" w:rsidRDefault="001C2850">
      <w:pPr>
        <w:pStyle w:val="a6"/>
        <w:numPr>
          <w:ilvl w:val="0"/>
          <w:numId w:val="15"/>
        </w:numPr>
        <w:ind w:firstLineChars="0"/>
      </w:pPr>
      <w:r>
        <w:rPr>
          <w:rFonts w:hint="eastAsia"/>
        </w:rPr>
        <w:t>软件编码培训：讲解编码规则、平台关联点、重点注意事项、重点函数与主要</w:t>
      </w:r>
      <w:r>
        <w:t>API</w:t>
      </w:r>
      <w:r>
        <w:rPr>
          <w:rFonts w:hint="eastAsia"/>
        </w:rPr>
        <w:t>。</w:t>
      </w:r>
    </w:p>
    <w:p w14:paraId="7CE007EC" w14:textId="77777777" w:rsidR="001C2850" w:rsidRDefault="001C2850">
      <w:pPr>
        <w:pStyle w:val="a6"/>
        <w:numPr>
          <w:ilvl w:val="0"/>
          <w:numId w:val="15"/>
        </w:numPr>
        <w:ind w:firstLineChars="0"/>
      </w:pPr>
      <w:r>
        <w:rPr>
          <w:rFonts w:hint="eastAsia"/>
        </w:rPr>
        <w:t>软件部署与调试培训：讲解部署方案，系统安装过程中的注意事项。</w:t>
      </w:r>
    </w:p>
    <w:p w14:paraId="399CDCB9" w14:textId="77777777" w:rsidR="001C2850" w:rsidRDefault="001C2850">
      <w:pPr>
        <w:pStyle w:val="a6"/>
        <w:numPr>
          <w:ilvl w:val="0"/>
          <w:numId w:val="15"/>
        </w:numPr>
        <w:ind w:firstLineChars="0"/>
      </w:pPr>
      <w:r>
        <w:rPr>
          <w:rFonts w:hint="eastAsia"/>
        </w:rPr>
        <w:t>技术支持技巧培训：结合客户的实际情况，给现场运行维护人员、技术支持人员进行业务、技巧培训。</w:t>
      </w:r>
    </w:p>
    <w:p w14:paraId="51CC85F0" w14:textId="77777777" w:rsidR="001C2850" w:rsidRDefault="001C2850" w:rsidP="001C2850">
      <w:pPr>
        <w:pStyle w:val="7"/>
        <w:rPr>
          <w:rFonts w:hint="eastAsia"/>
        </w:rPr>
      </w:pPr>
      <w:bookmarkStart w:id="99" w:name="_Toc372272987"/>
      <w:r>
        <w:rPr>
          <w:rFonts w:hint="eastAsia"/>
        </w:rPr>
        <w:t>人员数量保障</w:t>
      </w:r>
      <w:bookmarkEnd w:id="99"/>
    </w:p>
    <w:p w14:paraId="2E3B3522" w14:textId="3562413C" w:rsidR="001C2850" w:rsidRDefault="001C2850" w:rsidP="001C2850">
      <w:pPr>
        <w:pStyle w:val="a6"/>
      </w:pPr>
      <w:r>
        <w:rPr>
          <w:rFonts w:hint="eastAsia"/>
        </w:rPr>
        <w:t>为了确保项目各个阶段工作能够达到效率最大化，即不会人员冗余管理复杂造成效率低下，也不能因为人力不足而减慢工作速度。为此，</w:t>
      </w:r>
      <w:r w:rsidR="00152F2A">
        <w:rPr>
          <w:rFonts w:hint="eastAsia"/>
        </w:rPr>
        <w:t>我公司</w:t>
      </w:r>
      <w:r>
        <w:rPr>
          <w:rFonts w:hint="eastAsia"/>
        </w:rPr>
        <w:t>规划出了各个阶段的人员数量保障。规划中的数字会因为实际情况而发生调整，但是以保证质量和保证工期为根本目标。</w:t>
      </w:r>
    </w:p>
    <w:p w14:paraId="3E7D15A4" w14:textId="77777777" w:rsidR="001C2850" w:rsidRPr="001C2850" w:rsidRDefault="001C2850" w:rsidP="00993831">
      <w:pPr>
        <w:ind w:firstLine="420"/>
        <w:rPr>
          <w:rFonts w:hint="eastAsia"/>
        </w:rPr>
      </w:pPr>
    </w:p>
    <w:p w14:paraId="2280FFB4" w14:textId="45CFBB9A" w:rsidR="00BE572F" w:rsidRDefault="00BE572F" w:rsidP="001C2850">
      <w:pPr>
        <w:pStyle w:val="3"/>
        <w:rPr>
          <w:rFonts w:hint="eastAsia"/>
        </w:rPr>
      </w:pPr>
      <w:r>
        <w:tab/>
        <w:t>项目组网方案</w:t>
      </w:r>
      <w:r>
        <w:tab/>
      </w:r>
    </w:p>
    <w:p w14:paraId="5BC22DD1" w14:textId="77777777" w:rsidR="009653FB" w:rsidRDefault="009653FB" w:rsidP="009653FB">
      <w:pPr>
        <w:pStyle w:val="4"/>
        <w:rPr>
          <w:rFonts w:hint="eastAsia"/>
        </w:rPr>
      </w:pPr>
      <w:bookmarkStart w:id="100" w:name="_Toc319339164"/>
      <w:bookmarkStart w:id="101" w:name="_Toc320778031"/>
      <w:bookmarkStart w:id="102" w:name="_Toc326001903"/>
      <w:r>
        <w:rPr>
          <w:rFonts w:hint="eastAsia"/>
        </w:rPr>
        <w:t>网络总体架构</w:t>
      </w:r>
      <w:bookmarkEnd w:id="100"/>
      <w:r>
        <w:rPr>
          <w:rFonts w:hint="eastAsia"/>
        </w:rPr>
        <w:t>设计</w:t>
      </w:r>
      <w:bookmarkEnd w:id="101"/>
      <w:bookmarkEnd w:id="102"/>
    </w:p>
    <w:p w14:paraId="069BB2F6" w14:textId="77777777" w:rsidR="009653FB" w:rsidRDefault="009653FB" w:rsidP="009653FB">
      <w:pPr>
        <w:pStyle w:val="5"/>
        <w:rPr>
          <w:rFonts w:hint="eastAsia"/>
        </w:rPr>
      </w:pPr>
      <w:r>
        <w:rPr>
          <w:rFonts w:hint="eastAsia"/>
        </w:rPr>
        <w:t>二层网络架构设计</w:t>
      </w:r>
    </w:p>
    <w:p w14:paraId="1E2D2890" w14:textId="77777777" w:rsidR="009653FB" w:rsidRDefault="009653FB" w:rsidP="009653FB">
      <w:pPr>
        <w:pStyle w:val="a6"/>
      </w:pPr>
      <w:r>
        <w:rPr>
          <w:rFonts w:hint="eastAsia"/>
        </w:rPr>
        <w:t>传统数据中心的网络架构采用核心层、汇聚层和接入层的三层网络架构，存在以下几个方面的问题：</w:t>
      </w:r>
    </w:p>
    <w:p w14:paraId="4579E1B2" w14:textId="77777777" w:rsidR="009653FB" w:rsidRDefault="009653FB">
      <w:pPr>
        <w:pStyle w:val="a6"/>
        <w:numPr>
          <w:ilvl w:val="0"/>
          <w:numId w:val="25"/>
        </w:numPr>
        <w:ind w:firstLineChars="0"/>
      </w:pPr>
      <w:r>
        <w:rPr>
          <w:rFonts w:hint="eastAsia"/>
        </w:rPr>
        <w:t>网络的层次较多，导致数据处理效率低，增加了处理时延和线路时延，同时也增加了部署成本和设备故障的几率；</w:t>
      </w:r>
    </w:p>
    <w:p w14:paraId="6FD44B25" w14:textId="77777777" w:rsidR="009653FB" w:rsidRDefault="009653FB">
      <w:pPr>
        <w:pStyle w:val="a6"/>
        <w:numPr>
          <w:ilvl w:val="0"/>
          <w:numId w:val="25"/>
        </w:numPr>
        <w:ind w:firstLineChars="0"/>
      </w:pPr>
      <w:r>
        <w:rPr>
          <w:rFonts w:hint="eastAsia"/>
        </w:rPr>
        <w:lastRenderedPageBreak/>
        <w:t>由于汇聚层面设备一般存在处理性能和上行带宽的收敛比，在数据中心规模不断扩大的情况下，汇聚设备会成为整个网络的瓶颈，导致出现拥塞、丢包等问题；</w:t>
      </w:r>
    </w:p>
    <w:p w14:paraId="3E53B058" w14:textId="77777777" w:rsidR="009653FB" w:rsidRDefault="009653FB">
      <w:pPr>
        <w:pStyle w:val="a6"/>
        <w:numPr>
          <w:ilvl w:val="0"/>
          <w:numId w:val="25"/>
        </w:numPr>
        <w:ind w:firstLineChars="0"/>
      </w:pPr>
      <w:r>
        <w:rPr>
          <w:rFonts w:hint="eastAsia"/>
        </w:rPr>
        <w:t>网络设备之间的</w:t>
      </w:r>
      <w:r>
        <w:t>STP</w:t>
      </w:r>
      <w:r>
        <w:rPr>
          <w:rFonts w:hint="eastAsia"/>
        </w:rPr>
        <w:t>、</w:t>
      </w:r>
      <w:r>
        <w:t>LAG</w:t>
      </w:r>
      <w:r>
        <w:rPr>
          <w:rFonts w:hint="eastAsia"/>
        </w:rPr>
        <w:t>、路由处理、安全等相互之间的交互信息，随着设备数量的增加，会成几何级数激增；</w:t>
      </w:r>
    </w:p>
    <w:p w14:paraId="2BA0FB02" w14:textId="77777777" w:rsidR="009653FB" w:rsidRDefault="009653FB">
      <w:pPr>
        <w:pStyle w:val="a6"/>
        <w:numPr>
          <w:ilvl w:val="0"/>
          <w:numId w:val="25"/>
        </w:numPr>
        <w:ind w:firstLineChars="0"/>
      </w:pPr>
      <w:r>
        <w:rPr>
          <w:rFonts w:hint="eastAsia"/>
        </w:rPr>
        <w:t>随着数据中心虚拟化的部署，新的数据中心流量模型中，大多数的流量是在内部服务器之间进行通信，甚至能够达到整体流量的</w:t>
      </w:r>
      <w:r>
        <w:t>75%</w:t>
      </w:r>
      <w:r>
        <w:rPr>
          <w:rFonts w:hint="eastAsia"/>
        </w:rPr>
        <w:t>，这种部署架构会导致服务器之间流量需要通过汇聚层甚至核心层设备转发，效率低下，且性能很差。</w:t>
      </w:r>
    </w:p>
    <w:p w14:paraId="59CA49CD" w14:textId="77777777" w:rsidR="009653FB" w:rsidRPr="009653FB" w:rsidRDefault="009653FB" w:rsidP="009653FB">
      <w:pPr>
        <w:ind w:firstLine="420"/>
        <w:rPr>
          <w:rFonts w:ascii="Arial" w:eastAsia="宋体" w:hAnsi="Arial" w:cs="Times New Roman"/>
          <w:bCs/>
          <w:sz w:val="24"/>
          <w:szCs w:val="24"/>
        </w:rPr>
      </w:pPr>
      <w:r w:rsidRPr="009653FB">
        <w:rPr>
          <w:rFonts w:ascii="Arial" w:eastAsia="宋体" w:hAnsi="Arial" w:cs="Times New Roman" w:hint="eastAsia"/>
          <w:bCs/>
          <w:sz w:val="24"/>
          <w:szCs w:val="24"/>
        </w:rPr>
        <w:t>为了解决上述存在的问题，数据中心核心网络建议采用核心层和接入层的的二层扁平化网络架构，二层扁平化的网络架构可以实现：</w:t>
      </w:r>
    </w:p>
    <w:p w14:paraId="407E21A7" w14:textId="77777777" w:rsidR="009653FB" w:rsidRDefault="009653FB">
      <w:pPr>
        <w:pStyle w:val="a6"/>
        <w:numPr>
          <w:ilvl w:val="0"/>
          <w:numId w:val="25"/>
        </w:numPr>
        <w:ind w:firstLineChars="0"/>
      </w:pPr>
      <w:r>
        <w:rPr>
          <w:rFonts w:hint="eastAsia"/>
        </w:rPr>
        <w:t>简化网络管理，降低投资成本，降低维护管理成本；</w:t>
      </w:r>
    </w:p>
    <w:p w14:paraId="41DDD7E3" w14:textId="77777777" w:rsidR="009653FB" w:rsidRDefault="009653FB">
      <w:pPr>
        <w:pStyle w:val="a6"/>
        <w:numPr>
          <w:ilvl w:val="0"/>
          <w:numId w:val="25"/>
        </w:numPr>
        <w:ind w:firstLineChars="0"/>
      </w:pPr>
      <w:r>
        <w:rPr>
          <w:rFonts w:hint="eastAsia"/>
        </w:rPr>
        <w:t>简化网络拓扑，降低网络复杂度，提高网络的性能，支撑高性能的服务器流量；</w:t>
      </w:r>
    </w:p>
    <w:p w14:paraId="76AFFF98" w14:textId="77777777" w:rsidR="009653FB" w:rsidRDefault="009653FB">
      <w:pPr>
        <w:pStyle w:val="a6"/>
        <w:numPr>
          <w:ilvl w:val="0"/>
          <w:numId w:val="25"/>
        </w:numPr>
        <w:ind w:firstLineChars="0"/>
      </w:pPr>
      <w:r>
        <w:rPr>
          <w:rFonts w:hint="eastAsia"/>
        </w:rPr>
        <w:t>提高网络利用率，支撑云计算技术的资源池动态调度；</w:t>
      </w:r>
    </w:p>
    <w:p w14:paraId="58ED6C25" w14:textId="77777777" w:rsidR="009653FB" w:rsidRDefault="009653FB">
      <w:pPr>
        <w:pStyle w:val="a6"/>
        <w:numPr>
          <w:ilvl w:val="0"/>
          <w:numId w:val="25"/>
        </w:numPr>
        <w:ind w:firstLineChars="0"/>
      </w:pPr>
      <w:r>
        <w:rPr>
          <w:rFonts w:hint="eastAsia"/>
        </w:rPr>
        <w:t>提高网络可靠性。二层网络结构，可以结合虚拟集群和堆叠技术，解决链路环路问题，减少网络的故障收敛时间，从而提高网络可靠性；</w:t>
      </w:r>
    </w:p>
    <w:p w14:paraId="275AA015" w14:textId="7ADA3762" w:rsidR="009653FB" w:rsidRDefault="009653FB">
      <w:pPr>
        <w:pStyle w:val="a6"/>
        <w:numPr>
          <w:ilvl w:val="0"/>
          <w:numId w:val="25"/>
        </w:numPr>
        <w:ind w:firstLineChars="0"/>
      </w:pPr>
      <w:r>
        <w:rPr>
          <w:rFonts w:hint="eastAsia"/>
        </w:rPr>
        <w:t>绿色环保。简化二层网络还能降低电力和冷却需求，这对数据中心网络尤为重要。</w:t>
      </w:r>
    </w:p>
    <w:p w14:paraId="5ABC1AE5" w14:textId="2D24310F" w:rsidR="009653FB" w:rsidRDefault="009653FB" w:rsidP="009653FB">
      <w:pPr>
        <w:pStyle w:val="a6"/>
      </w:pPr>
      <w:r>
        <w:rPr>
          <w:rFonts w:hint="eastAsia"/>
        </w:rPr>
        <w:t>数据中心的二层网络结构示意图如</w:t>
      </w:r>
      <w:r>
        <w:fldChar w:fldCharType="begin"/>
      </w:r>
      <w:r>
        <w:instrText xml:space="preserve"> REF _Ref320793856 \r \h  \* MERGEFORMAT </w:instrText>
      </w:r>
      <w:r>
        <w:fldChar w:fldCharType="separate"/>
      </w:r>
      <w:r>
        <w:rPr>
          <w:rFonts w:hint="eastAsia"/>
        </w:rPr>
        <w:t>图</w:t>
      </w:r>
      <w:r>
        <w:t>4-1</w:t>
      </w:r>
      <w:r>
        <w:fldChar w:fldCharType="end"/>
      </w:r>
      <w:r>
        <w:rPr>
          <w:rFonts w:hint="eastAsia"/>
        </w:rPr>
        <w:t>所示：</w:t>
      </w:r>
    </w:p>
    <w:p w14:paraId="02859EC4" w14:textId="6FD130FC" w:rsidR="009653FB" w:rsidRDefault="009653FB" w:rsidP="009653FB">
      <w:pPr>
        <w:jc w:val="center"/>
        <w:rPr>
          <w:rFonts w:hint="eastAsia"/>
        </w:rPr>
      </w:pPr>
      <w:r>
        <w:rPr>
          <w:noProof/>
        </w:rPr>
        <w:drawing>
          <wp:inline distT="0" distB="0" distL="0" distR="0" wp14:anchorId="548DF90F" wp14:editId="462E0DB8">
            <wp:extent cx="4677410" cy="1712595"/>
            <wp:effectExtent l="0" t="0" r="8890" b="1905"/>
            <wp:docPr id="1363" name="图片 136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图片 1363" descr="图示&#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7410" cy="1712595"/>
                    </a:xfrm>
                    <a:prstGeom prst="rect">
                      <a:avLst/>
                    </a:prstGeom>
                    <a:noFill/>
                    <a:ln>
                      <a:noFill/>
                    </a:ln>
                  </pic:spPr>
                </pic:pic>
              </a:graphicData>
            </a:graphic>
          </wp:inline>
        </w:drawing>
      </w:r>
    </w:p>
    <w:p w14:paraId="5B287C93" w14:textId="77777777" w:rsidR="009653FB" w:rsidRDefault="009653FB" w:rsidP="009653FB">
      <w:pPr>
        <w:pStyle w:val="5"/>
        <w:rPr>
          <w:rFonts w:hint="eastAsia"/>
        </w:rPr>
      </w:pPr>
      <w:r>
        <w:rPr>
          <w:rFonts w:hint="eastAsia"/>
        </w:rPr>
        <w:t>功能分区模块化设计</w:t>
      </w:r>
    </w:p>
    <w:p w14:paraId="3B3FF629" w14:textId="77777777" w:rsidR="009653FB" w:rsidRDefault="009653FB" w:rsidP="009653FB">
      <w:pPr>
        <w:rPr>
          <w:rFonts w:hint="eastAsia"/>
        </w:rPr>
      </w:pPr>
      <w:r>
        <w:rPr>
          <w:rFonts w:hint="eastAsia"/>
        </w:rPr>
        <w:t>考虑到数据中心的高安全性、高扩展能力和可管理性的业务需求，数据中心网络架构的总体规划遵循区域化、层次化和模块化的设计理念，实现网络层次更加清楚、功能更加明确，提高承载的业务系统的可扩展性、安全性和可管理能力。</w:t>
      </w:r>
    </w:p>
    <w:p w14:paraId="1FD35CD0" w14:textId="208B95AD" w:rsidR="009653FB" w:rsidRDefault="009653FB">
      <w:pPr>
        <w:pStyle w:val="a3"/>
        <w:widowControl/>
        <w:numPr>
          <w:ilvl w:val="0"/>
          <w:numId w:val="17"/>
        </w:numPr>
        <w:topLinePunct/>
        <w:adjustRightInd w:val="0"/>
        <w:snapToGrid w:val="0"/>
        <w:spacing w:before="160" w:after="160" w:line="240" w:lineRule="atLeast"/>
        <w:ind w:firstLineChars="0"/>
        <w:jc w:val="left"/>
        <w:rPr>
          <w:rFonts w:hint="eastAsia"/>
        </w:rPr>
      </w:pPr>
      <w:r>
        <w:rPr>
          <w:rFonts w:hint="eastAsia"/>
        </w:rPr>
        <w:t>层次化设计。数据中心的核心网络采用核心层、接入层的网络架构；层次化结构也利于网络的扩展和维护。</w:t>
      </w:r>
    </w:p>
    <w:p w14:paraId="0A9C49D8" w14:textId="77777777" w:rsidR="009653FB" w:rsidRDefault="009653FB">
      <w:pPr>
        <w:pStyle w:val="a3"/>
        <w:widowControl/>
        <w:numPr>
          <w:ilvl w:val="0"/>
          <w:numId w:val="17"/>
        </w:numPr>
        <w:topLinePunct/>
        <w:adjustRightInd w:val="0"/>
        <w:snapToGrid w:val="0"/>
        <w:spacing w:before="160" w:after="160" w:line="240" w:lineRule="atLeast"/>
        <w:ind w:firstLineChars="0"/>
        <w:jc w:val="left"/>
        <w:rPr>
          <w:rFonts w:hint="eastAsia"/>
        </w:rPr>
      </w:pPr>
      <w:r>
        <w:rPr>
          <w:rFonts w:hint="eastAsia"/>
        </w:rPr>
        <w:lastRenderedPageBreak/>
        <w:t>功能分区和模块化设计。网络架构按照功能，分为外联区（包括</w:t>
      </w:r>
      <w:r>
        <w:t>Internet</w:t>
      </w:r>
      <w:r>
        <w:rPr>
          <w:rFonts w:hint="eastAsia"/>
        </w:rPr>
        <w:t>接入区和远程接入区）、核心区及内网接入区；核心区包括网络服务区、等保三级业务区、等保二级业务区、开发测试区及运行管理区等功能模块。</w:t>
      </w:r>
    </w:p>
    <w:p w14:paraId="28C99260" w14:textId="77777777" w:rsidR="009653FB" w:rsidRDefault="009653FB" w:rsidP="009653FB">
      <w:pPr>
        <w:rPr>
          <w:rFonts w:hint="eastAsia"/>
        </w:rPr>
      </w:pPr>
      <w:r>
        <w:rPr>
          <w:rFonts w:hint="eastAsia"/>
        </w:rPr>
        <w:t>数据中心的网络功能分区架构如</w:t>
      </w:r>
      <w:r>
        <w:fldChar w:fldCharType="begin"/>
      </w:r>
      <w:r>
        <w:instrText xml:space="preserve"> REF _Ref320780757 \r \h </w:instrText>
      </w:r>
      <w:r>
        <w:fldChar w:fldCharType="separate"/>
      </w:r>
      <w:r>
        <w:rPr>
          <w:rFonts w:hint="eastAsia"/>
        </w:rPr>
        <w:t>图</w:t>
      </w:r>
      <w:r>
        <w:t>4-2</w:t>
      </w:r>
      <w:r>
        <w:fldChar w:fldCharType="end"/>
      </w:r>
      <w:r>
        <w:rPr>
          <w:rFonts w:hint="eastAsia"/>
        </w:rPr>
        <w:t>所示。</w:t>
      </w:r>
    </w:p>
    <w:p w14:paraId="42537F8D" w14:textId="30BBD50E" w:rsidR="009653FB" w:rsidRDefault="009653FB" w:rsidP="009653FB">
      <w:pPr>
        <w:jc w:val="center"/>
        <w:rPr>
          <w:rFonts w:hint="eastAsia"/>
        </w:rPr>
      </w:pPr>
      <w:r>
        <w:rPr>
          <w:noProof/>
        </w:rPr>
        <w:drawing>
          <wp:inline distT="0" distB="0" distL="0" distR="0" wp14:anchorId="65988EE3" wp14:editId="4DC59A43">
            <wp:extent cx="5179695" cy="2943860"/>
            <wp:effectExtent l="0" t="0" r="1905" b="8890"/>
            <wp:docPr id="1362" name="图片 136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1362" descr="图示&#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9695" cy="2943860"/>
                    </a:xfrm>
                    <a:prstGeom prst="rect">
                      <a:avLst/>
                    </a:prstGeom>
                    <a:noFill/>
                    <a:ln>
                      <a:noFill/>
                    </a:ln>
                  </pic:spPr>
                </pic:pic>
              </a:graphicData>
            </a:graphic>
          </wp:inline>
        </w:drawing>
      </w:r>
    </w:p>
    <w:p w14:paraId="185121F6" w14:textId="77777777" w:rsidR="009653FB" w:rsidRDefault="009653FB" w:rsidP="009653FB">
      <w:pPr>
        <w:pStyle w:val="5"/>
        <w:rPr>
          <w:rFonts w:hint="eastAsia"/>
        </w:rPr>
      </w:pPr>
      <w:r>
        <w:rPr>
          <w:rFonts w:hint="eastAsia"/>
        </w:rPr>
        <w:t>总体网络架构</w:t>
      </w:r>
    </w:p>
    <w:p w14:paraId="7B9096C2" w14:textId="77777777" w:rsidR="009653FB" w:rsidRDefault="009653FB" w:rsidP="009653FB">
      <w:pPr>
        <w:ind w:firstLine="420"/>
        <w:rPr>
          <w:rFonts w:hint="eastAsia"/>
        </w:rPr>
      </w:pPr>
      <w:r>
        <w:rPr>
          <w:rFonts w:hint="eastAsia"/>
        </w:rPr>
        <w:t>数据中心整体网络拓扑如</w:t>
      </w:r>
      <w:r>
        <w:fldChar w:fldCharType="begin"/>
      </w:r>
      <w:r>
        <w:instrText xml:space="preserve"> REF _Ref320796970 \r \h </w:instrText>
      </w:r>
      <w:r>
        <w:fldChar w:fldCharType="separate"/>
      </w:r>
      <w:r>
        <w:rPr>
          <w:rFonts w:hint="eastAsia"/>
        </w:rPr>
        <w:t>图</w:t>
      </w:r>
      <w:r>
        <w:t>4-3</w:t>
      </w:r>
      <w:r>
        <w:fldChar w:fldCharType="end"/>
      </w:r>
      <w:r>
        <w:rPr>
          <w:rFonts w:hint="eastAsia"/>
        </w:rPr>
        <w:t>所示：包括外联区、核心区及内网接入区等。</w:t>
      </w:r>
    </w:p>
    <w:p w14:paraId="61EF9C88" w14:textId="0B9E2086" w:rsidR="009653FB" w:rsidRDefault="009653FB" w:rsidP="009653FB">
      <w:pPr>
        <w:jc w:val="center"/>
        <w:rPr>
          <w:rFonts w:hint="eastAsia"/>
        </w:rPr>
      </w:pPr>
      <w:r>
        <w:rPr>
          <w:noProof/>
        </w:rPr>
        <w:lastRenderedPageBreak/>
        <w:drawing>
          <wp:inline distT="0" distB="0" distL="0" distR="0" wp14:anchorId="28AE7D86" wp14:editId="2296BB5A">
            <wp:extent cx="4772660" cy="5095240"/>
            <wp:effectExtent l="0" t="0" r="8890" b="0"/>
            <wp:docPr id="1361" name="图片 136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1361" descr="图示&#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2660" cy="5095240"/>
                    </a:xfrm>
                    <a:prstGeom prst="rect">
                      <a:avLst/>
                    </a:prstGeom>
                    <a:noFill/>
                    <a:ln>
                      <a:noFill/>
                    </a:ln>
                  </pic:spPr>
                </pic:pic>
              </a:graphicData>
            </a:graphic>
          </wp:inline>
        </w:drawing>
      </w:r>
    </w:p>
    <w:p w14:paraId="4054E8E5" w14:textId="25F9D70E"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rPr>
          <w:rFonts w:hint="eastAsia"/>
        </w:rPr>
      </w:pPr>
      <w:r>
        <w:rPr>
          <w:rFonts w:hint="eastAsia"/>
        </w:rPr>
        <w:t>外联区</w:t>
      </w:r>
    </w:p>
    <w:p w14:paraId="14776AB7" w14:textId="77777777" w:rsidR="009653FB" w:rsidRDefault="009653FB">
      <w:pPr>
        <w:pStyle w:val="a3"/>
        <w:widowControl/>
        <w:numPr>
          <w:ilvl w:val="0"/>
          <w:numId w:val="19"/>
        </w:numPr>
        <w:topLinePunct/>
        <w:adjustRightInd w:val="0"/>
        <w:snapToGrid w:val="0"/>
        <w:spacing w:before="160" w:after="160" w:line="240" w:lineRule="atLeast"/>
        <w:ind w:leftChars="600" w:left="1680" w:firstLineChars="0"/>
        <w:jc w:val="left"/>
        <w:rPr>
          <w:rFonts w:hint="eastAsia"/>
        </w:rPr>
      </w:pPr>
      <w:r>
        <w:rPr>
          <w:rFonts w:hint="eastAsia"/>
        </w:rPr>
        <w:t>远程接入区</w:t>
      </w:r>
    </w:p>
    <w:p w14:paraId="4445B9EF" w14:textId="77777777" w:rsidR="009653FB" w:rsidRDefault="009653FB" w:rsidP="009653FB">
      <w:pPr>
        <w:ind w:leftChars="602" w:left="1266" w:hanging="2"/>
        <w:rPr>
          <w:rFonts w:hint="eastAsia"/>
        </w:rPr>
      </w:pPr>
      <w:r>
        <w:rPr>
          <w:rFonts w:hint="eastAsia"/>
        </w:rPr>
        <w:t>提供给各级政府部门访问的数据中心区域。政府部门一般通过国家云外网采用</w:t>
      </w:r>
      <w:r>
        <w:t>MPLS-VPN</w:t>
      </w:r>
      <w:r>
        <w:rPr>
          <w:rFonts w:hint="eastAsia"/>
        </w:rPr>
        <w:t>方式进行接入；另外，远程接入区也可用于容灾数据中心互联</w:t>
      </w:r>
      <w:r>
        <w:rPr>
          <w:rFonts w:hint="eastAsia"/>
          <w:snapToGrid w:val="0"/>
        </w:rPr>
        <w:t>。</w:t>
      </w:r>
    </w:p>
    <w:p w14:paraId="41FADC4B" w14:textId="7CBBF951" w:rsidR="009653FB" w:rsidRDefault="009653FB">
      <w:pPr>
        <w:pStyle w:val="a3"/>
        <w:widowControl/>
        <w:numPr>
          <w:ilvl w:val="0"/>
          <w:numId w:val="19"/>
        </w:numPr>
        <w:topLinePunct/>
        <w:adjustRightInd w:val="0"/>
        <w:snapToGrid w:val="0"/>
        <w:spacing w:before="160" w:after="160" w:line="240" w:lineRule="atLeast"/>
        <w:ind w:leftChars="600" w:left="1680" w:firstLineChars="0"/>
        <w:jc w:val="left"/>
        <w:rPr>
          <w:rFonts w:hint="eastAsia"/>
        </w:rPr>
      </w:pPr>
      <w:r>
        <w:t>Internet</w:t>
      </w:r>
      <w:r>
        <w:rPr>
          <w:rFonts w:hint="eastAsia"/>
        </w:rPr>
        <w:t>接入区</w:t>
      </w:r>
    </w:p>
    <w:p w14:paraId="4FE1F440" w14:textId="77777777" w:rsidR="009653FB" w:rsidRDefault="009653FB" w:rsidP="009653FB">
      <w:pPr>
        <w:ind w:leftChars="602" w:left="1266" w:hanging="2"/>
        <w:rPr>
          <w:rFonts w:hint="eastAsia"/>
        </w:rPr>
      </w:pPr>
      <w:r>
        <w:rPr>
          <w:rFonts w:hint="eastAsia"/>
        </w:rPr>
        <w:t>提供给互联网用户访问的数据中心区域。</w:t>
      </w:r>
      <w:r>
        <w:t>Internet</w:t>
      </w:r>
      <w:r>
        <w:rPr>
          <w:rFonts w:hint="eastAsia"/>
        </w:rPr>
        <w:t>接入区的</w:t>
      </w:r>
      <w:r>
        <w:t>DMZ</w:t>
      </w:r>
      <w:r>
        <w:rPr>
          <w:rFonts w:hint="eastAsia"/>
        </w:rPr>
        <w:t>区，部署外部服务器群（如：外部</w:t>
      </w:r>
      <w:r>
        <w:t>DNS/FTP/Web</w:t>
      </w:r>
      <w:r>
        <w:rPr>
          <w:rFonts w:hint="eastAsia"/>
        </w:rPr>
        <w:t>服务器），用于互联网用户访问；为了提高互联网出口的可靠性，出口路由器一般接入到</w:t>
      </w:r>
      <w:r>
        <w:t>2</w:t>
      </w:r>
      <w:r>
        <w:rPr>
          <w:rFonts w:hint="eastAsia"/>
        </w:rPr>
        <w:t>个不同的运营商。国内一般会选择中国电信和中国联通两个运营商。</w:t>
      </w:r>
    </w:p>
    <w:p w14:paraId="2A640E46" w14:textId="52589255"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rPr>
          <w:rFonts w:hint="eastAsia"/>
        </w:rPr>
      </w:pPr>
      <w:r>
        <w:rPr>
          <w:rFonts w:hint="eastAsia"/>
        </w:rPr>
        <w:t>内网接入区</w:t>
      </w:r>
    </w:p>
    <w:p w14:paraId="5B8450CB" w14:textId="77777777" w:rsidR="009653FB" w:rsidRDefault="009653FB" w:rsidP="009653FB">
      <w:pPr>
        <w:ind w:leftChars="602" w:left="1266" w:hanging="2"/>
        <w:rPr>
          <w:rFonts w:hint="eastAsia"/>
        </w:rPr>
      </w:pPr>
      <w:r>
        <w:rPr>
          <w:rFonts w:hint="eastAsia"/>
        </w:rPr>
        <w:t>用于接入内网的数据中心区域，外网数据中心与内网互联需要通过网闸实现物理安全隔离。</w:t>
      </w:r>
    </w:p>
    <w:p w14:paraId="7E1C72E1" w14:textId="2AF2B51A"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rPr>
          <w:rFonts w:hint="eastAsia"/>
        </w:rPr>
      </w:pPr>
      <w:r>
        <w:rPr>
          <w:rFonts w:hint="eastAsia"/>
        </w:rPr>
        <w:t>核心区</w:t>
      </w:r>
    </w:p>
    <w:p w14:paraId="24701A9A" w14:textId="77777777" w:rsidR="009653FB" w:rsidRDefault="009653FB" w:rsidP="009653FB">
      <w:pPr>
        <w:ind w:leftChars="602" w:left="1266" w:hanging="2"/>
        <w:rPr>
          <w:rFonts w:hint="eastAsia"/>
        </w:rPr>
      </w:pPr>
      <w:r>
        <w:rPr>
          <w:rFonts w:hint="eastAsia"/>
        </w:rPr>
        <w:t>核心区对外部网络不可见，主要为政府各部门用户提供业务服务。该区域包括：网络服务区、等保二级业务区、等保三级业务区、开发测试区及运行管理区。</w:t>
      </w:r>
    </w:p>
    <w:p w14:paraId="7BB938F8" w14:textId="77777777" w:rsidR="009653FB" w:rsidRDefault="009653FB" w:rsidP="009653FB">
      <w:pPr>
        <w:pStyle w:val="4"/>
        <w:rPr>
          <w:rFonts w:hint="eastAsia"/>
        </w:rPr>
      </w:pPr>
      <w:bookmarkStart w:id="103" w:name="_Toc320890340"/>
      <w:bookmarkStart w:id="104" w:name="_Toc320984064"/>
      <w:bookmarkStart w:id="105" w:name="_Toc326001905"/>
      <w:r>
        <w:rPr>
          <w:rFonts w:hint="eastAsia"/>
        </w:rPr>
        <w:lastRenderedPageBreak/>
        <w:t>网络核心层设计</w:t>
      </w:r>
      <w:bookmarkEnd w:id="103"/>
      <w:bookmarkEnd w:id="104"/>
      <w:bookmarkEnd w:id="105"/>
    </w:p>
    <w:p w14:paraId="0BCB76B0" w14:textId="77777777" w:rsidR="009653FB" w:rsidRDefault="009653FB" w:rsidP="009653FB">
      <w:pPr>
        <w:pStyle w:val="5"/>
        <w:rPr>
          <w:rFonts w:hint="eastAsia"/>
        </w:rPr>
      </w:pPr>
      <w:bookmarkStart w:id="106" w:name="_Toc320890341"/>
      <w:bookmarkStart w:id="107" w:name="_Toc320984065"/>
      <w:bookmarkStart w:id="108" w:name="_Toc326001906"/>
      <w:r>
        <w:rPr>
          <w:rFonts w:hint="eastAsia"/>
        </w:rPr>
        <w:t>组网设计</w:t>
      </w:r>
      <w:bookmarkEnd w:id="106"/>
      <w:bookmarkEnd w:id="107"/>
      <w:bookmarkEnd w:id="108"/>
    </w:p>
    <w:p w14:paraId="1794E354" w14:textId="77777777" w:rsidR="009653FB" w:rsidRDefault="009653FB" w:rsidP="009653FB">
      <w:pPr>
        <w:rPr>
          <w:rFonts w:hint="eastAsia"/>
        </w:rPr>
      </w:pPr>
      <w:r>
        <w:rPr>
          <w:rFonts w:hint="eastAsia"/>
        </w:rPr>
        <w:t>数据中心的网络核心层采用的是核心层、接入层的扁平化二层网络架构；扁平化网络设计降低了网络复杂度，简化了网络拓扑，提高了转发性能。</w:t>
      </w:r>
    </w:p>
    <w:p w14:paraId="45E1D97E" w14:textId="77777777" w:rsidR="009653FB" w:rsidRDefault="009653FB" w:rsidP="009653FB">
      <w:pPr>
        <w:rPr>
          <w:rFonts w:hint="eastAsia"/>
        </w:rPr>
      </w:pPr>
      <w:r>
        <w:rPr>
          <w:rFonts w:hint="eastAsia"/>
        </w:rPr>
        <w:t>数据中心网络核心层的规划图如</w:t>
      </w:r>
      <w:r>
        <w:fldChar w:fldCharType="begin"/>
      </w:r>
      <w:r>
        <w:instrText xml:space="preserve"> REF _Ref320890393 \r \h </w:instrText>
      </w:r>
      <w:r>
        <w:fldChar w:fldCharType="separate"/>
      </w:r>
      <w:r>
        <w:rPr>
          <w:rFonts w:hint="eastAsia"/>
        </w:rPr>
        <w:t>图</w:t>
      </w:r>
      <w:r>
        <w:t>4-4</w:t>
      </w:r>
      <w:r>
        <w:fldChar w:fldCharType="end"/>
      </w:r>
      <w:r>
        <w:rPr>
          <w:rFonts w:hint="eastAsia"/>
        </w:rPr>
        <w:t>所示。</w:t>
      </w:r>
    </w:p>
    <w:p w14:paraId="2F03DC8D" w14:textId="68F02276" w:rsidR="009653FB" w:rsidRDefault="009653FB" w:rsidP="009653FB">
      <w:pPr>
        <w:jc w:val="center"/>
        <w:rPr>
          <w:rFonts w:hint="eastAsia"/>
        </w:rPr>
      </w:pPr>
      <w:r>
        <w:rPr>
          <w:noProof/>
        </w:rPr>
        <w:drawing>
          <wp:inline distT="0" distB="0" distL="0" distR="0" wp14:anchorId="4912361A" wp14:editId="5FC6CE95">
            <wp:extent cx="4677410" cy="1712595"/>
            <wp:effectExtent l="0" t="0" r="8890" b="1905"/>
            <wp:docPr id="1360" name="图片 136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图片 1360" descr="图示&#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7410" cy="1712595"/>
                    </a:xfrm>
                    <a:prstGeom prst="rect">
                      <a:avLst/>
                    </a:prstGeom>
                    <a:noFill/>
                    <a:ln>
                      <a:noFill/>
                    </a:ln>
                  </pic:spPr>
                </pic:pic>
              </a:graphicData>
            </a:graphic>
          </wp:inline>
        </w:drawing>
      </w:r>
    </w:p>
    <w:p w14:paraId="4230E2DE" w14:textId="77777777" w:rsidR="009653FB" w:rsidRDefault="009653FB">
      <w:pPr>
        <w:pStyle w:val="a3"/>
        <w:widowControl/>
        <w:numPr>
          <w:ilvl w:val="0"/>
          <w:numId w:val="20"/>
        </w:numPr>
        <w:topLinePunct/>
        <w:adjustRightInd w:val="0"/>
        <w:snapToGrid w:val="0"/>
        <w:spacing w:before="160" w:after="160" w:line="240" w:lineRule="atLeast"/>
        <w:ind w:firstLineChars="0"/>
        <w:jc w:val="left"/>
        <w:rPr>
          <w:rFonts w:hint="eastAsia"/>
        </w:rPr>
      </w:pPr>
      <w:r>
        <w:rPr>
          <w:rFonts w:hint="eastAsia"/>
        </w:rPr>
        <w:t>核心层：</w:t>
      </w:r>
      <w:r>
        <w:t>2</w:t>
      </w:r>
      <w:r>
        <w:rPr>
          <w:rFonts w:hint="eastAsia"/>
        </w:rPr>
        <w:t>台核心交换机采用</w:t>
      </w:r>
      <w:r>
        <w:t>CSS</w:t>
      </w:r>
      <w:r>
        <w:rPr>
          <w:rFonts w:hint="eastAsia"/>
        </w:rPr>
        <w:t>虚拟集群技术，下行链路选择</w:t>
      </w:r>
      <w:r>
        <w:t>10G</w:t>
      </w:r>
      <w:r>
        <w:rPr>
          <w:rFonts w:hint="eastAsia"/>
        </w:rPr>
        <w:t>链路捆绑技术与接入交换机互联，增加带宽的同时也提高了网络链路的可靠性。</w:t>
      </w:r>
    </w:p>
    <w:p w14:paraId="687C29B9" w14:textId="77777777" w:rsidR="009653FB" w:rsidRDefault="009653FB">
      <w:pPr>
        <w:pStyle w:val="a3"/>
        <w:widowControl/>
        <w:numPr>
          <w:ilvl w:val="0"/>
          <w:numId w:val="20"/>
        </w:numPr>
        <w:topLinePunct/>
        <w:adjustRightInd w:val="0"/>
        <w:snapToGrid w:val="0"/>
        <w:spacing w:before="160" w:after="160" w:line="240" w:lineRule="atLeast"/>
        <w:ind w:firstLineChars="0"/>
        <w:jc w:val="left"/>
        <w:rPr>
          <w:rFonts w:hint="eastAsia"/>
        </w:rPr>
      </w:pPr>
      <w:r>
        <w:rPr>
          <w:rFonts w:hint="eastAsia"/>
        </w:rPr>
        <w:t>接入层：</w:t>
      </w:r>
      <w:r>
        <w:t>2</w:t>
      </w:r>
      <w:r>
        <w:rPr>
          <w:rFonts w:hint="eastAsia"/>
        </w:rPr>
        <w:t>台接入交换机采用堆叠技术，下行链路根据服务器的物理端口选择</w:t>
      </w:r>
      <w:r>
        <w:t>GE</w:t>
      </w:r>
      <w:r>
        <w:rPr>
          <w:rFonts w:hint="eastAsia"/>
        </w:rPr>
        <w:t>或</w:t>
      </w:r>
      <w:r>
        <w:t>10GE</w:t>
      </w:r>
      <w:r>
        <w:rPr>
          <w:rFonts w:hint="eastAsia"/>
        </w:rPr>
        <w:t>链路，上行链路选择</w:t>
      </w:r>
      <w:r>
        <w:t>10G</w:t>
      </w:r>
      <w:r>
        <w:rPr>
          <w:rFonts w:hint="eastAsia"/>
        </w:rPr>
        <w:t>或</w:t>
      </w:r>
      <w:r>
        <w:t>10G</w:t>
      </w:r>
      <w:r>
        <w:rPr>
          <w:rFonts w:hint="eastAsia"/>
        </w:rPr>
        <w:t>链路捆绑技术，上联到</w:t>
      </w:r>
      <w:r>
        <w:t>2</w:t>
      </w:r>
      <w:r>
        <w:rPr>
          <w:rFonts w:hint="eastAsia"/>
        </w:rPr>
        <w:t>台核心交换机，增加带宽的同时也提高了网络链路的可靠性。接入层设备可以根据业务需求，选择机架式、刀片内置式等不同的接入交换机类型和不同规格的配置。</w:t>
      </w:r>
    </w:p>
    <w:p w14:paraId="7E599E8E" w14:textId="77777777" w:rsidR="009653FB" w:rsidRDefault="009653FB">
      <w:pPr>
        <w:pStyle w:val="a3"/>
        <w:widowControl/>
        <w:numPr>
          <w:ilvl w:val="0"/>
          <w:numId w:val="20"/>
        </w:numPr>
        <w:topLinePunct/>
        <w:adjustRightInd w:val="0"/>
        <w:snapToGrid w:val="0"/>
        <w:spacing w:before="160" w:after="160" w:line="240" w:lineRule="atLeast"/>
        <w:ind w:firstLineChars="0"/>
        <w:jc w:val="left"/>
        <w:rPr>
          <w:rFonts w:hint="eastAsia"/>
        </w:rPr>
      </w:pPr>
      <w:r>
        <w:rPr>
          <w:rFonts w:hint="eastAsia"/>
        </w:rPr>
        <w:t>核心交换机和接入交换机之间的四条跨框链路捆绑为一个</w:t>
      </w:r>
      <w:r>
        <w:t>Eth-Trunk</w:t>
      </w:r>
      <w:r>
        <w:rPr>
          <w:rFonts w:hint="eastAsia"/>
        </w:rPr>
        <w:t>组，网络架构变成树型模式，不需要启用</w:t>
      </w:r>
      <w:r>
        <w:t>STP</w:t>
      </w:r>
      <w:r>
        <w:rPr>
          <w:rFonts w:hint="eastAsia"/>
        </w:rPr>
        <w:t>协议，从根本上解决环路和</w:t>
      </w:r>
      <w:r>
        <w:t>spanning-tree</w:t>
      </w:r>
      <w:r>
        <w:rPr>
          <w:rFonts w:hint="eastAsia"/>
        </w:rPr>
        <w:t>收敛问题。</w:t>
      </w:r>
    </w:p>
    <w:p w14:paraId="4F24B38F" w14:textId="77777777" w:rsidR="009653FB" w:rsidRDefault="009653FB" w:rsidP="009653FB">
      <w:pPr>
        <w:pStyle w:val="5"/>
        <w:rPr>
          <w:rFonts w:hint="eastAsia"/>
        </w:rPr>
      </w:pPr>
      <w:bookmarkStart w:id="109" w:name="_Toc320890342"/>
      <w:bookmarkStart w:id="110" w:name="_Toc320984066"/>
      <w:bookmarkStart w:id="111" w:name="_Toc326001907"/>
      <w:r>
        <w:rPr>
          <w:rFonts w:hint="eastAsia"/>
        </w:rPr>
        <w:t>可靠性设计</w:t>
      </w:r>
      <w:bookmarkEnd w:id="109"/>
      <w:bookmarkEnd w:id="110"/>
      <w:bookmarkEnd w:id="111"/>
    </w:p>
    <w:p w14:paraId="4E094619" w14:textId="77777777" w:rsidR="009653FB" w:rsidRDefault="009653FB" w:rsidP="009653FB">
      <w:pPr>
        <w:rPr>
          <w:rFonts w:hint="eastAsia"/>
        </w:rPr>
      </w:pPr>
      <w:r>
        <w:rPr>
          <w:rFonts w:hint="eastAsia"/>
        </w:rPr>
        <w:t>网络核心层的可靠性设计从设备级冗余和链路级冗余两方面来实现：从设备冗余角度考虑，</w:t>
      </w:r>
      <w:r>
        <w:t>2</w:t>
      </w:r>
      <w:r>
        <w:rPr>
          <w:rFonts w:hint="eastAsia"/>
        </w:rPr>
        <w:t>台核心交换机之间采用</w:t>
      </w:r>
      <w:r>
        <w:t>CSS</w:t>
      </w:r>
      <w:r>
        <w:rPr>
          <w:rFonts w:hint="eastAsia"/>
        </w:rPr>
        <w:t>虚拟集群技术，每组的</w:t>
      </w:r>
      <w:r>
        <w:t>2</w:t>
      </w:r>
      <w:r>
        <w:rPr>
          <w:rFonts w:hint="eastAsia"/>
        </w:rPr>
        <w:t>台接入交换机之间采用堆叠技术；从链路的冗余角度考虑，核心交换机与接入交换机间的链路进行链路捆绑，大大提高网络高可靠性。</w:t>
      </w:r>
    </w:p>
    <w:p w14:paraId="54D2FC0E" w14:textId="77777777" w:rsidR="009653FB" w:rsidRDefault="009653FB" w:rsidP="009653FB">
      <w:pPr>
        <w:rPr>
          <w:rFonts w:hint="eastAsia"/>
        </w:rPr>
      </w:pPr>
      <w:r>
        <w:rPr>
          <w:rFonts w:hint="eastAsia"/>
        </w:rPr>
        <w:t>接入交换机只运行</w:t>
      </w:r>
      <w:r>
        <w:t>L2</w:t>
      </w:r>
      <w:r>
        <w:rPr>
          <w:rFonts w:hint="eastAsia"/>
        </w:rPr>
        <w:t>层交换功能，核心交换机运行</w:t>
      </w:r>
      <w:r>
        <w:t>L3+L2</w:t>
      </w:r>
      <w:r>
        <w:rPr>
          <w:rFonts w:hint="eastAsia"/>
        </w:rPr>
        <w:t>层路由交换功能，这样就需要解决核心交换机和接入交换机之间二层网络环路问题。</w:t>
      </w:r>
    </w:p>
    <w:p w14:paraId="3D1C9029" w14:textId="77777777" w:rsidR="009653FB" w:rsidRDefault="009653FB" w:rsidP="009653FB">
      <w:pPr>
        <w:rPr>
          <w:rFonts w:hint="eastAsia"/>
        </w:rPr>
      </w:pPr>
      <w:r>
        <w:rPr>
          <w:rFonts w:hint="eastAsia"/>
        </w:rPr>
        <w:t>本方案中采用“集群</w:t>
      </w:r>
      <w:r>
        <w:t>+</w:t>
      </w:r>
      <w:r>
        <w:rPr>
          <w:rFonts w:hint="eastAsia"/>
        </w:rPr>
        <w:t>堆叠</w:t>
      </w:r>
      <w:r>
        <w:t>+</w:t>
      </w:r>
      <w:r>
        <w:rPr>
          <w:rFonts w:hint="eastAsia"/>
        </w:rPr>
        <w:t>链路捆绑”的二层网络无环络解决方案，如</w:t>
      </w:r>
      <w:r>
        <w:fldChar w:fldCharType="begin"/>
      </w:r>
      <w:r>
        <w:instrText xml:space="preserve"> REF _Ref320799347 \r \h </w:instrText>
      </w:r>
      <w:r>
        <w:fldChar w:fldCharType="separate"/>
      </w:r>
      <w:r>
        <w:rPr>
          <w:rFonts w:hint="eastAsia"/>
        </w:rPr>
        <w:t>图</w:t>
      </w:r>
      <w:r>
        <w:t>4-5</w:t>
      </w:r>
      <w:r>
        <w:fldChar w:fldCharType="end"/>
      </w:r>
      <w:r>
        <w:rPr>
          <w:rFonts w:hint="eastAsia"/>
        </w:rPr>
        <w:t>所示：</w:t>
      </w:r>
    </w:p>
    <w:p w14:paraId="41FF50CF" w14:textId="10BB6B9B" w:rsidR="009653FB" w:rsidRDefault="009653FB" w:rsidP="009653FB">
      <w:pPr>
        <w:ind w:leftChars="510" w:left="1071"/>
        <w:rPr>
          <w:rFonts w:hint="eastAsia"/>
        </w:rPr>
      </w:pPr>
      <w:r>
        <w:rPr>
          <w:noProof/>
        </w:rPr>
        <w:lastRenderedPageBreak/>
        <w:drawing>
          <wp:inline distT="0" distB="0" distL="0" distR="0" wp14:anchorId="5AB254AB" wp14:editId="0027C4F4">
            <wp:extent cx="4677410" cy="2151380"/>
            <wp:effectExtent l="0" t="0" r="8890" b="1270"/>
            <wp:docPr id="1359" name="图片 135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图片 1359" descr="图示&#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7410" cy="2151380"/>
                    </a:xfrm>
                    <a:prstGeom prst="rect">
                      <a:avLst/>
                    </a:prstGeom>
                    <a:noFill/>
                    <a:ln>
                      <a:noFill/>
                    </a:ln>
                  </pic:spPr>
                </pic:pic>
              </a:graphicData>
            </a:graphic>
          </wp:inline>
        </w:drawing>
      </w:r>
    </w:p>
    <w:p w14:paraId="7ACBECDD" w14:textId="77777777" w:rsidR="009653FB" w:rsidRDefault="009653FB" w:rsidP="009653FB">
      <w:pPr>
        <w:ind w:firstLine="420"/>
        <w:rPr>
          <w:rFonts w:hint="eastAsia"/>
        </w:rPr>
      </w:pPr>
      <w:r>
        <w:rPr>
          <w:rFonts w:hint="eastAsia"/>
        </w:rPr>
        <w:t>核心交换机采用</w:t>
      </w:r>
      <w:r>
        <w:t>CSS</w:t>
      </w:r>
      <w:r>
        <w:rPr>
          <w:rFonts w:hint="eastAsia"/>
        </w:rPr>
        <w:t>虚拟集群技术，接入交换机采用堆叠技术；核心交换机与接入交换机间的链路进行链路捆绑，大大提高了网络的可靠性能。</w:t>
      </w:r>
    </w:p>
    <w:p w14:paraId="7C4AC80D" w14:textId="77777777" w:rsidR="009653FB" w:rsidRDefault="009653FB" w:rsidP="009653FB">
      <w:pPr>
        <w:pStyle w:val="4"/>
        <w:rPr>
          <w:rFonts w:hint="eastAsia"/>
        </w:rPr>
      </w:pPr>
      <w:bookmarkStart w:id="112" w:name="_Toc320890343"/>
      <w:bookmarkStart w:id="113" w:name="_Toc320984067"/>
      <w:bookmarkStart w:id="114" w:name="_Toc326001908"/>
      <w:r>
        <w:rPr>
          <w:rFonts w:hint="eastAsia"/>
        </w:rPr>
        <w:t>存储网络设计</w:t>
      </w:r>
      <w:bookmarkEnd w:id="112"/>
      <w:bookmarkEnd w:id="113"/>
      <w:bookmarkEnd w:id="114"/>
    </w:p>
    <w:p w14:paraId="5BE99EF8" w14:textId="77777777" w:rsidR="009653FB" w:rsidRDefault="009653FB" w:rsidP="009653FB">
      <w:pPr>
        <w:ind w:firstLine="420"/>
        <w:rPr>
          <w:rFonts w:hint="eastAsia"/>
        </w:rPr>
      </w:pPr>
      <w:r>
        <w:rPr>
          <w:rFonts w:hint="eastAsia"/>
        </w:rPr>
        <w:t>数据中心存储网络规划示意图如</w:t>
      </w:r>
      <w:r>
        <w:fldChar w:fldCharType="begin"/>
      </w:r>
      <w:r>
        <w:instrText xml:space="preserve"> REF _Ref320890402 \r \h </w:instrText>
      </w:r>
      <w:r>
        <w:fldChar w:fldCharType="separate"/>
      </w:r>
      <w:r>
        <w:rPr>
          <w:rFonts w:hint="eastAsia"/>
        </w:rPr>
        <w:t>图</w:t>
      </w:r>
      <w:r>
        <w:t>4-6</w:t>
      </w:r>
      <w:r>
        <w:fldChar w:fldCharType="end"/>
      </w:r>
      <w:r>
        <w:rPr>
          <w:rFonts w:hint="eastAsia"/>
        </w:rPr>
        <w:t>所示。</w:t>
      </w:r>
    </w:p>
    <w:p w14:paraId="72505FEB" w14:textId="5E34DD04" w:rsidR="009653FB" w:rsidRDefault="009653FB" w:rsidP="009653FB">
      <w:pPr>
        <w:ind w:leftChars="-337" w:hangingChars="337" w:hanging="708"/>
        <w:rPr>
          <w:rFonts w:hint="eastAsia"/>
        </w:rPr>
      </w:pPr>
      <w:r>
        <w:rPr>
          <w:noProof/>
        </w:rPr>
        <w:drawing>
          <wp:inline distT="0" distB="0" distL="0" distR="0" wp14:anchorId="0666FA11" wp14:editId="0ECDAE86">
            <wp:extent cx="4418965" cy="3314065"/>
            <wp:effectExtent l="0" t="0" r="635" b="635"/>
            <wp:docPr id="1358" name="图片 1358" descr="存储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存储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8965" cy="3314065"/>
                    </a:xfrm>
                    <a:prstGeom prst="rect">
                      <a:avLst/>
                    </a:prstGeom>
                    <a:noFill/>
                    <a:ln>
                      <a:noFill/>
                    </a:ln>
                  </pic:spPr>
                </pic:pic>
              </a:graphicData>
            </a:graphic>
          </wp:inline>
        </w:drawing>
      </w:r>
    </w:p>
    <w:p w14:paraId="107CBF13" w14:textId="441BC06B" w:rsidR="009653FB" w:rsidRDefault="009653FB" w:rsidP="009653FB">
      <w:pPr>
        <w:ind w:firstLine="420"/>
        <w:rPr>
          <w:rFonts w:hint="eastAsia"/>
        </w:rPr>
      </w:pPr>
      <w:r>
        <w:rPr>
          <w:rFonts w:hint="eastAsia"/>
        </w:rPr>
        <w:t>服务器存储网络主要包括</w:t>
      </w:r>
      <w:r>
        <w:t>IPSAN</w:t>
      </w:r>
      <w:r>
        <w:rPr>
          <w:rFonts w:hint="eastAsia"/>
        </w:rPr>
        <w:t>存储网和</w:t>
      </w:r>
      <w:r>
        <w:t>FCSAN</w:t>
      </w:r>
      <w:r>
        <w:rPr>
          <w:rFonts w:hint="eastAsia"/>
        </w:rPr>
        <w:t>存储网。服务器存储网络与业务网络是物理隔离的，服务器的业务网卡和存储网卡是分别上联到业务网络和存储网络的对应</w:t>
      </w:r>
      <w:r>
        <w:t>TOR</w:t>
      </w:r>
      <w:r>
        <w:rPr>
          <w:rFonts w:hint="eastAsia"/>
        </w:rPr>
        <w:t>接入交换机上。由于虚拟化的需求，极大的增进了服务器与存储的数据交换，对于</w:t>
      </w:r>
      <w:r>
        <w:t>IPSAN</w:t>
      </w:r>
      <w:r>
        <w:rPr>
          <w:rFonts w:hint="eastAsia"/>
        </w:rPr>
        <w:t>存储网络，至少要保证接入交换机采用</w:t>
      </w:r>
      <w:r>
        <w:t>10G</w:t>
      </w:r>
      <w:r>
        <w:rPr>
          <w:rFonts w:hint="eastAsia"/>
        </w:rPr>
        <w:t>的链路接入。</w:t>
      </w:r>
    </w:p>
    <w:p w14:paraId="1CBAE364" w14:textId="10598317" w:rsidR="009653FB" w:rsidRDefault="009653FB" w:rsidP="009653FB">
      <w:pPr>
        <w:ind w:firstLine="420"/>
        <w:rPr>
          <w:rFonts w:hint="eastAsia"/>
        </w:rPr>
      </w:pPr>
      <w:r>
        <w:rPr>
          <w:rFonts w:hint="eastAsia"/>
        </w:rPr>
        <w:t>当采用</w:t>
      </w:r>
      <w:r>
        <w:t>IPSAN</w:t>
      </w:r>
      <w:r>
        <w:rPr>
          <w:rFonts w:hint="eastAsia"/>
        </w:rPr>
        <w:t>存储网络时：业务服务区服务器和</w:t>
      </w:r>
      <w:r>
        <w:t>IPSAN</w:t>
      </w:r>
      <w:r>
        <w:rPr>
          <w:rFonts w:hint="eastAsia"/>
        </w:rPr>
        <w:t>存储的存储网卡一般采用</w:t>
      </w:r>
      <w:r>
        <w:t>GE</w:t>
      </w:r>
      <w:r>
        <w:rPr>
          <w:rFonts w:hint="eastAsia"/>
        </w:rPr>
        <w:t>端口上联到</w:t>
      </w:r>
      <w:r>
        <w:t>TOR</w:t>
      </w:r>
      <w:r>
        <w:rPr>
          <w:rFonts w:hint="eastAsia"/>
        </w:rPr>
        <w:t>接入以太网交换机，各</w:t>
      </w:r>
      <w:r>
        <w:t>TOR</w:t>
      </w:r>
      <w:r>
        <w:rPr>
          <w:rFonts w:hint="eastAsia"/>
        </w:rPr>
        <w:t>接入交换机通过</w:t>
      </w:r>
      <w:r>
        <w:t>10GE</w:t>
      </w:r>
      <w:r>
        <w:rPr>
          <w:rFonts w:hint="eastAsia"/>
        </w:rPr>
        <w:t>链路或</w:t>
      </w:r>
      <w:r>
        <w:t>10GE</w:t>
      </w:r>
      <w:r>
        <w:rPr>
          <w:rFonts w:hint="eastAsia"/>
        </w:rPr>
        <w:t>链路捆绑上联到</w:t>
      </w:r>
      <w:r>
        <w:t>IPSAN</w:t>
      </w:r>
      <w:r>
        <w:rPr>
          <w:rFonts w:hint="eastAsia"/>
        </w:rPr>
        <w:t>存储汇聚交换机。</w:t>
      </w:r>
    </w:p>
    <w:p w14:paraId="48B2429A" w14:textId="7FAC3BDB" w:rsidR="009653FB" w:rsidRDefault="009653FB" w:rsidP="009653FB">
      <w:pPr>
        <w:rPr>
          <w:rFonts w:hint="eastAsia"/>
        </w:rPr>
      </w:pPr>
      <w:r>
        <w:rPr>
          <w:rFonts w:hint="eastAsia"/>
        </w:rPr>
        <w:t>当采用</w:t>
      </w:r>
      <w:r>
        <w:t>FCSAN</w:t>
      </w:r>
      <w:r>
        <w:rPr>
          <w:rFonts w:hint="eastAsia"/>
        </w:rPr>
        <w:t>存储网络时：业务服务区服务器的</w:t>
      </w:r>
      <w:r>
        <w:t>HBA</w:t>
      </w:r>
      <w:r>
        <w:rPr>
          <w:rFonts w:hint="eastAsia"/>
        </w:rPr>
        <w:t>卡和</w:t>
      </w:r>
      <w:r>
        <w:t>FCSAN</w:t>
      </w:r>
      <w:r>
        <w:rPr>
          <w:rFonts w:hint="eastAsia"/>
        </w:rPr>
        <w:t>存储的</w:t>
      </w:r>
      <w:r>
        <w:t>FC</w:t>
      </w:r>
      <w:r>
        <w:rPr>
          <w:rFonts w:hint="eastAsia"/>
        </w:rPr>
        <w:t>接口通过光纤链路上联到</w:t>
      </w:r>
      <w:r>
        <w:t>FC</w:t>
      </w:r>
      <w:r>
        <w:rPr>
          <w:rFonts w:hint="eastAsia"/>
        </w:rPr>
        <w:t>交换机。</w:t>
      </w:r>
    </w:p>
    <w:p w14:paraId="79B1EE86" w14:textId="77777777" w:rsidR="009653FB" w:rsidRDefault="009653FB" w:rsidP="009653FB">
      <w:pPr>
        <w:pStyle w:val="4"/>
        <w:rPr>
          <w:rFonts w:hint="eastAsia"/>
        </w:rPr>
      </w:pPr>
      <w:bookmarkStart w:id="115" w:name="_Toc320984068"/>
      <w:bookmarkStart w:id="116" w:name="_Toc326001909"/>
      <w:r>
        <w:rPr>
          <w:rFonts w:hint="eastAsia"/>
        </w:rPr>
        <w:lastRenderedPageBreak/>
        <w:t>网络功能区设计</w:t>
      </w:r>
      <w:bookmarkEnd w:id="115"/>
      <w:bookmarkEnd w:id="116"/>
    </w:p>
    <w:p w14:paraId="3A18900D" w14:textId="77777777" w:rsidR="009653FB" w:rsidRDefault="009653FB" w:rsidP="009653FB">
      <w:pPr>
        <w:pStyle w:val="5"/>
        <w:rPr>
          <w:rFonts w:hint="eastAsia"/>
        </w:rPr>
      </w:pPr>
      <w:bookmarkStart w:id="117" w:name="_Toc320984069"/>
      <w:bookmarkStart w:id="118" w:name="_Toc326001910"/>
      <w:r>
        <w:rPr>
          <w:rFonts w:hint="eastAsia"/>
        </w:rPr>
        <w:t>外联区设计</w:t>
      </w:r>
      <w:bookmarkEnd w:id="117"/>
      <w:bookmarkEnd w:id="118"/>
    </w:p>
    <w:p w14:paraId="5B5B28D9" w14:textId="137D60B2" w:rsidR="009653FB" w:rsidRDefault="009653FB" w:rsidP="009653FB">
      <w:pPr>
        <w:pStyle w:val="6"/>
        <w:rPr>
          <w:rFonts w:hint="eastAsia"/>
        </w:rPr>
      </w:pPr>
      <w:r>
        <w:t>Internet</w:t>
      </w:r>
      <w:r>
        <w:rPr>
          <w:rFonts w:hint="eastAsia"/>
        </w:rPr>
        <w:t>接入区设计</w:t>
      </w:r>
    </w:p>
    <w:p w14:paraId="533AFCC6" w14:textId="77777777" w:rsidR="009653FB" w:rsidRDefault="009653FB" w:rsidP="009653FB">
      <w:pPr>
        <w:rPr>
          <w:rFonts w:hint="eastAsia"/>
        </w:rPr>
      </w:pPr>
      <w:r>
        <w:t>Internet</w:t>
      </w:r>
      <w:r>
        <w:rPr>
          <w:rFonts w:hint="eastAsia"/>
        </w:rPr>
        <w:t>接入区的网络架构示意图如</w:t>
      </w:r>
      <w:r>
        <w:fldChar w:fldCharType="begin"/>
      </w:r>
      <w:r>
        <w:instrText xml:space="preserve"> REF _Ref320984133 \r \h </w:instrText>
      </w:r>
      <w:r>
        <w:fldChar w:fldCharType="separate"/>
      </w:r>
      <w:r>
        <w:rPr>
          <w:rFonts w:hint="eastAsia"/>
        </w:rPr>
        <w:t>图</w:t>
      </w:r>
      <w:r>
        <w:t>4-7</w:t>
      </w:r>
      <w:r>
        <w:fldChar w:fldCharType="end"/>
      </w:r>
      <w:r>
        <w:rPr>
          <w:rFonts w:hint="eastAsia"/>
        </w:rPr>
        <w:t>所示。</w:t>
      </w:r>
    </w:p>
    <w:p w14:paraId="34D8ABAB" w14:textId="538A19B1" w:rsidR="009653FB" w:rsidRDefault="009653FB" w:rsidP="009653FB">
      <w:pPr>
        <w:pStyle w:val="a5"/>
        <w:spacing w:after="120"/>
        <w:ind w:firstLine="480"/>
        <w:jc w:val="center"/>
        <w:rPr>
          <w:rFonts w:hint="eastAsia"/>
        </w:rPr>
      </w:pPr>
      <w:r>
        <w:rPr>
          <w:noProof/>
        </w:rPr>
        <w:drawing>
          <wp:inline distT="0" distB="0" distL="0" distR="0" wp14:anchorId="37941EC4" wp14:editId="20ED8814">
            <wp:extent cx="3589020" cy="3266440"/>
            <wp:effectExtent l="0" t="0" r="0" b="0"/>
            <wp:docPr id="1357" name="图片 1357" descr="Internet接入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descr="Internet接入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20" cy="3266440"/>
                    </a:xfrm>
                    <a:prstGeom prst="rect">
                      <a:avLst/>
                    </a:prstGeom>
                    <a:noFill/>
                    <a:ln>
                      <a:noFill/>
                    </a:ln>
                  </pic:spPr>
                </pic:pic>
              </a:graphicData>
            </a:graphic>
          </wp:inline>
        </w:drawing>
      </w:r>
    </w:p>
    <w:p w14:paraId="773E88C6" w14:textId="0D8141F7" w:rsidR="009653FB" w:rsidRDefault="009653FB" w:rsidP="009653FB">
      <w:pPr>
        <w:ind w:firstLine="420"/>
        <w:rPr>
          <w:rFonts w:hint="eastAsia"/>
        </w:rPr>
      </w:pPr>
      <w:r>
        <w:t>Internet</w:t>
      </w:r>
      <w:r>
        <w:rPr>
          <w:rFonts w:hint="eastAsia"/>
        </w:rPr>
        <w:t>接入区包括出口路由器、链路负载均衡</w:t>
      </w:r>
      <w:r>
        <w:t>LLB</w:t>
      </w:r>
      <w:r>
        <w:rPr>
          <w:rFonts w:hint="eastAsia"/>
        </w:rPr>
        <w:t>、防火墙、</w:t>
      </w:r>
      <w:r>
        <w:t>IPSec/SSLVPN</w:t>
      </w:r>
      <w:r>
        <w:rPr>
          <w:rFonts w:hint="eastAsia"/>
        </w:rPr>
        <w:t>接入网关、应用负载均衡、接入交换机等网络设备。</w:t>
      </w:r>
    </w:p>
    <w:p w14:paraId="351202F9" w14:textId="77777777" w:rsidR="009653FB" w:rsidRDefault="009653FB">
      <w:pPr>
        <w:pStyle w:val="a3"/>
        <w:widowControl/>
        <w:numPr>
          <w:ilvl w:val="0"/>
          <w:numId w:val="21"/>
        </w:numPr>
        <w:topLinePunct/>
        <w:adjustRightInd w:val="0"/>
        <w:snapToGrid w:val="0"/>
        <w:spacing w:before="160" w:after="160" w:line="240" w:lineRule="atLeast"/>
        <w:ind w:firstLineChars="0"/>
        <w:jc w:val="left"/>
        <w:rPr>
          <w:rFonts w:hint="eastAsia"/>
        </w:rPr>
      </w:pPr>
      <w:r>
        <w:rPr>
          <w:rFonts w:hint="eastAsia"/>
        </w:rPr>
        <w:t>出口路由器：部署</w:t>
      </w:r>
      <w:r>
        <w:t>2</w:t>
      </w:r>
      <w:r>
        <w:rPr>
          <w:rFonts w:hint="eastAsia"/>
        </w:rPr>
        <w:t>台设备实现冗余，并分别上联到</w:t>
      </w:r>
      <w:r>
        <w:t>2</w:t>
      </w:r>
      <w:r>
        <w:rPr>
          <w:rFonts w:hint="eastAsia"/>
        </w:rPr>
        <w:t>个不同的运营商；出口路由器与运营商之间一般采用静态路由或</w:t>
      </w:r>
      <w:r>
        <w:t>BGP</w:t>
      </w:r>
      <w:r>
        <w:rPr>
          <w:rFonts w:hint="eastAsia"/>
        </w:rPr>
        <w:t>路由协议。</w:t>
      </w:r>
    </w:p>
    <w:p w14:paraId="0F08EBCB" w14:textId="77777777" w:rsidR="009653FB" w:rsidRDefault="009653FB">
      <w:pPr>
        <w:pStyle w:val="a3"/>
        <w:widowControl/>
        <w:numPr>
          <w:ilvl w:val="0"/>
          <w:numId w:val="21"/>
        </w:numPr>
        <w:topLinePunct/>
        <w:adjustRightInd w:val="0"/>
        <w:snapToGrid w:val="0"/>
        <w:spacing w:before="160" w:after="160" w:line="240" w:lineRule="atLeast"/>
        <w:ind w:firstLineChars="0"/>
        <w:jc w:val="left"/>
        <w:rPr>
          <w:rFonts w:hint="eastAsia"/>
        </w:rPr>
      </w:pPr>
      <w:r>
        <w:rPr>
          <w:rFonts w:hint="eastAsia"/>
        </w:rPr>
        <w:t>链路负载均衡</w:t>
      </w:r>
      <w:r>
        <w:t>LLB</w:t>
      </w:r>
      <w:r>
        <w:rPr>
          <w:rFonts w:hint="eastAsia"/>
        </w:rPr>
        <w:t>：部署</w:t>
      </w:r>
      <w:r>
        <w:t>2</w:t>
      </w:r>
      <w:r>
        <w:rPr>
          <w:rFonts w:hint="eastAsia"/>
        </w:rPr>
        <w:t>台设备实现冗余，</w:t>
      </w:r>
      <w:r>
        <w:t>2</w:t>
      </w:r>
      <w:r>
        <w:rPr>
          <w:rFonts w:hint="eastAsia"/>
        </w:rPr>
        <w:t>台</w:t>
      </w:r>
      <w:r>
        <w:t>LLB</w:t>
      </w:r>
      <w:r>
        <w:rPr>
          <w:rFonts w:hint="eastAsia"/>
        </w:rPr>
        <w:t>设备串接在出口路由器与出口防火墙之间上，每台</w:t>
      </w:r>
      <w:r>
        <w:t>LLB</w:t>
      </w:r>
      <w:r>
        <w:rPr>
          <w:rFonts w:hint="eastAsia"/>
        </w:rPr>
        <w:t>分别通过</w:t>
      </w:r>
      <w:r>
        <w:t>2</w:t>
      </w:r>
      <w:r>
        <w:rPr>
          <w:rFonts w:hint="eastAsia"/>
        </w:rPr>
        <w:t>条电路与出口路由器进行冗余连接；</w:t>
      </w:r>
      <w:r>
        <w:t>2</w:t>
      </w:r>
      <w:r>
        <w:rPr>
          <w:rFonts w:hint="eastAsia"/>
        </w:rPr>
        <w:t>台</w:t>
      </w:r>
      <w:r>
        <w:t>LLB</w:t>
      </w:r>
      <w:r>
        <w:rPr>
          <w:rFonts w:hint="eastAsia"/>
        </w:rPr>
        <w:t>采用双机热备的方式进行部署，并与出口路由器运行静态路由协议。</w:t>
      </w:r>
      <w:r>
        <w:t>LLB</w:t>
      </w:r>
      <w:r>
        <w:rPr>
          <w:rFonts w:hint="eastAsia"/>
        </w:rPr>
        <w:t>可以按照相应的策略，实现多互联网出口链路之间的智能选择，实现负载均衡和冗余备份。</w:t>
      </w:r>
    </w:p>
    <w:p w14:paraId="644A7C59" w14:textId="77777777" w:rsidR="009653FB" w:rsidRDefault="009653FB">
      <w:pPr>
        <w:pStyle w:val="a3"/>
        <w:widowControl/>
        <w:numPr>
          <w:ilvl w:val="0"/>
          <w:numId w:val="21"/>
        </w:numPr>
        <w:topLinePunct/>
        <w:adjustRightInd w:val="0"/>
        <w:snapToGrid w:val="0"/>
        <w:spacing w:before="160" w:after="160" w:line="240" w:lineRule="atLeast"/>
        <w:ind w:firstLineChars="0"/>
        <w:jc w:val="left"/>
        <w:rPr>
          <w:rFonts w:hint="eastAsia"/>
        </w:rPr>
      </w:pPr>
      <w:r>
        <w:rPr>
          <w:rFonts w:hint="eastAsia"/>
        </w:rPr>
        <w:t>防火墙：在网络层面，通过防火墙设备</w:t>
      </w:r>
      <w:r>
        <w:t>NAT</w:t>
      </w:r>
      <w:r>
        <w:rPr>
          <w:rFonts w:hint="eastAsia"/>
        </w:rPr>
        <w:t>技术隐藏内网拓扑，是</w:t>
      </w:r>
      <w:r>
        <w:t>Internet</w:t>
      </w:r>
      <w:r>
        <w:rPr>
          <w:rFonts w:hint="eastAsia"/>
        </w:rPr>
        <w:t>接入区的第一道网络安全屏障。</w:t>
      </w:r>
      <w:r>
        <w:t>2</w:t>
      </w:r>
      <w:r>
        <w:rPr>
          <w:rFonts w:hint="eastAsia"/>
        </w:rPr>
        <w:t>台防火墙采用双机热备的方式进行部署，提高可靠性；防火墙采用路由模式，并与</w:t>
      </w:r>
      <w:r>
        <w:t>LLB</w:t>
      </w:r>
      <w:r>
        <w:rPr>
          <w:rFonts w:hint="eastAsia"/>
        </w:rPr>
        <w:t>设备之间运行静态路由协议。</w:t>
      </w:r>
    </w:p>
    <w:p w14:paraId="1891459D" w14:textId="5E232367" w:rsidR="009653FB" w:rsidRDefault="009653FB">
      <w:pPr>
        <w:pStyle w:val="a3"/>
        <w:widowControl/>
        <w:numPr>
          <w:ilvl w:val="0"/>
          <w:numId w:val="21"/>
        </w:numPr>
        <w:topLinePunct/>
        <w:adjustRightInd w:val="0"/>
        <w:snapToGrid w:val="0"/>
        <w:spacing w:before="160" w:after="160" w:line="240" w:lineRule="atLeast"/>
        <w:ind w:firstLineChars="0"/>
        <w:jc w:val="left"/>
        <w:rPr>
          <w:rFonts w:hint="eastAsia"/>
        </w:rPr>
      </w:pPr>
      <w:r>
        <w:t>IPSec/SSLVPN</w:t>
      </w:r>
      <w:r>
        <w:rPr>
          <w:rFonts w:hint="eastAsia"/>
        </w:rPr>
        <w:t>安全网关设备：采用</w:t>
      </w:r>
      <w:r>
        <w:t>1</w:t>
      </w:r>
      <w:r>
        <w:rPr>
          <w:rFonts w:hint="eastAsia"/>
        </w:rPr>
        <w:t>台</w:t>
      </w:r>
      <w:r>
        <w:t>IPSec/SSLVPN</w:t>
      </w:r>
      <w:r>
        <w:rPr>
          <w:rFonts w:hint="eastAsia"/>
        </w:rPr>
        <w:t>安全网关设备，同时支持</w:t>
      </w:r>
      <w:proofErr w:type="spellStart"/>
      <w:r>
        <w:t>IPSecVPN</w:t>
      </w:r>
      <w:proofErr w:type="spellEnd"/>
      <w:r>
        <w:rPr>
          <w:rFonts w:hint="eastAsia"/>
        </w:rPr>
        <w:t>和</w:t>
      </w:r>
      <w:r>
        <w:t>SSLVPN</w:t>
      </w:r>
      <w:r>
        <w:rPr>
          <w:rFonts w:hint="eastAsia"/>
        </w:rPr>
        <w:t>业务的接入；</w:t>
      </w:r>
      <w:r>
        <w:t>IPSec/SSLVPN</w:t>
      </w:r>
      <w:r>
        <w:rPr>
          <w:rFonts w:hint="eastAsia"/>
        </w:rPr>
        <w:t>安全网关设备旁挂在出口防火墙上，并通过</w:t>
      </w:r>
      <w:r>
        <w:t>GE</w:t>
      </w:r>
      <w:r>
        <w:rPr>
          <w:rFonts w:hint="eastAsia"/>
        </w:rPr>
        <w:t>端口同时与</w:t>
      </w:r>
      <w:r>
        <w:t>2</w:t>
      </w:r>
      <w:r>
        <w:rPr>
          <w:rFonts w:hint="eastAsia"/>
        </w:rPr>
        <w:t>台防火墙进行冗余连接。</w:t>
      </w:r>
    </w:p>
    <w:p w14:paraId="1828655D" w14:textId="77777777" w:rsidR="009653FB" w:rsidRDefault="009653FB" w:rsidP="009653FB">
      <w:pPr>
        <w:pStyle w:val="6"/>
        <w:rPr>
          <w:rFonts w:hint="eastAsia"/>
        </w:rPr>
      </w:pPr>
      <w:r>
        <w:rPr>
          <w:rFonts w:hint="eastAsia"/>
        </w:rPr>
        <w:lastRenderedPageBreak/>
        <w:t>公共信息服务</w:t>
      </w:r>
      <w:r>
        <w:t>DMZ</w:t>
      </w:r>
      <w:r>
        <w:rPr>
          <w:rFonts w:hint="eastAsia"/>
        </w:rPr>
        <w:t>区设计</w:t>
      </w:r>
    </w:p>
    <w:p w14:paraId="60C565A5" w14:textId="77777777" w:rsidR="009653FB" w:rsidRDefault="009653FB" w:rsidP="009653FB">
      <w:pPr>
        <w:ind w:firstLine="420"/>
        <w:rPr>
          <w:rFonts w:hint="eastAsia"/>
        </w:rPr>
      </w:pPr>
      <w:r>
        <w:rPr>
          <w:rFonts w:hint="eastAsia"/>
        </w:rPr>
        <w:t>公共信息服务</w:t>
      </w:r>
      <w:r>
        <w:t>DMZ</w:t>
      </w:r>
      <w:r>
        <w:rPr>
          <w:rFonts w:hint="eastAsia"/>
        </w:rPr>
        <w:t>区部署在</w:t>
      </w:r>
      <w:r>
        <w:t>Internet</w:t>
      </w:r>
      <w:r>
        <w:rPr>
          <w:rFonts w:hint="eastAsia"/>
        </w:rPr>
        <w:t>接入区，用于部署提供政府公共服务的</w:t>
      </w:r>
      <w:r>
        <w:t>Web</w:t>
      </w:r>
      <w:r>
        <w:rPr>
          <w:rFonts w:hint="eastAsia"/>
        </w:rPr>
        <w:t>、</w:t>
      </w:r>
      <w:r>
        <w:t>DNS</w:t>
      </w:r>
      <w:r>
        <w:rPr>
          <w:rFonts w:hint="eastAsia"/>
        </w:rPr>
        <w:t>、</w:t>
      </w:r>
      <w:r>
        <w:t>FTP</w:t>
      </w:r>
      <w:r>
        <w:rPr>
          <w:rFonts w:hint="eastAsia"/>
        </w:rPr>
        <w:t>等应用；对于提供公共信息服务的应用及数据库主机一般部署在核心内网的公共服务区。</w:t>
      </w:r>
    </w:p>
    <w:p w14:paraId="0FD94203" w14:textId="18F8861B" w:rsidR="009653FB" w:rsidRDefault="00670AA8" w:rsidP="009653FB">
      <w:pPr>
        <w:rPr>
          <w:rFonts w:hint="eastAsia"/>
        </w:rPr>
      </w:pPr>
      <w:r>
        <w:rPr>
          <w:rFonts w:hint="eastAsia"/>
        </w:rPr>
        <w:t>云</w:t>
      </w:r>
      <w:r w:rsidR="009653FB">
        <w:rPr>
          <w:rFonts w:hint="eastAsia"/>
        </w:rPr>
        <w:t>的公共信息服务</w:t>
      </w:r>
      <w:r w:rsidR="009653FB">
        <w:t>DMZ</w:t>
      </w:r>
      <w:r w:rsidR="009653FB">
        <w:rPr>
          <w:rFonts w:hint="eastAsia"/>
        </w:rPr>
        <w:t>区的服务器数量较多，一般需要部署应用负载均衡设备和接入交换机设备，实现公共信息服务器进行接入和应用的负载均衡。接入交换机部署</w:t>
      </w:r>
      <w:r w:rsidR="009653FB">
        <w:t>2</w:t>
      </w:r>
      <w:r w:rsidR="009653FB">
        <w:rPr>
          <w:rFonts w:hint="eastAsia"/>
        </w:rPr>
        <w:t>台，分别与</w:t>
      </w:r>
      <w:r w:rsidR="009653FB">
        <w:t>2</w:t>
      </w:r>
      <w:r w:rsidR="009653FB">
        <w:rPr>
          <w:rFonts w:hint="eastAsia"/>
        </w:rPr>
        <w:t>台出口防火墙进行互联，连接在出口防火墙的</w:t>
      </w:r>
      <w:r w:rsidR="009653FB">
        <w:t>DMZ</w:t>
      </w:r>
      <w:r w:rsidR="009653FB">
        <w:rPr>
          <w:rFonts w:hint="eastAsia"/>
        </w:rPr>
        <w:t>接口；</w:t>
      </w:r>
      <w:r w:rsidR="009653FB">
        <w:t>2</w:t>
      </w:r>
      <w:r w:rsidR="009653FB">
        <w:rPr>
          <w:rFonts w:hint="eastAsia"/>
        </w:rPr>
        <w:t>台应用负载均衡设备采用旁挂的方式，分别通过</w:t>
      </w:r>
      <w:r w:rsidR="009653FB">
        <w:t>2</w:t>
      </w:r>
      <w:r w:rsidR="009653FB">
        <w:rPr>
          <w:rFonts w:hint="eastAsia"/>
        </w:rPr>
        <w:t>个</w:t>
      </w:r>
      <w:r w:rsidR="009653FB">
        <w:t>GE</w:t>
      </w:r>
      <w:r w:rsidR="009653FB">
        <w:rPr>
          <w:rFonts w:hint="eastAsia"/>
        </w:rPr>
        <w:t>端口与接入交换机进行互联。</w:t>
      </w:r>
    </w:p>
    <w:p w14:paraId="1CC6231E" w14:textId="77777777" w:rsidR="009653FB" w:rsidRDefault="009653FB" w:rsidP="009653FB">
      <w:pPr>
        <w:pStyle w:val="6"/>
        <w:rPr>
          <w:rFonts w:hint="eastAsia"/>
        </w:rPr>
      </w:pPr>
      <w:r>
        <w:rPr>
          <w:rFonts w:hint="eastAsia"/>
        </w:rPr>
        <w:t>外网出口链路负载均衡</w:t>
      </w:r>
    </w:p>
    <w:p w14:paraId="79F83C00" w14:textId="77777777" w:rsidR="009653FB" w:rsidRDefault="009653FB" w:rsidP="009653FB">
      <w:pPr>
        <w:ind w:firstLine="420"/>
        <w:rPr>
          <w:rFonts w:hint="eastAsia"/>
        </w:rPr>
      </w:pPr>
      <w:r>
        <w:rPr>
          <w:rFonts w:hint="eastAsia"/>
        </w:rPr>
        <w:t>数据中心一般承载着关键的业务系统，互联网的对外出口非常重要，如果只通过</w:t>
      </w:r>
      <w:r>
        <w:t>1</w:t>
      </w:r>
      <w:r>
        <w:rPr>
          <w:rFonts w:hint="eastAsia"/>
        </w:rPr>
        <w:t>条链路与运营商进行互联，意味着可能会出现的单点故障和脆弱的网络可靠性。为了提高数据中心的冗余性和可靠性，数据中心的互联网出口一般需要与</w:t>
      </w:r>
      <w:r>
        <w:t>2</w:t>
      </w:r>
      <w:r>
        <w:rPr>
          <w:rFonts w:hint="eastAsia"/>
        </w:rPr>
        <w:t>个不同运营商进行互联，提高</w:t>
      </w:r>
      <w:r>
        <w:t>Internet</w:t>
      </w:r>
      <w:r>
        <w:rPr>
          <w:rFonts w:hint="eastAsia"/>
        </w:rPr>
        <w:t>网络出口的冗余性，并减轻网络出口的传输瓶颈问题。</w:t>
      </w:r>
    </w:p>
    <w:p w14:paraId="4322CD67" w14:textId="77777777" w:rsidR="009653FB" w:rsidRDefault="009653FB" w:rsidP="009653FB">
      <w:pPr>
        <w:ind w:firstLine="420"/>
        <w:rPr>
          <w:rFonts w:hint="eastAsia"/>
        </w:rPr>
      </w:pPr>
      <w:r>
        <w:rPr>
          <w:rFonts w:hint="eastAsia"/>
        </w:rPr>
        <w:t>当数据中心的互联网出口与</w:t>
      </w:r>
      <w:r>
        <w:t>2</w:t>
      </w:r>
      <w:r>
        <w:rPr>
          <w:rFonts w:hint="eastAsia"/>
        </w:rPr>
        <w:t>个不同的运营商互联时，可以部署链路负载均衡设备</w:t>
      </w:r>
      <w:r>
        <w:t>LLB</w:t>
      </w:r>
      <w:r>
        <w:rPr>
          <w:rFonts w:hint="eastAsia"/>
        </w:rPr>
        <w:t>，实现数据中心</w:t>
      </w:r>
      <w:r>
        <w:t>2</w:t>
      </w:r>
      <w:r>
        <w:rPr>
          <w:rFonts w:hint="eastAsia"/>
        </w:rPr>
        <w:t>个互联网出口链路的智能选择，可以提高出口链路的利用率，实现出口链路的负载均衡和冗余备份。</w:t>
      </w:r>
    </w:p>
    <w:p w14:paraId="001EC3D4" w14:textId="77777777" w:rsidR="009653FB" w:rsidRDefault="009653FB" w:rsidP="009653FB">
      <w:pPr>
        <w:rPr>
          <w:rFonts w:hint="eastAsia"/>
        </w:rPr>
      </w:pPr>
      <w:r>
        <w:t>LLB</w:t>
      </w:r>
      <w:r>
        <w:rPr>
          <w:rFonts w:hint="eastAsia"/>
        </w:rPr>
        <w:t>实时监控</w:t>
      </w:r>
      <w:r>
        <w:t>2</w:t>
      </w:r>
      <w:r>
        <w:rPr>
          <w:rFonts w:hint="eastAsia"/>
        </w:rPr>
        <w:t>条链路的负载状况及其健康状况来保证链路的高可用性。</w:t>
      </w:r>
      <w:r>
        <w:t>LLB</w:t>
      </w:r>
      <w:r>
        <w:rPr>
          <w:rFonts w:hint="eastAsia"/>
        </w:rPr>
        <w:t>可以根据链路状况和链路负载情况进行链路选择；可以根据互联网用户的所在的运营商的位置静态选择相应的出口链路，比如中国联通的互联网用户，会从与中国联通的互联链路进行互访；也可以根据用户的</w:t>
      </w:r>
      <w:r>
        <w:t>IP</w:t>
      </w:r>
      <w:r>
        <w:rPr>
          <w:rFonts w:hint="eastAsia"/>
        </w:rPr>
        <w:t>地址（本地</w:t>
      </w:r>
      <w:r>
        <w:t>DNS</w:t>
      </w:r>
      <w:r>
        <w:rPr>
          <w:rFonts w:hint="eastAsia"/>
        </w:rPr>
        <w:t>）进行路径就近性判断，动态进行链路选择，指引用户从最快的、最好的、最近的路径访问。</w:t>
      </w:r>
    </w:p>
    <w:p w14:paraId="374B45C0" w14:textId="77777777" w:rsidR="009653FB" w:rsidRDefault="009653FB" w:rsidP="009653FB">
      <w:pPr>
        <w:rPr>
          <w:rFonts w:hint="eastAsia"/>
        </w:rPr>
      </w:pPr>
      <w:r>
        <w:rPr>
          <w:rFonts w:hint="eastAsia"/>
        </w:rPr>
        <w:t>数据中心的</w:t>
      </w:r>
      <w:r>
        <w:t>LLB</w:t>
      </w:r>
      <w:r>
        <w:rPr>
          <w:rFonts w:hint="eastAsia"/>
        </w:rPr>
        <w:t>多出口链路选择可以从两个方面进行分析：一方面是互联网用户访问数据中心的</w:t>
      </w:r>
      <w:r>
        <w:t>inbound</w:t>
      </w:r>
      <w:r>
        <w:rPr>
          <w:rFonts w:hint="eastAsia"/>
        </w:rPr>
        <w:t>流量；另一方面是数据中心访问互联网业务的</w:t>
      </w:r>
      <w:r>
        <w:t>outbound</w:t>
      </w:r>
      <w:r>
        <w:rPr>
          <w:rFonts w:hint="eastAsia"/>
        </w:rPr>
        <w:t>流量。以数据中心与中国联通和中国电信两个运营商互联为例对采用</w:t>
      </w:r>
      <w:r>
        <w:t>LLB</w:t>
      </w:r>
      <w:r>
        <w:rPr>
          <w:rFonts w:hint="eastAsia"/>
        </w:rPr>
        <w:t>设备进行方案说明。</w:t>
      </w:r>
    </w:p>
    <w:p w14:paraId="5DBFB742" w14:textId="77777777" w:rsidR="009653FB" w:rsidRDefault="009653FB" w:rsidP="009653FB">
      <w:pPr>
        <w:rPr>
          <w:rFonts w:hint="eastAsia"/>
        </w:rPr>
      </w:pPr>
      <w:r>
        <w:t>LLB</w:t>
      </w:r>
      <w:r>
        <w:rPr>
          <w:rFonts w:hint="eastAsia"/>
        </w:rPr>
        <w:t>业务数据流如</w:t>
      </w:r>
      <w:r>
        <w:fldChar w:fldCharType="begin"/>
      </w:r>
      <w:r>
        <w:instrText xml:space="preserve"> REF _Ref320890459 \r \h </w:instrText>
      </w:r>
      <w:r>
        <w:fldChar w:fldCharType="separate"/>
      </w:r>
      <w:r>
        <w:rPr>
          <w:rFonts w:hint="eastAsia"/>
        </w:rPr>
        <w:t>图</w:t>
      </w:r>
      <w:r>
        <w:t>4-8</w:t>
      </w:r>
      <w:r>
        <w:fldChar w:fldCharType="end"/>
      </w:r>
      <w:r>
        <w:rPr>
          <w:rFonts w:hint="eastAsia"/>
        </w:rPr>
        <w:t>所示。</w:t>
      </w:r>
    </w:p>
    <w:p w14:paraId="030165E0" w14:textId="1E71F6FE" w:rsidR="009653FB" w:rsidRDefault="009653FB" w:rsidP="009653FB">
      <w:pPr>
        <w:jc w:val="center"/>
        <w:rPr>
          <w:rFonts w:hint="eastAsia"/>
        </w:rPr>
      </w:pPr>
      <w:r>
        <w:rPr>
          <w:noProof/>
        </w:rPr>
        <w:drawing>
          <wp:inline distT="0" distB="0" distL="0" distR="0" wp14:anchorId="486D0EB5" wp14:editId="53E8A0E9">
            <wp:extent cx="4408170" cy="3589020"/>
            <wp:effectExtent l="0" t="0" r="0" b="0"/>
            <wp:docPr id="1356" name="图片 1356" descr="L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LL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8170" cy="3589020"/>
                    </a:xfrm>
                    <a:prstGeom prst="rect">
                      <a:avLst/>
                    </a:prstGeom>
                    <a:noFill/>
                    <a:ln>
                      <a:noFill/>
                    </a:ln>
                  </pic:spPr>
                </pic:pic>
              </a:graphicData>
            </a:graphic>
          </wp:inline>
        </w:drawing>
      </w:r>
    </w:p>
    <w:p w14:paraId="67ADF39A" w14:textId="77777777" w:rsidR="009653FB" w:rsidRDefault="009653FB" w:rsidP="009653FB">
      <w:pPr>
        <w:rPr>
          <w:rFonts w:hint="eastAsia"/>
          <w:b/>
        </w:rPr>
      </w:pPr>
      <w:r>
        <w:rPr>
          <w:b/>
        </w:rPr>
        <w:t>1</w:t>
      </w:r>
      <w:r>
        <w:rPr>
          <w:rFonts w:hint="eastAsia"/>
          <w:b/>
        </w:rPr>
        <w:t>）</w:t>
      </w:r>
      <w:r>
        <w:rPr>
          <w:b/>
        </w:rPr>
        <w:t>OUTBOUND</w:t>
      </w:r>
      <w:r>
        <w:rPr>
          <w:rFonts w:hint="eastAsia"/>
          <w:b/>
        </w:rPr>
        <w:t>流量设计</w:t>
      </w:r>
    </w:p>
    <w:p w14:paraId="176741C1" w14:textId="77777777" w:rsidR="009653FB" w:rsidRDefault="009653FB" w:rsidP="009653FB">
      <w:pPr>
        <w:ind w:firstLine="420"/>
        <w:rPr>
          <w:rFonts w:hint="eastAsia"/>
        </w:rPr>
      </w:pPr>
      <w:r>
        <w:t>Outbound</w:t>
      </w:r>
      <w:r>
        <w:rPr>
          <w:rFonts w:hint="eastAsia"/>
        </w:rPr>
        <w:t>流量，</w:t>
      </w:r>
      <w:r>
        <w:t>LLB</w:t>
      </w:r>
      <w:r>
        <w:rPr>
          <w:rFonts w:hint="eastAsia"/>
        </w:rPr>
        <w:t>提供智能的链路选择，国内用户的</w:t>
      </w:r>
      <w:r>
        <w:t>Outbound</w:t>
      </w:r>
      <w:r>
        <w:rPr>
          <w:rFonts w:hint="eastAsia"/>
        </w:rPr>
        <w:t>流量策略：</w:t>
      </w:r>
    </w:p>
    <w:p w14:paraId="6F523552" w14:textId="77777777" w:rsidR="009653FB" w:rsidRDefault="009653FB">
      <w:pPr>
        <w:pStyle w:val="a3"/>
        <w:widowControl/>
        <w:numPr>
          <w:ilvl w:val="0"/>
          <w:numId w:val="22"/>
        </w:numPr>
        <w:topLinePunct/>
        <w:adjustRightInd w:val="0"/>
        <w:snapToGrid w:val="0"/>
        <w:spacing w:before="160" w:after="160" w:line="240" w:lineRule="atLeast"/>
        <w:ind w:firstLineChars="0"/>
        <w:jc w:val="left"/>
        <w:rPr>
          <w:rFonts w:hint="eastAsia"/>
        </w:rPr>
      </w:pPr>
      <w:r>
        <w:rPr>
          <w:rFonts w:hint="eastAsia"/>
        </w:rPr>
        <w:lastRenderedPageBreak/>
        <w:t>网内用户访问属于联通网地址段的服务器，首选联通的出口链路；</w:t>
      </w:r>
    </w:p>
    <w:p w14:paraId="3FD46B12" w14:textId="77777777" w:rsidR="009653FB" w:rsidRDefault="009653FB">
      <w:pPr>
        <w:pStyle w:val="a3"/>
        <w:widowControl/>
        <w:numPr>
          <w:ilvl w:val="0"/>
          <w:numId w:val="22"/>
        </w:numPr>
        <w:topLinePunct/>
        <w:adjustRightInd w:val="0"/>
        <w:snapToGrid w:val="0"/>
        <w:spacing w:before="160" w:after="160" w:line="240" w:lineRule="atLeast"/>
        <w:ind w:firstLineChars="0"/>
        <w:jc w:val="left"/>
        <w:rPr>
          <w:rFonts w:hint="eastAsia"/>
        </w:rPr>
      </w:pPr>
      <w:r>
        <w:rPr>
          <w:rFonts w:hint="eastAsia"/>
        </w:rPr>
        <w:t>网内用户访问属于电信地址段的服务器，首选电信的出口链路；</w:t>
      </w:r>
    </w:p>
    <w:p w14:paraId="531C7B1D" w14:textId="77777777" w:rsidR="009653FB" w:rsidRDefault="009653FB">
      <w:pPr>
        <w:pStyle w:val="a3"/>
        <w:widowControl/>
        <w:numPr>
          <w:ilvl w:val="0"/>
          <w:numId w:val="22"/>
        </w:numPr>
        <w:topLinePunct/>
        <w:adjustRightInd w:val="0"/>
        <w:snapToGrid w:val="0"/>
        <w:spacing w:before="160" w:after="160" w:line="240" w:lineRule="atLeast"/>
        <w:ind w:firstLineChars="0"/>
        <w:jc w:val="left"/>
        <w:rPr>
          <w:rFonts w:hint="eastAsia"/>
        </w:rPr>
      </w:pPr>
      <w:r>
        <w:rPr>
          <w:rFonts w:hint="eastAsia"/>
        </w:rPr>
        <w:t>网内用户访问其它地址段的服务器，由负载均衡器基于动态就近性判断结果，自动的选择联通或电信链路。</w:t>
      </w:r>
    </w:p>
    <w:p w14:paraId="06ABDEC1" w14:textId="77777777" w:rsidR="009653FB" w:rsidRDefault="009653FB" w:rsidP="009653FB">
      <w:pPr>
        <w:rPr>
          <w:rFonts w:hint="eastAsia"/>
          <w:b/>
        </w:rPr>
      </w:pPr>
      <w:r>
        <w:rPr>
          <w:b/>
        </w:rPr>
        <w:t>2</w:t>
      </w:r>
      <w:r>
        <w:rPr>
          <w:rFonts w:hint="eastAsia"/>
          <w:b/>
        </w:rPr>
        <w:t>）</w:t>
      </w:r>
      <w:r>
        <w:rPr>
          <w:b/>
        </w:rPr>
        <w:t>INBOUND</w:t>
      </w:r>
      <w:r>
        <w:rPr>
          <w:rFonts w:hint="eastAsia"/>
          <w:b/>
        </w:rPr>
        <w:t>流量设计</w:t>
      </w:r>
    </w:p>
    <w:p w14:paraId="0A8D5614" w14:textId="77777777" w:rsidR="009653FB" w:rsidRDefault="009653FB" w:rsidP="009653FB">
      <w:pPr>
        <w:ind w:firstLine="420"/>
        <w:rPr>
          <w:rFonts w:hint="eastAsia"/>
        </w:rPr>
      </w:pPr>
      <w:r>
        <w:t>Inbound</w:t>
      </w:r>
      <w:r>
        <w:rPr>
          <w:rFonts w:hint="eastAsia"/>
        </w:rPr>
        <w:t>访问的智能性，一般通过</w:t>
      </w:r>
      <w:r>
        <w:t>LLB</w:t>
      </w:r>
      <w:r>
        <w:rPr>
          <w:rFonts w:hint="eastAsia"/>
        </w:rPr>
        <w:t>提供的智能</w:t>
      </w:r>
      <w:r>
        <w:t>DNS</w:t>
      </w:r>
      <w:r>
        <w:rPr>
          <w:rFonts w:hint="eastAsia"/>
        </w:rPr>
        <w:t>解析功能实现。建议采用静态负载和动态负载相结合的方式：当用户是来自国内的用户，根据用户的</w:t>
      </w:r>
      <w:r>
        <w:t>IP</w:t>
      </w:r>
      <w:r>
        <w:rPr>
          <w:rFonts w:hint="eastAsia"/>
        </w:rPr>
        <w:t>地址所属的运营商，采用静态的算法给用户端一条最快的链路；对于来自国外的用户，将采用动态算法，根据路径的传输时间等指标，计算出来一个最佳路径并提供给用户。</w:t>
      </w:r>
    </w:p>
    <w:p w14:paraId="6B2BE713" w14:textId="77777777" w:rsidR="009653FB" w:rsidRDefault="009653FB" w:rsidP="009653FB">
      <w:pPr>
        <w:rPr>
          <w:rFonts w:hint="eastAsia"/>
        </w:rPr>
      </w:pPr>
      <w:r>
        <w:rPr>
          <w:rFonts w:hint="eastAsia"/>
        </w:rPr>
        <w:t>国内用户的</w:t>
      </w:r>
      <w:r>
        <w:t>Inbound</w:t>
      </w:r>
      <w:r>
        <w:rPr>
          <w:rFonts w:hint="eastAsia"/>
        </w:rPr>
        <w:t>流量：</w:t>
      </w:r>
    </w:p>
    <w:p w14:paraId="0E4CAB62" w14:textId="77777777" w:rsidR="009653FB" w:rsidRDefault="009653FB">
      <w:pPr>
        <w:pStyle w:val="a3"/>
        <w:widowControl/>
        <w:numPr>
          <w:ilvl w:val="0"/>
          <w:numId w:val="23"/>
        </w:numPr>
        <w:topLinePunct/>
        <w:adjustRightInd w:val="0"/>
        <w:snapToGrid w:val="0"/>
        <w:spacing w:before="160" w:after="160" w:line="240" w:lineRule="atLeast"/>
        <w:ind w:firstLineChars="0"/>
        <w:jc w:val="left"/>
        <w:rPr>
          <w:rFonts w:hint="eastAsia"/>
        </w:rPr>
      </w:pPr>
      <w:r>
        <w:rPr>
          <w:rFonts w:hint="eastAsia"/>
        </w:rPr>
        <w:t>属于联通地址段的用户访问服务器，首选联通的出口链路；</w:t>
      </w:r>
    </w:p>
    <w:p w14:paraId="2E577C3C" w14:textId="77777777" w:rsidR="009653FB" w:rsidRDefault="009653FB">
      <w:pPr>
        <w:pStyle w:val="a3"/>
        <w:widowControl/>
        <w:numPr>
          <w:ilvl w:val="0"/>
          <w:numId w:val="23"/>
        </w:numPr>
        <w:topLinePunct/>
        <w:adjustRightInd w:val="0"/>
        <w:snapToGrid w:val="0"/>
        <w:spacing w:before="160" w:after="160" w:line="240" w:lineRule="atLeast"/>
        <w:ind w:firstLineChars="0"/>
        <w:jc w:val="left"/>
        <w:rPr>
          <w:rFonts w:hint="eastAsia"/>
        </w:rPr>
      </w:pPr>
      <w:r>
        <w:rPr>
          <w:rFonts w:hint="eastAsia"/>
        </w:rPr>
        <w:t>属于电信地址段的用户访问服务器，首选电信的出口链路；</w:t>
      </w:r>
    </w:p>
    <w:p w14:paraId="6D45D506" w14:textId="77777777" w:rsidR="009653FB" w:rsidRDefault="009653FB">
      <w:pPr>
        <w:pStyle w:val="a3"/>
        <w:widowControl/>
        <w:numPr>
          <w:ilvl w:val="0"/>
          <w:numId w:val="23"/>
        </w:numPr>
        <w:topLinePunct/>
        <w:adjustRightInd w:val="0"/>
        <w:snapToGrid w:val="0"/>
        <w:spacing w:before="160" w:after="160" w:line="240" w:lineRule="atLeast"/>
        <w:ind w:firstLineChars="0"/>
        <w:jc w:val="left"/>
        <w:rPr>
          <w:rFonts w:hint="eastAsia"/>
        </w:rPr>
      </w:pPr>
      <w:r>
        <w:rPr>
          <w:rFonts w:hint="eastAsia"/>
        </w:rPr>
        <w:t>其他地址段的用户访问服务器，由负载均衡器基于动态就近性判断结果，自动的选择链路。</w:t>
      </w:r>
    </w:p>
    <w:p w14:paraId="2B0A2F1B" w14:textId="77777777" w:rsidR="009653FB" w:rsidRDefault="009653FB" w:rsidP="009653FB">
      <w:pPr>
        <w:pStyle w:val="6"/>
        <w:rPr>
          <w:rFonts w:hint="eastAsia"/>
        </w:rPr>
      </w:pPr>
      <w:r>
        <w:t>IPSec/SSL</w:t>
      </w:r>
      <w:r>
        <w:rPr>
          <w:rFonts w:hint="eastAsia"/>
        </w:rPr>
        <w:t>接入设计</w:t>
      </w:r>
    </w:p>
    <w:p w14:paraId="529CCE1D" w14:textId="77777777" w:rsidR="009653FB" w:rsidRDefault="009653FB" w:rsidP="009653FB">
      <w:pPr>
        <w:ind w:firstLine="420"/>
        <w:rPr>
          <w:rFonts w:hint="eastAsia"/>
        </w:rPr>
      </w:pPr>
      <w:r>
        <w:rPr>
          <w:rFonts w:hint="eastAsia"/>
        </w:rPr>
        <w:t>数据中心的移动用户、远程办公用户等，需要通过互联网对数据中心进行远程访问，以实现远程办公需要；某些分支机构，由于资金或网络条件的限制，无法通过专线或</w:t>
      </w:r>
      <w:r>
        <w:t>MPLS-VPN</w:t>
      </w:r>
      <w:r>
        <w:rPr>
          <w:rFonts w:hint="eastAsia"/>
        </w:rPr>
        <w:t>的方式接入到数据中心，需要通过互联网的方式接入到数据中心。</w:t>
      </w:r>
    </w:p>
    <w:p w14:paraId="649C18B5" w14:textId="6CA210BF" w:rsidR="009653FB" w:rsidRDefault="009653FB" w:rsidP="009653FB">
      <w:pPr>
        <w:ind w:firstLine="420"/>
        <w:rPr>
          <w:rFonts w:hint="eastAsia"/>
        </w:rPr>
      </w:pPr>
      <w:r>
        <w:rPr>
          <w:rFonts w:hint="eastAsia"/>
        </w:rPr>
        <w:t>为了保证安全性，对于通过互联网接入数据中心的移动用户、远程办公用户、分支机构，可以考虑使用</w:t>
      </w:r>
      <w:r>
        <w:t>IPSec/SSLVPN</w:t>
      </w:r>
      <w:r>
        <w:rPr>
          <w:rFonts w:hint="eastAsia"/>
        </w:rPr>
        <w:t>等技术进行接入。</w:t>
      </w:r>
      <w:proofErr w:type="spellStart"/>
      <w:r>
        <w:t>IPSecVPN</w:t>
      </w:r>
      <w:proofErr w:type="spellEnd"/>
      <w:r>
        <w:rPr>
          <w:rFonts w:hint="eastAsia"/>
        </w:rPr>
        <w:t>接入方式比较适合</w:t>
      </w:r>
      <w:r>
        <w:t>Site-to-Site</w:t>
      </w:r>
      <w:r>
        <w:rPr>
          <w:rFonts w:hint="eastAsia"/>
        </w:rPr>
        <w:t>的方式接入，适用场景是分支机构通过</w:t>
      </w:r>
      <w:r>
        <w:t>Internet</w:t>
      </w:r>
      <w:r>
        <w:rPr>
          <w:rFonts w:hint="eastAsia"/>
        </w:rPr>
        <w:t>连接数据中心。</w:t>
      </w:r>
      <w:r>
        <w:t>SSLVPN</w:t>
      </w:r>
      <w:r>
        <w:rPr>
          <w:rFonts w:hint="eastAsia"/>
        </w:rPr>
        <w:t>接入方式比较适合</w:t>
      </w:r>
      <w:r>
        <w:t>Client-to-Site</w:t>
      </w:r>
      <w:r>
        <w:rPr>
          <w:rFonts w:hint="eastAsia"/>
        </w:rPr>
        <w:t>的方式，适用场景是远程办公用户、移动用户通过</w:t>
      </w:r>
      <w:r>
        <w:t>Internet</w:t>
      </w:r>
      <w:r>
        <w:rPr>
          <w:rFonts w:hint="eastAsia"/>
        </w:rPr>
        <w:t>连接数据中心。</w:t>
      </w:r>
    </w:p>
    <w:p w14:paraId="0E1C2C6B" w14:textId="41A00B07" w:rsidR="009653FB" w:rsidRDefault="009653FB" w:rsidP="009653FB">
      <w:pPr>
        <w:ind w:firstLine="420"/>
        <w:rPr>
          <w:rFonts w:hint="eastAsia"/>
        </w:rPr>
      </w:pPr>
      <w:r>
        <w:rPr>
          <w:rFonts w:hint="eastAsia"/>
        </w:rPr>
        <w:t>对于数据中心远程</w:t>
      </w:r>
      <w:r>
        <w:t>VPN</w:t>
      </w:r>
      <w:r>
        <w:rPr>
          <w:rFonts w:hint="eastAsia"/>
        </w:rPr>
        <w:t>接入需求，可以考虑部署</w:t>
      </w:r>
      <w:r>
        <w:t>1</w:t>
      </w:r>
      <w:r>
        <w:rPr>
          <w:rFonts w:hint="eastAsia"/>
        </w:rPr>
        <w:t>台统一的</w:t>
      </w:r>
      <w:r>
        <w:t>IPSec/SSLVPN</w:t>
      </w:r>
      <w:r>
        <w:rPr>
          <w:rFonts w:hint="eastAsia"/>
        </w:rPr>
        <w:t>网关设备，同时提供</w:t>
      </w:r>
      <w:proofErr w:type="spellStart"/>
      <w:r>
        <w:t>IPSecVPN</w:t>
      </w:r>
      <w:proofErr w:type="spellEnd"/>
      <w:r>
        <w:rPr>
          <w:rFonts w:hint="eastAsia"/>
        </w:rPr>
        <w:t>和</w:t>
      </w:r>
      <w:r>
        <w:t>SSLVPN</w:t>
      </w:r>
      <w:r>
        <w:rPr>
          <w:rFonts w:hint="eastAsia"/>
        </w:rPr>
        <w:t>两种接入功能。</w:t>
      </w:r>
      <w:proofErr w:type="spellStart"/>
      <w:r>
        <w:t>IPSecVPN</w:t>
      </w:r>
      <w:proofErr w:type="spellEnd"/>
      <w:r>
        <w:rPr>
          <w:rFonts w:hint="eastAsia"/>
        </w:rPr>
        <w:t>功能用于</w:t>
      </w:r>
      <w:r>
        <w:t>Site-to-Site</w:t>
      </w:r>
      <w:r>
        <w:rPr>
          <w:rFonts w:hint="eastAsia"/>
        </w:rPr>
        <w:t>方式接入，支持分支机构通过互联网进行远程接入；</w:t>
      </w:r>
      <w:r>
        <w:t>SSLVPN</w:t>
      </w:r>
      <w:r>
        <w:rPr>
          <w:rFonts w:hint="eastAsia"/>
        </w:rPr>
        <w:t>功能用于</w:t>
      </w:r>
      <w:r>
        <w:t>Client-to-Site</w:t>
      </w:r>
      <w:r>
        <w:rPr>
          <w:rFonts w:hint="eastAsia"/>
        </w:rPr>
        <w:t>方式接入，支持移动用户、远程办公人员接入。</w:t>
      </w:r>
    </w:p>
    <w:p w14:paraId="69E0B1AD" w14:textId="33D3D3ED" w:rsidR="009653FB" w:rsidRDefault="009653FB" w:rsidP="009653FB">
      <w:pPr>
        <w:rPr>
          <w:rFonts w:hint="eastAsia"/>
        </w:rPr>
      </w:pPr>
      <w:r>
        <w:t>IPSec/SSLVPN</w:t>
      </w:r>
      <w:r>
        <w:rPr>
          <w:rFonts w:hint="eastAsia"/>
        </w:rPr>
        <w:t>的用户接入示意图如</w:t>
      </w:r>
      <w:r>
        <w:fldChar w:fldCharType="begin"/>
      </w:r>
      <w:r>
        <w:instrText xml:space="preserve"> REF _Ref320804893 \r \h </w:instrText>
      </w:r>
      <w:r>
        <w:fldChar w:fldCharType="separate"/>
      </w:r>
      <w:r>
        <w:rPr>
          <w:rFonts w:hint="eastAsia"/>
        </w:rPr>
        <w:t>图</w:t>
      </w:r>
      <w:r>
        <w:t>4-9</w:t>
      </w:r>
      <w:r>
        <w:fldChar w:fldCharType="end"/>
      </w:r>
      <w:r>
        <w:rPr>
          <w:rFonts w:hint="eastAsia"/>
        </w:rPr>
        <w:t>所示。</w:t>
      </w:r>
    </w:p>
    <w:p w14:paraId="504B2F7C" w14:textId="6FB9ADE7" w:rsidR="009653FB" w:rsidRDefault="009653FB" w:rsidP="009653FB">
      <w:pPr>
        <w:jc w:val="center"/>
        <w:rPr>
          <w:rFonts w:hint="eastAsia"/>
        </w:rPr>
      </w:pPr>
      <w:r>
        <w:rPr>
          <w:noProof/>
        </w:rPr>
        <w:lastRenderedPageBreak/>
        <w:drawing>
          <wp:inline distT="0" distB="0" distL="0" distR="0" wp14:anchorId="1ADA16DD" wp14:editId="520D9FD6">
            <wp:extent cx="3858260" cy="4371340"/>
            <wp:effectExtent l="0" t="0" r="8890" b="0"/>
            <wp:docPr id="1355" name="图片 1355" descr="IP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descr="IPSE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8260" cy="4371340"/>
                    </a:xfrm>
                    <a:prstGeom prst="rect">
                      <a:avLst/>
                    </a:prstGeom>
                    <a:noFill/>
                    <a:ln>
                      <a:noFill/>
                    </a:ln>
                  </pic:spPr>
                </pic:pic>
              </a:graphicData>
            </a:graphic>
          </wp:inline>
        </w:drawing>
      </w:r>
    </w:p>
    <w:p w14:paraId="6F697B4A" w14:textId="6075F068" w:rsidR="009653FB" w:rsidRDefault="009653FB" w:rsidP="009653FB">
      <w:pPr>
        <w:ind w:firstLine="420"/>
        <w:rPr>
          <w:rFonts w:hint="eastAsia"/>
        </w:rPr>
      </w:pPr>
      <w:r>
        <w:rPr>
          <w:rFonts w:hint="eastAsia"/>
        </w:rPr>
        <w:t>对于采用</w:t>
      </w:r>
      <w:r>
        <w:t>SSLVPN</w:t>
      </w:r>
      <w:r>
        <w:rPr>
          <w:rFonts w:hint="eastAsia"/>
        </w:rPr>
        <w:t>接入的移动用户，移动用户的客户端与数据中心的</w:t>
      </w:r>
      <w:r>
        <w:t>VPN</w:t>
      </w:r>
      <w:r>
        <w:rPr>
          <w:rFonts w:hint="eastAsia"/>
        </w:rPr>
        <w:t>网关设备通过安全认证，在互联网上形成一个安全的</w:t>
      </w:r>
      <w:r>
        <w:t>SSL</w:t>
      </w:r>
      <w:r>
        <w:rPr>
          <w:rFonts w:hint="eastAsia"/>
        </w:rPr>
        <w:t>加密隧道，</w:t>
      </w:r>
      <w:r>
        <w:t>VPN</w:t>
      </w:r>
      <w:r>
        <w:rPr>
          <w:rFonts w:hint="eastAsia"/>
        </w:rPr>
        <w:t>网关为客户端分配相应的内部</w:t>
      </w:r>
      <w:r>
        <w:t>IP</w:t>
      </w:r>
      <w:r>
        <w:rPr>
          <w:rFonts w:hint="eastAsia"/>
        </w:rPr>
        <w:t>地址，实现客户端对数据中心的互访。对于采用</w:t>
      </w:r>
      <w:r>
        <w:t>IPSec</w:t>
      </w:r>
      <w:r>
        <w:rPr>
          <w:rFonts w:hint="eastAsia"/>
        </w:rPr>
        <w:t>接入的分支机构，其</w:t>
      </w:r>
      <w:r>
        <w:t>VPN</w:t>
      </w:r>
      <w:r>
        <w:rPr>
          <w:rFonts w:hint="eastAsia"/>
        </w:rPr>
        <w:t>网关设备与数据中心的</w:t>
      </w:r>
      <w:r>
        <w:t>VPN</w:t>
      </w:r>
      <w:r>
        <w:rPr>
          <w:rFonts w:hint="eastAsia"/>
        </w:rPr>
        <w:t>网关设备通过安全认证，在互联网上形成一个安全的</w:t>
      </w:r>
      <w:r>
        <w:t>IPSec</w:t>
      </w:r>
      <w:r>
        <w:rPr>
          <w:rFonts w:hint="eastAsia"/>
        </w:rPr>
        <w:t>加密通道，实现整个分支机构或合作伙伴的办公网络与数据中心之间的业务互访。</w:t>
      </w:r>
    </w:p>
    <w:p w14:paraId="3CABBE85" w14:textId="2794A04C" w:rsidR="009653FB" w:rsidRDefault="009653FB" w:rsidP="009653FB">
      <w:pPr>
        <w:ind w:firstLine="420"/>
        <w:rPr>
          <w:rFonts w:hint="eastAsia"/>
        </w:rPr>
      </w:pPr>
      <w:r>
        <w:rPr>
          <w:rFonts w:hint="eastAsia"/>
        </w:rPr>
        <w:t>数据中心的出口防火墙，可以利用虚拟防火墙技术，为每个</w:t>
      </w:r>
      <w:r>
        <w:t>VPN</w:t>
      </w:r>
      <w:r>
        <w:rPr>
          <w:rFonts w:hint="eastAsia"/>
        </w:rPr>
        <w:t>业务分配一个虚拟防火墙，实现该业务与其它内部业务的安全隔离。</w:t>
      </w:r>
    </w:p>
    <w:p w14:paraId="23B8B8E1" w14:textId="69C2CD8F" w:rsidR="009653FB" w:rsidRDefault="009653FB" w:rsidP="009653FB">
      <w:pPr>
        <w:pStyle w:val="6"/>
        <w:rPr>
          <w:rFonts w:hint="eastAsia"/>
        </w:rPr>
      </w:pPr>
      <w:r>
        <w:rPr>
          <w:rFonts w:hint="eastAsia"/>
        </w:rPr>
        <w:lastRenderedPageBreak/>
        <w:t>远程接入区设计</w:t>
      </w:r>
    </w:p>
    <w:p w14:paraId="0C2788CD" w14:textId="55E6BE9B" w:rsidR="009653FB" w:rsidRDefault="009653FB" w:rsidP="009653FB">
      <w:pPr>
        <w:jc w:val="center"/>
        <w:rPr>
          <w:rFonts w:hint="eastAsia"/>
        </w:rPr>
      </w:pPr>
      <w:r>
        <w:rPr>
          <w:noProof/>
        </w:rPr>
        <w:drawing>
          <wp:inline distT="0" distB="0" distL="0" distR="0" wp14:anchorId="3BABDF59" wp14:editId="600FB6DA">
            <wp:extent cx="2838450" cy="3419475"/>
            <wp:effectExtent l="0" t="0" r="0" b="9525"/>
            <wp:docPr id="1354" name="图片 1354" descr="政务远程接入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政务远程接入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450" cy="3419475"/>
                    </a:xfrm>
                    <a:prstGeom prst="rect">
                      <a:avLst/>
                    </a:prstGeom>
                    <a:noFill/>
                    <a:ln>
                      <a:noFill/>
                    </a:ln>
                  </pic:spPr>
                </pic:pic>
              </a:graphicData>
            </a:graphic>
          </wp:inline>
        </w:drawing>
      </w:r>
    </w:p>
    <w:p w14:paraId="63B7D40F" w14:textId="77777777" w:rsidR="009653FB" w:rsidRDefault="009653FB" w:rsidP="009653FB">
      <w:pPr>
        <w:ind w:firstLine="420"/>
        <w:rPr>
          <w:rFonts w:hint="eastAsia"/>
          <w:color w:val="FF0000"/>
        </w:rPr>
      </w:pPr>
      <w:r>
        <w:rPr>
          <w:rFonts w:hint="eastAsia"/>
        </w:rPr>
        <w:t>远程接入区用来接入政府的各个部门，各个部门一般是采用</w:t>
      </w:r>
      <w:r>
        <w:t>MPLS-VPN</w:t>
      </w:r>
      <w:r>
        <w:rPr>
          <w:rFonts w:hint="eastAsia"/>
        </w:rPr>
        <w:t>的方式通过国家云外网进行接入；远程接入区还用于接入容灾数据中心，一般是通过专线或</w:t>
      </w:r>
      <w:r>
        <w:t>MPLS-VPN</w:t>
      </w:r>
      <w:r>
        <w:rPr>
          <w:rFonts w:hint="eastAsia"/>
        </w:rPr>
        <w:t>网络进行接入。</w:t>
      </w:r>
    </w:p>
    <w:p w14:paraId="1E4F32C2" w14:textId="77777777" w:rsidR="009653FB" w:rsidRDefault="009653FB" w:rsidP="009653FB">
      <w:pPr>
        <w:rPr>
          <w:rFonts w:hint="eastAsia"/>
        </w:rPr>
      </w:pPr>
      <w:r>
        <w:rPr>
          <w:rFonts w:hint="eastAsia"/>
        </w:rPr>
        <w:t>该区域包括出口路由器、防火墙等设备。</w:t>
      </w:r>
    </w:p>
    <w:p w14:paraId="5F5AFC77" w14:textId="77777777" w:rsidR="009653FB" w:rsidRDefault="009653FB">
      <w:pPr>
        <w:pStyle w:val="a3"/>
        <w:widowControl/>
        <w:numPr>
          <w:ilvl w:val="0"/>
          <w:numId w:val="21"/>
        </w:numPr>
        <w:topLinePunct/>
        <w:adjustRightInd w:val="0"/>
        <w:snapToGrid w:val="0"/>
        <w:spacing w:before="160" w:after="160" w:line="240" w:lineRule="atLeast"/>
        <w:ind w:firstLineChars="0"/>
        <w:jc w:val="left"/>
        <w:rPr>
          <w:rFonts w:hint="eastAsia"/>
        </w:rPr>
      </w:pPr>
      <w:r>
        <w:rPr>
          <w:rFonts w:hint="eastAsia"/>
        </w:rPr>
        <w:t>出口路由器：远程接入区部署</w:t>
      </w:r>
      <w:r>
        <w:t>2</w:t>
      </w:r>
      <w:r>
        <w:rPr>
          <w:rFonts w:hint="eastAsia"/>
        </w:rPr>
        <w:t>台出口路由器，实现设备冗余，提高可靠性；出口路由器与分支机构、容灾中心互联，一般采用静态路由。</w:t>
      </w:r>
    </w:p>
    <w:p w14:paraId="40943FB7" w14:textId="77777777" w:rsidR="009653FB" w:rsidRDefault="009653FB">
      <w:pPr>
        <w:pStyle w:val="a3"/>
        <w:widowControl/>
        <w:numPr>
          <w:ilvl w:val="0"/>
          <w:numId w:val="21"/>
        </w:numPr>
        <w:topLinePunct/>
        <w:adjustRightInd w:val="0"/>
        <w:snapToGrid w:val="0"/>
        <w:spacing w:before="160" w:after="160" w:line="240" w:lineRule="atLeast"/>
        <w:ind w:firstLineChars="0"/>
        <w:jc w:val="left"/>
        <w:rPr>
          <w:rFonts w:hint="eastAsia"/>
        </w:rPr>
      </w:pPr>
      <w:r>
        <w:rPr>
          <w:rFonts w:hint="eastAsia"/>
        </w:rPr>
        <w:t>防火墙设备：对于分支机构、灾备中心与数据中心之间的业务互访进行安全控制；</w:t>
      </w:r>
      <w:r>
        <w:t>2</w:t>
      </w:r>
      <w:r>
        <w:rPr>
          <w:rFonts w:hint="eastAsia"/>
        </w:rPr>
        <w:t>台防火墙设备采用双机热备的方式进行部署，工作在路由模式，并与出口路由器运行静态路由协议；通过虚拟防火墙技术，可以实现</w:t>
      </w:r>
      <w:r>
        <w:t>VPN</w:t>
      </w:r>
      <w:r>
        <w:rPr>
          <w:rFonts w:hint="eastAsia"/>
        </w:rPr>
        <w:t>网络的隔离功能。</w:t>
      </w:r>
    </w:p>
    <w:p w14:paraId="125D2B32" w14:textId="2617D8C0" w:rsidR="009653FB" w:rsidRDefault="009653FB" w:rsidP="009653FB">
      <w:pPr>
        <w:pStyle w:val="6"/>
        <w:rPr>
          <w:rFonts w:hint="eastAsia"/>
        </w:rPr>
      </w:pPr>
      <w:r>
        <w:rPr>
          <w:rFonts w:hint="eastAsia"/>
        </w:rPr>
        <w:t>内网接入区设计</w:t>
      </w:r>
    </w:p>
    <w:p w14:paraId="1B4EDD3B" w14:textId="76F6D846" w:rsidR="009653FB" w:rsidRDefault="009653FB" w:rsidP="009653FB">
      <w:pPr>
        <w:ind w:firstLine="420"/>
        <w:rPr>
          <w:rFonts w:hint="eastAsia"/>
        </w:rPr>
      </w:pPr>
      <w:r>
        <w:rPr>
          <w:rFonts w:hint="eastAsia"/>
        </w:rPr>
        <w:t>根据中国国家保密局《云保密管理指南》的</w:t>
      </w:r>
      <w:r w:rsidR="006C6F6D" w:rsidRPr="006C6F6D">
        <w:rPr>
          <w:rFonts w:hint="eastAsia"/>
          <w:b/>
        </w:rPr>
        <w:t>招标文件要求</w:t>
      </w:r>
      <w:r>
        <w:rPr>
          <w:rFonts w:hint="eastAsia"/>
        </w:rPr>
        <w:t>，涉密网与非涉密网之间应当进行物理隔离。内网属于涉密网，其承载的信息为涉密信息，而外网承载的信息为非涉密信息，内网与外网须用单向导入系统进行隔离。</w:t>
      </w:r>
    </w:p>
    <w:p w14:paraId="3B89DF86" w14:textId="390801B1" w:rsidR="009653FB" w:rsidRDefault="009653FB" w:rsidP="009653FB">
      <w:pPr>
        <w:ind w:firstLine="420"/>
        <w:rPr>
          <w:rFonts w:hint="eastAsia"/>
        </w:rPr>
      </w:pPr>
      <w:r>
        <w:rPr>
          <w:rFonts w:hint="eastAsia"/>
        </w:rPr>
        <w:t>对于中国云网络系统，外网和内网</w:t>
      </w:r>
      <w:r w:rsidR="006C6F6D" w:rsidRPr="006C6F6D">
        <w:rPr>
          <w:rFonts w:hint="eastAsia"/>
          <w:b/>
        </w:rPr>
        <w:t>招标文件要求</w:t>
      </w:r>
      <w:r>
        <w:rPr>
          <w:rFonts w:hint="eastAsia"/>
        </w:rPr>
        <w:t>物理隔离。当云外网数据中心与内网互联时，需要部署网闸设备实现高安全隔离。</w:t>
      </w:r>
    </w:p>
    <w:p w14:paraId="41ABF694" w14:textId="66DF5856" w:rsidR="009653FB" w:rsidRDefault="009653FB" w:rsidP="009653FB">
      <w:pPr>
        <w:jc w:val="center"/>
        <w:rPr>
          <w:rFonts w:hint="eastAsia"/>
        </w:rPr>
      </w:pPr>
      <w:r>
        <w:rPr>
          <w:noProof/>
        </w:rPr>
        <w:drawing>
          <wp:inline distT="0" distB="0" distL="0" distR="0" wp14:anchorId="4BA4229D" wp14:editId="4EA68F96">
            <wp:extent cx="4677410" cy="962025"/>
            <wp:effectExtent l="0" t="0" r="8890" b="9525"/>
            <wp:docPr id="1353" name="图片 1353" descr="网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网闸.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7410" cy="962025"/>
                    </a:xfrm>
                    <a:prstGeom prst="rect">
                      <a:avLst/>
                    </a:prstGeom>
                    <a:noFill/>
                    <a:ln>
                      <a:noFill/>
                    </a:ln>
                  </pic:spPr>
                </pic:pic>
              </a:graphicData>
            </a:graphic>
          </wp:inline>
        </w:drawing>
      </w:r>
    </w:p>
    <w:p w14:paraId="7D1F751D" w14:textId="77777777" w:rsidR="009653FB" w:rsidRDefault="009653FB" w:rsidP="009653FB">
      <w:pPr>
        <w:pStyle w:val="5"/>
        <w:rPr>
          <w:rFonts w:hint="eastAsia"/>
        </w:rPr>
      </w:pPr>
      <w:bookmarkStart w:id="119" w:name="_Toc320984070"/>
      <w:bookmarkStart w:id="120" w:name="_Toc326001911"/>
      <w:r>
        <w:rPr>
          <w:rFonts w:hint="eastAsia"/>
        </w:rPr>
        <w:lastRenderedPageBreak/>
        <w:t>网络服务区设计</w:t>
      </w:r>
      <w:bookmarkEnd w:id="119"/>
      <w:bookmarkEnd w:id="120"/>
    </w:p>
    <w:p w14:paraId="3ADCC236" w14:textId="77777777" w:rsidR="009653FB" w:rsidRDefault="009653FB" w:rsidP="009653FB">
      <w:pPr>
        <w:pStyle w:val="6"/>
        <w:rPr>
          <w:rFonts w:hint="eastAsia"/>
        </w:rPr>
      </w:pPr>
      <w:r>
        <w:rPr>
          <w:rFonts w:hint="eastAsia"/>
        </w:rPr>
        <w:t>应用场景</w:t>
      </w:r>
    </w:p>
    <w:p w14:paraId="42136204" w14:textId="6210EB07" w:rsidR="009653FB" w:rsidRDefault="009653FB" w:rsidP="009653FB">
      <w:pPr>
        <w:ind w:firstLine="420"/>
        <w:rPr>
          <w:rFonts w:hint="eastAsia"/>
        </w:rPr>
      </w:pPr>
      <w:r>
        <w:rPr>
          <w:rFonts w:hint="eastAsia"/>
        </w:rPr>
        <w:t>数据中心支撑着各种业务系统，各种业务系统对网络架构的</w:t>
      </w:r>
      <w:r w:rsidR="006C6F6D" w:rsidRPr="006C6F6D">
        <w:rPr>
          <w:rFonts w:hint="eastAsia"/>
          <w:b/>
        </w:rPr>
        <w:t>招标文件要求</w:t>
      </w:r>
      <w:r>
        <w:rPr>
          <w:rFonts w:hint="eastAsia"/>
        </w:rPr>
        <w:t>也各不相同：对于高安全性业务系统，需要在数据中心内网核心区提供安全防护的功能；有些业务系统，对性能、可靠性和可扩展性</w:t>
      </w:r>
      <w:r w:rsidR="006C6F6D" w:rsidRPr="006C6F6D">
        <w:rPr>
          <w:rFonts w:hint="eastAsia"/>
          <w:b/>
        </w:rPr>
        <w:t>招标文件要求</w:t>
      </w:r>
      <w:r>
        <w:rPr>
          <w:rFonts w:hint="eastAsia"/>
        </w:rPr>
        <w:t>较高；一般的业务则没有特殊的</w:t>
      </w:r>
      <w:r w:rsidR="006C6F6D" w:rsidRPr="006C6F6D">
        <w:rPr>
          <w:rFonts w:hint="eastAsia"/>
          <w:b/>
        </w:rPr>
        <w:t>招标文件要求</w:t>
      </w:r>
      <w:r>
        <w:rPr>
          <w:rFonts w:hint="eastAsia"/>
        </w:rPr>
        <w:t>。</w:t>
      </w:r>
    </w:p>
    <w:p w14:paraId="7CA40978" w14:textId="51139246" w:rsidR="009653FB" w:rsidRDefault="009653FB" w:rsidP="009653FB">
      <w:pPr>
        <w:ind w:firstLine="420"/>
        <w:rPr>
          <w:rFonts w:hint="eastAsia"/>
        </w:rPr>
      </w:pPr>
      <w:r>
        <w:rPr>
          <w:rFonts w:hint="eastAsia"/>
        </w:rPr>
        <w:t>为了满足业务系统对网络功能</w:t>
      </w:r>
      <w:r w:rsidR="006C6F6D" w:rsidRPr="006C6F6D">
        <w:rPr>
          <w:rFonts w:hint="eastAsia"/>
          <w:b/>
        </w:rPr>
        <w:t>招标文件要求</w:t>
      </w:r>
      <w:r>
        <w:rPr>
          <w:rFonts w:hint="eastAsia"/>
        </w:rPr>
        <w:t>，数据中心专门部署了网络服务区，针对性为各种业务系统提供相应的网络服务。网络服务区主要提供</w:t>
      </w:r>
      <w:r>
        <w:t>2</w:t>
      </w:r>
      <w:r>
        <w:rPr>
          <w:rFonts w:hint="eastAsia"/>
        </w:rPr>
        <w:t>种网络服务：一种是网络安全服务，通过部署防火墙设备实现；另外一种是应用负载均衡服务，为业务系统增强扩展性、可靠性和业务处理能力，该服务通过部署应用负载均衡设备</w:t>
      </w:r>
      <w:r>
        <w:t>LB</w:t>
      </w:r>
      <w:r>
        <w:rPr>
          <w:rFonts w:hint="eastAsia"/>
        </w:rPr>
        <w:t>实现。</w:t>
      </w:r>
    </w:p>
    <w:p w14:paraId="3C0C2E84" w14:textId="77777777" w:rsidR="009653FB" w:rsidRDefault="009653FB" w:rsidP="009653FB">
      <w:pPr>
        <w:pStyle w:val="6"/>
        <w:rPr>
          <w:rFonts w:hint="eastAsia"/>
        </w:rPr>
      </w:pPr>
      <w:r>
        <w:rPr>
          <w:rFonts w:hint="eastAsia"/>
        </w:rPr>
        <w:t>网络架构</w:t>
      </w:r>
    </w:p>
    <w:p w14:paraId="3A61436A" w14:textId="77777777" w:rsidR="009653FB" w:rsidRDefault="009653FB" w:rsidP="009653FB">
      <w:pPr>
        <w:ind w:firstLine="420"/>
        <w:rPr>
          <w:rFonts w:hint="eastAsia"/>
        </w:rPr>
      </w:pPr>
      <w:r>
        <w:rPr>
          <w:rFonts w:hint="eastAsia"/>
        </w:rPr>
        <w:t>数据中心的网络服务区网络架构</w:t>
      </w:r>
      <w:r>
        <w:fldChar w:fldCharType="begin"/>
      </w:r>
      <w:r>
        <w:instrText xml:space="preserve"> REF _Ref320851729 \r \h </w:instrText>
      </w:r>
      <w:r>
        <w:fldChar w:fldCharType="separate"/>
      </w:r>
      <w:r>
        <w:rPr>
          <w:rFonts w:hint="eastAsia"/>
        </w:rPr>
        <w:t>图</w:t>
      </w:r>
      <w:r>
        <w:t>4-12</w:t>
      </w:r>
      <w:r>
        <w:fldChar w:fldCharType="end"/>
      </w:r>
      <w:r>
        <w:rPr>
          <w:rFonts w:hint="eastAsia"/>
        </w:rPr>
        <w:t>所示。</w:t>
      </w:r>
    </w:p>
    <w:p w14:paraId="56B7D800" w14:textId="28BFE9C9" w:rsidR="009653FB" w:rsidRDefault="009653FB" w:rsidP="009653FB">
      <w:pPr>
        <w:jc w:val="center"/>
        <w:rPr>
          <w:rFonts w:hint="eastAsia"/>
        </w:rPr>
      </w:pPr>
      <w:r>
        <w:rPr>
          <w:noProof/>
        </w:rPr>
        <w:drawing>
          <wp:inline distT="0" distB="0" distL="0" distR="0" wp14:anchorId="72D0AD3C" wp14:editId="0EFD5C05">
            <wp:extent cx="3964305" cy="1268730"/>
            <wp:effectExtent l="0" t="0" r="0" b="7620"/>
            <wp:docPr id="1352" name="图片 1352"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52" descr="卡通人物&#10;&#10;中度可信度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4305" cy="1268730"/>
                    </a:xfrm>
                    <a:prstGeom prst="rect">
                      <a:avLst/>
                    </a:prstGeom>
                    <a:noFill/>
                    <a:ln>
                      <a:noFill/>
                    </a:ln>
                  </pic:spPr>
                </pic:pic>
              </a:graphicData>
            </a:graphic>
          </wp:inline>
        </w:drawing>
      </w:r>
    </w:p>
    <w:p w14:paraId="65E65369" w14:textId="77777777" w:rsidR="009653FB" w:rsidRDefault="009653FB" w:rsidP="009653FB">
      <w:pPr>
        <w:ind w:firstLine="420"/>
        <w:rPr>
          <w:rFonts w:hint="eastAsia"/>
        </w:rPr>
      </w:pPr>
      <w:r>
        <w:rPr>
          <w:rFonts w:hint="eastAsia"/>
        </w:rPr>
        <w:t>网络服务区共部署了</w:t>
      </w:r>
      <w:r>
        <w:t>2</w:t>
      </w:r>
      <w:r>
        <w:rPr>
          <w:rFonts w:hint="eastAsia"/>
        </w:rPr>
        <w:t>台防火墙和</w:t>
      </w:r>
      <w:r>
        <w:t>2</w:t>
      </w:r>
      <w:r>
        <w:rPr>
          <w:rFonts w:hint="eastAsia"/>
        </w:rPr>
        <w:t>台</w:t>
      </w:r>
      <w:r>
        <w:t>LB</w:t>
      </w:r>
      <w:r>
        <w:rPr>
          <w:rFonts w:hint="eastAsia"/>
        </w:rPr>
        <w:t>设备，为数据中心的多个服务器业务分区提供安全控制和应用负载均衡服务。</w:t>
      </w:r>
    </w:p>
    <w:p w14:paraId="501AD410" w14:textId="77777777" w:rsidR="009653FB" w:rsidRDefault="009653FB" w:rsidP="009653FB">
      <w:pPr>
        <w:ind w:firstLine="420"/>
        <w:rPr>
          <w:rFonts w:hint="eastAsia"/>
        </w:rPr>
      </w:pPr>
      <w:r>
        <w:t>2</w:t>
      </w:r>
      <w:r>
        <w:rPr>
          <w:rFonts w:hint="eastAsia"/>
        </w:rPr>
        <w:t>台防火墙和</w:t>
      </w:r>
      <w:r>
        <w:t>2</w:t>
      </w:r>
      <w:r>
        <w:rPr>
          <w:rFonts w:hint="eastAsia"/>
        </w:rPr>
        <w:t>台</w:t>
      </w:r>
      <w:r>
        <w:t>LB</w:t>
      </w:r>
      <w:r>
        <w:rPr>
          <w:rFonts w:hint="eastAsia"/>
        </w:rPr>
        <w:t>均采用双机热备的冗余方式进行部署；每台防火墙和</w:t>
      </w:r>
      <w:r>
        <w:t>LB</w:t>
      </w:r>
      <w:r>
        <w:rPr>
          <w:rFonts w:hint="eastAsia"/>
        </w:rPr>
        <w:t>都采用核心交换机旁挂的方式，并通过</w:t>
      </w:r>
      <w:r>
        <w:t>2</w:t>
      </w:r>
      <w:r>
        <w:rPr>
          <w:rFonts w:hint="eastAsia"/>
        </w:rPr>
        <w:t>条</w:t>
      </w:r>
      <w:r>
        <w:t>GE</w:t>
      </w:r>
      <w:r>
        <w:rPr>
          <w:rFonts w:hint="eastAsia"/>
        </w:rPr>
        <w:t>电路与核心交换机进行互联，分别用于承载入方向和出方向的流量。</w:t>
      </w:r>
    </w:p>
    <w:p w14:paraId="30463963" w14:textId="0BD64746" w:rsidR="009653FB" w:rsidRDefault="009653FB" w:rsidP="009653FB">
      <w:pPr>
        <w:rPr>
          <w:rFonts w:hint="eastAsia"/>
        </w:rPr>
      </w:pPr>
      <w:r>
        <w:rPr>
          <w:rFonts w:hint="eastAsia"/>
        </w:rPr>
        <w:t>防火墙设备用于对安全级别较高的业务服务器分区进行安全防护。防火墙通过虚拟化技术，从逻辑上划分为多台防火墙，分别为需要安全防护的服务器分区提供独立的安全保障。每台虚拟防火墙都是</w:t>
      </w:r>
      <w:r>
        <w:t>VPN</w:t>
      </w:r>
      <w:r>
        <w:rPr>
          <w:rFonts w:hint="eastAsia"/>
        </w:rPr>
        <w:t>实例、安全实例和配置实例的综合体，为用户提供私有的路由转发服务、安全服务和配置管理服务。防火墙设备一般采用路由工作模式。</w:t>
      </w:r>
    </w:p>
    <w:p w14:paraId="11146110" w14:textId="77777777" w:rsidR="009653FB" w:rsidRDefault="009653FB" w:rsidP="009653FB">
      <w:pPr>
        <w:ind w:firstLine="420"/>
        <w:rPr>
          <w:rFonts w:hint="eastAsia"/>
          <w:color w:val="FF0000"/>
        </w:rPr>
      </w:pPr>
      <w:r>
        <w:t>LB</w:t>
      </w:r>
      <w:r>
        <w:rPr>
          <w:rFonts w:hint="eastAsia"/>
        </w:rPr>
        <w:t>可以保障内部资源的容错性，内部任何一个应用节点出现问题都不会对用户造成任何的影响；</w:t>
      </w:r>
      <w:r>
        <w:t>LB</w:t>
      </w:r>
      <w:r>
        <w:rPr>
          <w:rFonts w:hint="eastAsia"/>
        </w:rPr>
        <w:t>可以增强业务扩展性，业务扩展时只需要增加相应的内部服务器即可。</w:t>
      </w:r>
    </w:p>
    <w:p w14:paraId="55DC4AF9" w14:textId="77777777" w:rsidR="009653FB" w:rsidRDefault="009653FB" w:rsidP="009653FB">
      <w:pPr>
        <w:rPr>
          <w:rFonts w:hint="eastAsia"/>
        </w:rPr>
      </w:pPr>
      <w:r>
        <w:t>LB</w:t>
      </w:r>
      <w:r>
        <w:rPr>
          <w:rFonts w:hint="eastAsia"/>
        </w:rPr>
        <w:t>设备可以为部署在多台服务器上的应用系统，对外提供一个</w:t>
      </w:r>
      <w:r>
        <w:t>VIP</w:t>
      </w:r>
      <w:r>
        <w:rPr>
          <w:rFonts w:hint="eastAsia"/>
        </w:rPr>
        <w:t>服务地址，并实时监测各个内部服务器的负载状况。当客户端通过接入网络访问该应用系统时，业务数据流通过</w:t>
      </w:r>
      <w:r>
        <w:t>VIP</w:t>
      </w:r>
      <w:r>
        <w:rPr>
          <w:rFonts w:hint="eastAsia"/>
        </w:rPr>
        <w:t>服务地址首先到达</w:t>
      </w:r>
      <w:r>
        <w:t>LB</w:t>
      </w:r>
      <w:r>
        <w:rPr>
          <w:rFonts w:hint="eastAsia"/>
        </w:rPr>
        <w:t>，</w:t>
      </w:r>
      <w:r>
        <w:t>LB</w:t>
      </w:r>
      <w:r>
        <w:rPr>
          <w:rFonts w:hint="eastAsia"/>
        </w:rPr>
        <w:t>会根据一定的流量策略，比如轮循、比率、最小连接数等方式将业务请求自动提交给相应的服务器进行处理，从而实现负载均衡和冗余备份的功能。</w:t>
      </w:r>
    </w:p>
    <w:p w14:paraId="7F351A14" w14:textId="77777777" w:rsidR="009653FB" w:rsidRDefault="009653FB" w:rsidP="009653FB">
      <w:pPr>
        <w:pStyle w:val="6"/>
        <w:rPr>
          <w:rFonts w:hint="eastAsia"/>
        </w:rPr>
      </w:pPr>
      <w:r>
        <w:rPr>
          <w:rFonts w:hint="eastAsia"/>
        </w:rPr>
        <w:t>数据流</w:t>
      </w:r>
    </w:p>
    <w:p w14:paraId="3336797D" w14:textId="3678FCBB" w:rsidR="009653FB" w:rsidRDefault="009653FB" w:rsidP="009653FB">
      <w:pPr>
        <w:ind w:firstLine="420"/>
        <w:rPr>
          <w:rFonts w:hint="eastAsia"/>
        </w:rPr>
      </w:pPr>
      <w:r>
        <w:rPr>
          <w:rFonts w:hint="eastAsia"/>
        </w:rPr>
        <w:t>通过部署防火墙和</w:t>
      </w:r>
      <w:r>
        <w:t>LB</w:t>
      </w:r>
      <w:r>
        <w:rPr>
          <w:rFonts w:hint="eastAsia"/>
        </w:rPr>
        <w:t>设备，网络服务区支持的业务数据流模型包括：</w:t>
      </w:r>
    </w:p>
    <w:p w14:paraId="4BDF6C94" w14:textId="72922683" w:rsidR="009653FB" w:rsidRDefault="009653FB">
      <w:pPr>
        <w:pStyle w:val="a3"/>
        <w:numPr>
          <w:ilvl w:val="0"/>
          <w:numId w:val="26"/>
        </w:numPr>
        <w:ind w:firstLineChars="0"/>
        <w:rPr>
          <w:rFonts w:hint="eastAsia"/>
        </w:rPr>
      </w:pPr>
      <w:r>
        <w:rPr>
          <w:rFonts w:hint="eastAsia"/>
        </w:rPr>
        <w:t>第一种是没有特殊服务</w:t>
      </w:r>
      <w:r w:rsidR="006C6F6D" w:rsidRPr="006C6F6D">
        <w:rPr>
          <w:rFonts w:hint="eastAsia"/>
          <w:b/>
        </w:rPr>
        <w:t>招标文件要求</w:t>
      </w:r>
      <w:r>
        <w:rPr>
          <w:rFonts w:hint="eastAsia"/>
        </w:rPr>
        <w:t>的业务系统。业务流的方向是通过接入层交换机，</w:t>
      </w:r>
      <w:r>
        <w:t>VLAN</w:t>
      </w:r>
      <w:r>
        <w:rPr>
          <w:rFonts w:hint="eastAsia"/>
        </w:rPr>
        <w:t>透传到核心交换机，在核心交换机进行三层终结，直接通过路由的方式到达外联区的防火墙设备；该种情况，业务系统的</w:t>
      </w:r>
      <w:r>
        <w:t>IP</w:t>
      </w:r>
      <w:r>
        <w:rPr>
          <w:rFonts w:hint="eastAsia"/>
        </w:rPr>
        <w:t>网关设置在三层交换机上。</w:t>
      </w:r>
    </w:p>
    <w:p w14:paraId="55553E22" w14:textId="77777777" w:rsidR="009653FB" w:rsidRDefault="009653FB">
      <w:pPr>
        <w:pStyle w:val="a3"/>
        <w:numPr>
          <w:ilvl w:val="0"/>
          <w:numId w:val="26"/>
        </w:numPr>
        <w:ind w:firstLineChars="0"/>
        <w:rPr>
          <w:rFonts w:hint="eastAsia"/>
        </w:rPr>
      </w:pPr>
      <w:r>
        <w:rPr>
          <w:rFonts w:hint="eastAsia"/>
        </w:rPr>
        <w:t>第二种是只需要</w:t>
      </w:r>
      <w:r>
        <w:t>LB</w:t>
      </w:r>
      <w:r>
        <w:rPr>
          <w:rFonts w:hint="eastAsia"/>
        </w:rPr>
        <w:t>服务的业务系统。业务流通过接入层交换机，</w:t>
      </w:r>
      <w:r>
        <w:t>VLAN</w:t>
      </w:r>
      <w:r>
        <w:rPr>
          <w:rFonts w:hint="eastAsia"/>
        </w:rPr>
        <w:t>透传到核心交换机，并通过互联电路</w:t>
      </w:r>
      <w:r>
        <w:t>VLAN</w:t>
      </w:r>
      <w:r>
        <w:rPr>
          <w:rFonts w:hint="eastAsia"/>
        </w:rPr>
        <w:t>透传到</w:t>
      </w:r>
      <w:r>
        <w:t>LB</w:t>
      </w:r>
      <w:r>
        <w:rPr>
          <w:rFonts w:hint="eastAsia"/>
        </w:rPr>
        <w:t>设备，进行三层终结；然后通过另一条互联电路路由到核心交换机，并通过路由的方式到达外联区的防火墙设备；</w:t>
      </w:r>
      <w:r>
        <w:t>LB</w:t>
      </w:r>
      <w:r>
        <w:rPr>
          <w:rFonts w:hint="eastAsia"/>
        </w:rPr>
        <w:t>设备可以实现入流量的应用负载均衡，该种情况业务系统的</w:t>
      </w:r>
      <w:r>
        <w:t>IP</w:t>
      </w:r>
      <w:r>
        <w:rPr>
          <w:rFonts w:hint="eastAsia"/>
        </w:rPr>
        <w:t>网关设置在</w:t>
      </w:r>
      <w:r>
        <w:t>LB</w:t>
      </w:r>
      <w:r>
        <w:rPr>
          <w:rFonts w:hint="eastAsia"/>
        </w:rPr>
        <w:t>上。</w:t>
      </w:r>
    </w:p>
    <w:p w14:paraId="423D8C6C" w14:textId="77777777" w:rsidR="009653FB" w:rsidRDefault="009653FB">
      <w:pPr>
        <w:pStyle w:val="a3"/>
        <w:numPr>
          <w:ilvl w:val="0"/>
          <w:numId w:val="26"/>
        </w:numPr>
        <w:ind w:firstLineChars="0"/>
        <w:rPr>
          <w:rFonts w:hint="eastAsia"/>
        </w:rPr>
      </w:pPr>
      <w:r>
        <w:rPr>
          <w:rFonts w:hint="eastAsia"/>
        </w:rPr>
        <w:lastRenderedPageBreak/>
        <w:t>第三种是只需要防火墙服务的业务系统。业务流通过接入层交换机，</w:t>
      </w:r>
      <w:r>
        <w:t>VLAN</w:t>
      </w:r>
      <w:r>
        <w:rPr>
          <w:rFonts w:hint="eastAsia"/>
        </w:rPr>
        <w:t>透传到核心交换机，并通过互联电路</w:t>
      </w:r>
      <w:r>
        <w:t>VLAN</w:t>
      </w:r>
      <w:r>
        <w:rPr>
          <w:rFonts w:hint="eastAsia"/>
        </w:rPr>
        <w:t>透传到防火墙设备（采用虚拟防火墙），进行三层终结；然后通过另一条互联电路路由到核心交换机，并通过路由的方式到达外联区的防火墙设备。该种情况业务系统的</w:t>
      </w:r>
      <w:r>
        <w:t>IP</w:t>
      </w:r>
      <w:r>
        <w:rPr>
          <w:rFonts w:hint="eastAsia"/>
        </w:rPr>
        <w:t>网关设置在防火墙上。</w:t>
      </w:r>
    </w:p>
    <w:p w14:paraId="4E40DE8E" w14:textId="77777777" w:rsidR="009653FB" w:rsidRDefault="009653FB">
      <w:pPr>
        <w:pStyle w:val="a3"/>
        <w:numPr>
          <w:ilvl w:val="0"/>
          <w:numId w:val="26"/>
        </w:numPr>
        <w:ind w:firstLineChars="0"/>
        <w:rPr>
          <w:rFonts w:hint="eastAsia"/>
        </w:rPr>
      </w:pPr>
      <w:r>
        <w:rPr>
          <w:rFonts w:hint="eastAsia"/>
        </w:rPr>
        <w:t>第四种是同时需要防火墙和</w:t>
      </w:r>
      <w:r>
        <w:t>LB</w:t>
      </w:r>
      <w:r>
        <w:rPr>
          <w:rFonts w:hint="eastAsia"/>
        </w:rPr>
        <w:t>服务的业务系统。该业务流程相当于将第二种和第三种情况进行综合。业务流通过接入层交换机，</w:t>
      </w:r>
      <w:r>
        <w:t>VLAN</w:t>
      </w:r>
      <w:r>
        <w:rPr>
          <w:rFonts w:hint="eastAsia"/>
        </w:rPr>
        <w:t>透传到核心交换机，首先到达</w:t>
      </w:r>
      <w:r>
        <w:t>LB</w:t>
      </w:r>
      <w:r>
        <w:rPr>
          <w:rFonts w:hint="eastAsia"/>
        </w:rPr>
        <w:t>设备，再到达防火墙设备，然后通过核心交换机路由到出口防火墙；</w:t>
      </w:r>
      <w:r>
        <w:t>LB</w:t>
      </w:r>
      <w:r>
        <w:rPr>
          <w:rFonts w:hint="eastAsia"/>
        </w:rPr>
        <w:t>设备可以实现入流量的负载均衡的功能。该种情况，业务系统的</w:t>
      </w:r>
      <w:r>
        <w:t>IP</w:t>
      </w:r>
      <w:r>
        <w:rPr>
          <w:rFonts w:hint="eastAsia"/>
        </w:rPr>
        <w:t>网关设置在</w:t>
      </w:r>
      <w:r>
        <w:t>LB</w:t>
      </w:r>
      <w:r>
        <w:rPr>
          <w:rFonts w:hint="eastAsia"/>
        </w:rPr>
        <w:t>设备上。</w:t>
      </w:r>
    </w:p>
    <w:p w14:paraId="24224B55" w14:textId="63A9C88A" w:rsidR="009653FB" w:rsidRDefault="009653FB" w:rsidP="009653FB">
      <w:pPr>
        <w:jc w:val="center"/>
        <w:rPr>
          <w:rFonts w:hint="eastAsia"/>
        </w:rPr>
      </w:pPr>
      <w:r>
        <w:rPr>
          <w:noProof/>
        </w:rPr>
        <w:drawing>
          <wp:inline distT="0" distB="0" distL="0" distR="0" wp14:anchorId="4A92CC95" wp14:editId="3E33C8C3">
            <wp:extent cx="4001135" cy="3810635"/>
            <wp:effectExtent l="0" t="0" r="0" b="0"/>
            <wp:docPr id="1351" name="图片 1351" descr="业务区业务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业务区业务流.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1135" cy="3810635"/>
                    </a:xfrm>
                    <a:prstGeom prst="rect">
                      <a:avLst/>
                    </a:prstGeom>
                    <a:noFill/>
                    <a:ln>
                      <a:noFill/>
                    </a:ln>
                  </pic:spPr>
                </pic:pic>
              </a:graphicData>
            </a:graphic>
          </wp:inline>
        </w:drawing>
      </w:r>
    </w:p>
    <w:p w14:paraId="52B0C72E" w14:textId="77777777" w:rsidR="009653FB" w:rsidRDefault="009653FB" w:rsidP="009653FB">
      <w:pPr>
        <w:pStyle w:val="5"/>
        <w:rPr>
          <w:rFonts w:hint="eastAsia"/>
        </w:rPr>
      </w:pPr>
      <w:bookmarkStart w:id="121" w:name="_Toc320984071"/>
      <w:bookmarkStart w:id="122" w:name="_Toc326001912"/>
      <w:r>
        <w:rPr>
          <w:rFonts w:hint="eastAsia"/>
        </w:rPr>
        <w:t>业务服务及运行管理区设计</w:t>
      </w:r>
      <w:bookmarkEnd w:id="121"/>
      <w:bookmarkEnd w:id="122"/>
    </w:p>
    <w:p w14:paraId="62D61E9A" w14:textId="77777777" w:rsidR="009653FB" w:rsidRDefault="009653FB">
      <w:pPr>
        <w:pStyle w:val="a3"/>
        <w:numPr>
          <w:ilvl w:val="0"/>
          <w:numId w:val="27"/>
        </w:numPr>
        <w:ind w:firstLineChars="0"/>
        <w:rPr>
          <w:rFonts w:hint="eastAsia"/>
        </w:rPr>
      </w:pPr>
      <w:r>
        <w:rPr>
          <w:rFonts w:hint="eastAsia"/>
        </w:rPr>
        <w:t>业务服务区：是政府机关提供服务的业务区，需要考虑较高的可用性和更全面的安全防护措施；业务服务区包括等保二级业务区、等保三级业务区、开发测试区等。</w:t>
      </w:r>
    </w:p>
    <w:p w14:paraId="4B60F38E" w14:textId="77777777" w:rsidR="009653FB" w:rsidRDefault="009653FB">
      <w:pPr>
        <w:pStyle w:val="a3"/>
        <w:numPr>
          <w:ilvl w:val="0"/>
          <w:numId w:val="27"/>
        </w:numPr>
        <w:ind w:firstLineChars="0"/>
        <w:rPr>
          <w:rFonts w:hint="eastAsia"/>
        </w:rPr>
      </w:pPr>
      <w:r>
        <w:rPr>
          <w:rFonts w:hint="eastAsia"/>
        </w:rPr>
        <w:t>运行管理区：主要职责是对数据中心的软</w:t>
      </w:r>
      <w:r>
        <w:t>/</w:t>
      </w:r>
      <w:r>
        <w:rPr>
          <w:rFonts w:hint="eastAsia"/>
        </w:rPr>
        <w:t>硬件系统进行统一运维和运营管理，提供安全管理的功能，并部署云计算管理平台。</w:t>
      </w:r>
    </w:p>
    <w:p w14:paraId="616C60DB" w14:textId="77777777" w:rsidR="009653FB" w:rsidRDefault="009653FB" w:rsidP="009653FB">
      <w:pPr>
        <w:pStyle w:val="6"/>
        <w:rPr>
          <w:rFonts w:hint="eastAsia"/>
        </w:rPr>
      </w:pPr>
      <w:r>
        <w:rPr>
          <w:rFonts w:hint="eastAsia"/>
        </w:rPr>
        <w:t>网络架构</w:t>
      </w:r>
    </w:p>
    <w:p w14:paraId="15CC9C56" w14:textId="77777777" w:rsidR="009653FB" w:rsidRDefault="009653FB" w:rsidP="009653FB">
      <w:pPr>
        <w:ind w:firstLine="420"/>
        <w:rPr>
          <w:rFonts w:hint="eastAsia"/>
        </w:rPr>
      </w:pPr>
      <w:r>
        <w:rPr>
          <w:rFonts w:hint="eastAsia"/>
        </w:rPr>
        <w:t>业务服务区及运行管理区的网络架构基本相同：按照层次化、模块化的设计理念，各个功能分区的业务主机通过相应的接入交换机进行汇接，双链路上联到网络核心交换机上。</w:t>
      </w:r>
    </w:p>
    <w:p w14:paraId="2684726B" w14:textId="76FCF0DD" w:rsidR="009653FB" w:rsidRDefault="009653FB" w:rsidP="009653FB">
      <w:pPr>
        <w:pStyle w:val="ItemList"/>
        <w:numPr>
          <w:ilvl w:val="0"/>
          <w:numId w:val="0"/>
        </w:numPr>
        <w:tabs>
          <w:tab w:val="left" w:pos="420"/>
        </w:tabs>
        <w:spacing w:line="360" w:lineRule="auto"/>
        <w:jc w:val="center"/>
      </w:pPr>
      <w:r>
        <w:rPr>
          <w:noProof/>
        </w:rPr>
        <w:lastRenderedPageBreak/>
        <w:drawing>
          <wp:inline distT="0" distB="0" distL="0" distR="0" wp14:anchorId="7CBF5EA5" wp14:editId="20D06D47">
            <wp:extent cx="4831080" cy="3684270"/>
            <wp:effectExtent l="0" t="0" r="7620" b="0"/>
            <wp:docPr id="1350" name="图片 135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350" descr="图示, 工程绘图&#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1080" cy="3684270"/>
                    </a:xfrm>
                    <a:prstGeom prst="rect">
                      <a:avLst/>
                    </a:prstGeom>
                    <a:noFill/>
                    <a:ln>
                      <a:noFill/>
                    </a:ln>
                  </pic:spPr>
                </pic:pic>
              </a:graphicData>
            </a:graphic>
          </wp:inline>
        </w:drawing>
      </w:r>
    </w:p>
    <w:p w14:paraId="4226485D" w14:textId="77777777" w:rsidR="009653FB" w:rsidRDefault="009653FB" w:rsidP="009653FB">
      <w:pPr>
        <w:ind w:firstLine="420"/>
        <w:rPr>
          <w:rFonts w:hint="eastAsia"/>
        </w:rPr>
      </w:pPr>
      <w:r>
        <w:rPr>
          <w:rFonts w:hint="eastAsia"/>
        </w:rPr>
        <w:t>服务器的接入方式分为下面四种情况</w:t>
      </w:r>
      <w:r>
        <w:t>:</w:t>
      </w:r>
    </w:p>
    <w:p w14:paraId="51B2FB4A" w14:textId="77777777" w:rsidR="009653FB" w:rsidRDefault="009653FB">
      <w:pPr>
        <w:pStyle w:val="a3"/>
        <w:widowControl/>
        <w:numPr>
          <w:ilvl w:val="0"/>
          <w:numId w:val="24"/>
        </w:numPr>
        <w:topLinePunct/>
        <w:adjustRightInd w:val="0"/>
        <w:snapToGrid w:val="0"/>
        <w:spacing w:before="160" w:after="160" w:line="240" w:lineRule="atLeast"/>
        <w:ind w:firstLineChars="0"/>
        <w:jc w:val="left"/>
        <w:rPr>
          <w:rFonts w:hint="eastAsia"/>
        </w:rPr>
      </w:pPr>
      <w:r>
        <w:rPr>
          <w:rFonts w:hint="eastAsia"/>
        </w:rPr>
        <w:t>中低端机架服务器，数量众多，通过置顶式接入层交换机（</w:t>
      </w:r>
      <w:r>
        <w:t>TOR</w:t>
      </w:r>
      <w:r>
        <w:rPr>
          <w:rFonts w:hint="eastAsia"/>
        </w:rPr>
        <w:t>）接入；</w:t>
      </w:r>
    </w:p>
    <w:p w14:paraId="5A5F281D" w14:textId="77777777" w:rsidR="009653FB" w:rsidRDefault="009653FB">
      <w:pPr>
        <w:pStyle w:val="a3"/>
        <w:widowControl/>
        <w:numPr>
          <w:ilvl w:val="0"/>
          <w:numId w:val="24"/>
        </w:numPr>
        <w:topLinePunct/>
        <w:adjustRightInd w:val="0"/>
        <w:snapToGrid w:val="0"/>
        <w:spacing w:before="160" w:after="160" w:line="240" w:lineRule="atLeast"/>
        <w:ind w:firstLineChars="0"/>
        <w:jc w:val="left"/>
        <w:rPr>
          <w:rFonts w:hint="eastAsia"/>
        </w:rPr>
      </w:pPr>
      <w:r>
        <w:rPr>
          <w:rFonts w:hint="eastAsia"/>
        </w:rPr>
        <w:t>没有内置交换机的刀片服务器，通过置顶式接入层交换机（</w:t>
      </w:r>
      <w:r>
        <w:t>TOR</w:t>
      </w:r>
      <w:r>
        <w:rPr>
          <w:rFonts w:hint="eastAsia"/>
        </w:rPr>
        <w:t>）接入；</w:t>
      </w:r>
    </w:p>
    <w:p w14:paraId="0F92BF66" w14:textId="77777777" w:rsidR="009653FB" w:rsidRDefault="009653FB">
      <w:pPr>
        <w:pStyle w:val="a3"/>
        <w:widowControl/>
        <w:numPr>
          <w:ilvl w:val="0"/>
          <w:numId w:val="24"/>
        </w:numPr>
        <w:topLinePunct/>
        <w:adjustRightInd w:val="0"/>
        <w:snapToGrid w:val="0"/>
        <w:spacing w:before="160" w:after="160" w:line="240" w:lineRule="atLeast"/>
        <w:ind w:firstLineChars="0"/>
        <w:jc w:val="left"/>
        <w:rPr>
          <w:rFonts w:hint="eastAsia"/>
        </w:rPr>
      </w:pPr>
      <w:r>
        <w:rPr>
          <w:rFonts w:hint="eastAsia"/>
        </w:rPr>
        <w:t>内置交换机的刀片服务器，直接上联到核心层交换机上，减少交换网络的层级；</w:t>
      </w:r>
    </w:p>
    <w:p w14:paraId="0BC55DE3" w14:textId="77777777" w:rsidR="009653FB" w:rsidRDefault="009653FB">
      <w:pPr>
        <w:pStyle w:val="a3"/>
        <w:widowControl/>
        <w:numPr>
          <w:ilvl w:val="0"/>
          <w:numId w:val="24"/>
        </w:numPr>
        <w:topLinePunct/>
        <w:adjustRightInd w:val="0"/>
        <w:snapToGrid w:val="0"/>
        <w:spacing w:before="160" w:after="160" w:line="240" w:lineRule="atLeast"/>
        <w:ind w:firstLineChars="0"/>
        <w:jc w:val="left"/>
        <w:rPr>
          <w:rFonts w:hint="eastAsia"/>
        </w:rPr>
      </w:pPr>
      <w:r>
        <w:rPr>
          <w:rFonts w:hint="eastAsia"/>
        </w:rPr>
        <w:t>高性能服务器，数量较少且重要性高，部署数据中心核心应用系统（如：核心数据库系统），可以采用异构防火墙加强网络安全。</w:t>
      </w:r>
    </w:p>
    <w:p w14:paraId="2DAF78ED" w14:textId="77777777" w:rsidR="009653FB" w:rsidRDefault="009653FB" w:rsidP="009653FB">
      <w:pPr>
        <w:ind w:firstLine="420"/>
        <w:rPr>
          <w:rFonts w:hint="eastAsia"/>
        </w:rPr>
      </w:pPr>
      <w:r>
        <w:rPr>
          <w:rFonts w:hint="eastAsia"/>
        </w:rPr>
        <w:t>各个业务功能分区可以通过网络服务区的防火墙进行安全控制；通过功能区的划分，也可以提高系统的可扩展能力。</w:t>
      </w:r>
    </w:p>
    <w:p w14:paraId="3FBEDD10" w14:textId="77777777" w:rsidR="009653FB" w:rsidRDefault="009653FB" w:rsidP="009653FB">
      <w:pPr>
        <w:pStyle w:val="6"/>
        <w:rPr>
          <w:rFonts w:hint="eastAsia"/>
        </w:rPr>
      </w:pPr>
      <w:r>
        <w:rPr>
          <w:rFonts w:hint="eastAsia"/>
        </w:rPr>
        <w:t>分平面设计</w:t>
      </w:r>
    </w:p>
    <w:p w14:paraId="183374CC" w14:textId="77777777" w:rsidR="009653FB" w:rsidRDefault="009653FB" w:rsidP="009653FB">
      <w:pPr>
        <w:ind w:firstLine="420"/>
        <w:rPr>
          <w:rFonts w:hint="eastAsia"/>
        </w:rPr>
      </w:pPr>
      <w:r>
        <w:rPr>
          <w:rFonts w:hint="eastAsia"/>
        </w:rPr>
        <w:t>数据中心的业务核心区采用的是网络分平面设计的网络架构，按照业务的类型将网络分成三个平面：业务平面、存储平面和管理平面，各个平面之间实现业务安全隔离。</w:t>
      </w:r>
    </w:p>
    <w:p w14:paraId="0914829D" w14:textId="77777777" w:rsidR="009653FB" w:rsidRDefault="009653FB" w:rsidP="009653FB">
      <w:pPr>
        <w:ind w:firstLine="420"/>
        <w:rPr>
          <w:rFonts w:hint="eastAsia"/>
        </w:rPr>
      </w:pPr>
      <w:r>
        <w:rPr>
          <w:rFonts w:hint="eastAsia"/>
        </w:rPr>
        <w:t>各个平面之间通过网络设备和网卡进行物理安全隔离或</w:t>
      </w:r>
      <w:r>
        <w:t>VLAN</w:t>
      </w:r>
      <w:r>
        <w:rPr>
          <w:rFonts w:hint="eastAsia"/>
        </w:rPr>
        <w:t>逻辑安全隔离，保证各种网络平面数据的安全性和可靠性，单个平面的故障不影响其余平面继续工作。</w:t>
      </w:r>
    </w:p>
    <w:p w14:paraId="7415B945" w14:textId="69082518" w:rsidR="009653FB" w:rsidRDefault="009653FB" w:rsidP="009653FB">
      <w:pPr>
        <w:ind w:firstLine="420"/>
        <w:jc w:val="center"/>
        <w:rPr>
          <w:rFonts w:hint="eastAsia"/>
        </w:rPr>
      </w:pPr>
      <w:r>
        <w:rPr>
          <w:rFonts w:hint="eastAsia"/>
        </w:rPr>
        <w:t>每台主机通过不同的网络接口与业务平面、管理平面和存储平面进行互联，并在交换机上通过</w:t>
      </w:r>
      <w:r>
        <w:t>VLAN</w:t>
      </w:r>
      <w:r>
        <w:rPr>
          <w:rFonts w:hint="eastAsia"/>
        </w:rPr>
        <w:t>进行隔离，其中存储平面采用单独的交换机进行接入。</w:t>
      </w:r>
      <w:r>
        <w:rPr>
          <w:noProof/>
        </w:rPr>
        <w:lastRenderedPageBreak/>
        <w:drawing>
          <wp:inline distT="0" distB="0" distL="0" distR="0" wp14:anchorId="549EDD12" wp14:editId="6BAE4E92">
            <wp:extent cx="3705225" cy="3239770"/>
            <wp:effectExtent l="0" t="0" r="9525" b="0"/>
            <wp:docPr id="1349" name="图片 1349" descr="分平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descr="分平面.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5225" cy="3239770"/>
                    </a:xfrm>
                    <a:prstGeom prst="rect">
                      <a:avLst/>
                    </a:prstGeom>
                    <a:noFill/>
                    <a:ln>
                      <a:noFill/>
                    </a:ln>
                  </pic:spPr>
                </pic:pic>
              </a:graphicData>
            </a:graphic>
          </wp:inline>
        </w:drawing>
      </w:r>
    </w:p>
    <w:p w14:paraId="00719185" w14:textId="77777777" w:rsidR="009653FB" w:rsidRDefault="009653FB" w:rsidP="009653FB">
      <w:pPr>
        <w:pStyle w:val="6"/>
        <w:rPr>
          <w:rFonts w:hint="eastAsia"/>
        </w:rPr>
      </w:pPr>
      <w:r>
        <w:t>VPN</w:t>
      </w:r>
      <w:r>
        <w:rPr>
          <w:rFonts w:hint="eastAsia"/>
        </w:rPr>
        <w:t>（</w:t>
      </w:r>
      <w:r>
        <w:t>MCE</w:t>
      </w:r>
      <w:r>
        <w:rPr>
          <w:rFonts w:hint="eastAsia"/>
        </w:rPr>
        <w:t>方式）设计</w:t>
      </w:r>
    </w:p>
    <w:p w14:paraId="2B497445" w14:textId="77777777" w:rsidR="009653FB" w:rsidRDefault="009653FB" w:rsidP="009653FB">
      <w:pPr>
        <w:ind w:firstLine="420"/>
        <w:rPr>
          <w:rFonts w:hint="eastAsia"/>
        </w:rPr>
      </w:pPr>
      <w:r>
        <w:rPr>
          <w:rFonts w:hint="eastAsia"/>
        </w:rPr>
        <w:t>对于国家政府机关，其下属各个政府部门往往都是一个单独的</w:t>
      </w:r>
      <w:r>
        <w:t>VPN</w:t>
      </w:r>
      <w:r>
        <w:rPr>
          <w:rFonts w:hint="eastAsia"/>
        </w:rPr>
        <w:t>，彼此需要通过物理或逻辑的方式进行安全隔离。</w:t>
      </w:r>
    </w:p>
    <w:p w14:paraId="3BFE4489" w14:textId="5A846387" w:rsidR="009653FB" w:rsidRDefault="009653FB" w:rsidP="009653FB">
      <w:pPr>
        <w:ind w:firstLine="420"/>
        <w:rPr>
          <w:rFonts w:hint="eastAsia"/>
        </w:rPr>
      </w:pPr>
      <w:r>
        <w:rPr>
          <w:rFonts w:hint="eastAsia"/>
        </w:rPr>
        <w:t>数据中心可以通过</w:t>
      </w:r>
      <w:r>
        <w:t>VLAN</w:t>
      </w:r>
      <w:r>
        <w:rPr>
          <w:rFonts w:hint="eastAsia"/>
        </w:rPr>
        <w:t>的方式实现</w:t>
      </w:r>
      <w:r>
        <w:t>VPN</w:t>
      </w:r>
      <w:r>
        <w:rPr>
          <w:rFonts w:hint="eastAsia"/>
        </w:rPr>
        <w:t>业务安全隔离；但</w:t>
      </w:r>
      <w:r>
        <w:t>VLAN</w:t>
      </w:r>
      <w:r>
        <w:rPr>
          <w:rFonts w:hint="eastAsia"/>
        </w:rPr>
        <w:t>是二层以太网技术，很难实现端到端的</w:t>
      </w:r>
      <w:r>
        <w:t>VPN</w:t>
      </w:r>
      <w:r>
        <w:rPr>
          <w:rFonts w:hint="eastAsia"/>
        </w:rPr>
        <w:t>网络。这种情况下，可以在数据中心的核心交换机上采用</w:t>
      </w:r>
      <w:r>
        <w:t>MCE</w:t>
      </w:r>
      <w:r>
        <w:rPr>
          <w:rFonts w:hint="eastAsia"/>
        </w:rPr>
        <w:t>的技术，实现各个</w:t>
      </w:r>
      <w:r>
        <w:t>VPN</w:t>
      </w:r>
      <w:r>
        <w:rPr>
          <w:rFonts w:hint="eastAsia"/>
        </w:rPr>
        <w:t>网络的安全隔离。核心交换机部署</w:t>
      </w:r>
      <w:r>
        <w:t>MCE</w:t>
      </w:r>
      <w:r>
        <w:rPr>
          <w:rFonts w:hint="eastAsia"/>
        </w:rPr>
        <w:t>功能，可以有效解决多</w:t>
      </w:r>
      <w:r>
        <w:t>VPN</w:t>
      </w:r>
      <w:r>
        <w:rPr>
          <w:rFonts w:hint="eastAsia"/>
        </w:rPr>
        <w:t>网络带来的用户数据安全与网络成本之间的矛盾。</w:t>
      </w:r>
    </w:p>
    <w:p w14:paraId="24980636" w14:textId="77777777" w:rsidR="009653FB" w:rsidRDefault="009653FB" w:rsidP="009653FB">
      <w:pPr>
        <w:ind w:firstLine="420"/>
        <w:rPr>
          <w:rFonts w:hint="eastAsia"/>
        </w:rPr>
      </w:pPr>
      <w:r>
        <w:t>MCE</w:t>
      </w:r>
      <w:r>
        <w:rPr>
          <w:rFonts w:hint="eastAsia"/>
        </w:rPr>
        <w:t>的实现原理是在核心交换机上为每个</w:t>
      </w:r>
      <w:r>
        <w:t>VPN</w:t>
      </w:r>
      <w:r>
        <w:rPr>
          <w:rFonts w:hint="eastAsia"/>
        </w:rPr>
        <w:t>网络创建和维护一个独立的路由转发表（</w:t>
      </w:r>
      <w:r>
        <w:t>Multi-VRF</w:t>
      </w:r>
      <w:r>
        <w:rPr>
          <w:rFonts w:hint="eastAsia"/>
        </w:rPr>
        <w:t>）；每个</w:t>
      </w:r>
      <w:r>
        <w:t>VRF</w:t>
      </w:r>
      <w:r>
        <w:rPr>
          <w:rFonts w:hint="eastAsia"/>
        </w:rPr>
        <w:t>与相应的</w:t>
      </w:r>
      <w:r>
        <w:t>VPN</w:t>
      </w:r>
      <w:r>
        <w:rPr>
          <w:rFonts w:hint="eastAsia"/>
        </w:rPr>
        <w:t>业务的</w:t>
      </w:r>
      <w:r>
        <w:t>VLAN</w:t>
      </w:r>
      <w:r>
        <w:rPr>
          <w:rFonts w:hint="eastAsia"/>
        </w:rPr>
        <w:t>端口号相关联，这样在</w:t>
      </w:r>
      <w:r>
        <w:t>1</w:t>
      </w:r>
      <w:r>
        <w:rPr>
          <w:rFonts w:hint="eastAsia"/>
        </w:rPr>
        <w:t>台核心交换机上会维护多个</w:t>
      </w:r>
      <w:r>
        <w:t>VPN</w:t>
      </w:r>
      <w:r>
        <w:rPr>
          <w:rFonts w:hint="eastAsia"/>
        </w:rPr>
        <w:t>的</w:t>
      </w:r>
      <w:r>
        <w:t>VRF</w:t>
      </w:r>
      <w:r>
        <w:rPr>
          <w:rFonts w:hint="eastAsia"/>
        </w:rPr>
        <w:t>，彼此实现安全隔离。通过</w:t>
      </w:r>
      <w:r>
        <w:t>MCE</w:t>
      </w:r>
      <w:r>
        <w:rPr>
          <w:rFonts w:hint="eastAsia"/>
        </w:rPr>
        <w:t>技术，核心交换机相当于虚拟出彼此隔离的多个网络设备，每个虚拟设备对应一个</w:t>
      </w:r>
      <w:r>
        <w:t>VPN</w:t>
      </w:r>
      <w:r>
        <w:rPr>
          <w:rFonts w:hint="eastAsia"/>
        </w:rPr>
        <w:t>，从而实现业务的安全隔离。</w:t>
      </w:r>
      <w:r>
        <w:t>MCE</w:t>
      </w:r>
      <w:r>
        <w:rPr>
          <w:rFonts w:hint="eastAsia"/>
        </w:rPr>
        <w:t>还通过与数据中心的出口路由器的配合，可以将每个</w:t>
      </w:r>
      <w:r>
        <w:t>VPN</w:t>
      </w:r>
      <w:r>
        <w:rPr>
          <w:rFonts w:hint="eastAsia"/>
        </w:rPr>
        <w:t>的业务路由通过外网</w:t>
      </w:r>
      <w:r>
        <w:t>MPLS-VPN</w:t>
      </w:r>
      <w:r>
        <w:rPr>
          <w:rFonts w:hint="eastAsia"/>
        </w:rPr>
        <w:t>承载网络进行传递，实现广域网范围内的端到端的</w:t>
      </w:r>
      <w:r>
        <w:t>VPN</w:t>
      </w:r>
      <w:r>
        <w:rPr>
          <w:rFonts w:hint="eastAsia"/>
        </w:rPr>
        <w:t>网络。</w:t>
      </w:r>
    </w:p>
    <w:p w14:paraId="7F0E3FE3" w14:textId="77777777" w:rsidR="009653FB" w:rsidRDefault="009653FB" w:rsidP="009653FB">
      <w:pPr>
        <w:ind w:firstLine="420"/>
        <w:rPr>
          <w:rFonts w:hint="eastAsia"/>
        </w:rPr>
      </w:pPr>
      <w:r>
        <w:rPr>
          <w:rFonts w:hint="eastAsia"/>
        </w:rPr>
        <w:t>数据中心的</w:t>
      </w:r>
      <w:r>
        <w:t>MCE</w:t>
      </w:r>
      <w:r>
        <w:rPr>
          <w:rFonts w:hint="eastAsia"/>
        </w:rPr>
        <w:t>方式组网示意图如</w:t>
      </w:r>
      <w:r>
        <w:fldChar w:fldCharType="begin"/>
      </w:r>
      <w:r>
        <w:instrText xml:space="preserve"> REF _Ref320890561 \r \h </w:instrText>
      </w:r>
      <w:r>
        <w:fldChar w:fldCharType="separate"/>
      </w:r>
      <w:r>
        <w:rPr>
          <w:rFonts w:hint="eastAsia"/>
        </w:rPr>
        <w:t>图</w:t>
      </w:r>
      <w:r>
        <w:t>4-16</w:t>
      </w:r>
      <w:r>
        <w:fldChar w:fldCharType="end"/>
      </w:r>
      <w:r>
        <w:rPr>
          <w:rFonts w:hint="eastAsia"/>
        </w:rPr>
        <w:t>所示：首先是接入交换机通过</w:t>
      </w:r>
      <w:r>
        <w:t>VLAN</w:t>
      </w:r>
      <w:r>
        <w:rPr>
          <w:rFonts w:hint="eastAsia"/>
        </w:rPr>
        <w:t>的方式对</w:t>
      </w:r>
      <w:r>
        <w:t>VPN</w:t>
      </w:r>
      <w:r>
        <w:rPr>
          <w:rFonts w:hint="eastAsia"/>
        </w:rPr>
        <w:t>业务进行隔离，并将</w:t>
      </w:r>
      <w:r>
        <w:t>VLAN</w:t>
      </w:r>
      <w:r>
        <w:rPr>
          <w:rFonts w:hint="eastAsia"/>
        </w:rPr>
        <w:t>透传到核心交换机上；核心交换机启用</w:t>
      </w:r>
      <w:r>
        <w:t>MCE</w:t>
      </w:r>
      <w:r>
        <w:rPr>
          <w:rFonts w:hint="eastAsia"/>
        </w:rPr>
        <w:t>功能，建立一个与该</w:t>
      </w:r>
      <w:r>
        <w:t>VPN</w:t>
      </w:r>
      <w:r>
        <w:rPr>
          <w:rFonts w:hint="eastAsia"/>
        </w:rPr>
        <w:t>相对应的</w:t>
      </w:r>
      <w:r>
        <w:t>VRF</w:t>
      </w:r>
      <w:r>
        <w:rPr>
          <w:rFonts w:hint="eastAsia"/>
        </w:rPr>
        <w:t>（路由转发表），并将与该</w:t>
      </w:r>
      <w:r>
        <w:t>VPN</w:t>
      </w:r>
      <w:r>
        <w:rPr>
          <w:rFonts w:hint="eastAsia"/>
        </w:rPr>
        <w:t>相对应的</w:t>
      </w:r>
      <w:r>
        <w:t>VLAN</w:t>
      </w:r>
      <w:r>
        <w:rPr>
          <w:rFonts w:hint="eastAsia"/>
        </w:rPr>
        <w:t>接口进行关联，这样该</w:t>
      </w:r>
      <w:r>
        <w:t>VPN</w:t>
      </w:r>
      <w:r>
        <w:rPr>
          <w:rFonts w:hint="eastAsia"/>
        </w:rPr>
        <w:t>形成一个单独的相互隔离的路由转发表，该</w:t>
      </w:r>
      <w:r>
        <w:t>VRF</w:t>
      </w:r>
      <w:r>
        <w:rPr>
          <w:rFonts w:hint="eastAsia"/>
        </w:rPr>
        <w:t>可以运行</w:t>
      </w:r>
      <w:r>
        <w:t>OSPF</w:t>
      </w:r>
      <w:r>
        <w:rPr>
          <w:rFonts w:hint="eastAsia"/>
        </w:rPr>
        <w:t>等动态路由协议。</w:t>
      </w:r>
    </w:p>
    <w:p w14:paraId="60B5F11B" w14:textId="23EB2AD4" w:rsidR="009653FB" w:rsidRDefault="009653FB" w:rsidP="009653FB">
      <w:pPr>
        <w:ind w:firstLine="420"/>
        <w:rPr>
          <w:rFonts w:hint="eastAsia"/>
        </w:rPr>
      </w:pPr>
      <w:r>
        <w:rPr>
          <w:rFonts w:hint="eastAsia"/>
        </w:rPr>
        <w:t>数据中心的出口路由器上可以启用</w:t>
      </w:r>
      <w:r>
        <w:t>PE</w:t>
      </w:r>
      <w:r>
        <w:rPr>
          <w:rFonts w:hint="eastAsia"/>
        </w:rPr>
        <w:t>的功能，建立与该</w:t>
      </w:r>
      <w:r>
        <w:t>VPN</w:t>
      </w:r>
      <w:r>
        <w:rPr>
          <w:rFonts w:hint="eastAsia"/>
        </w:rPr>
        <w:t>相对应的</w:t>
      </w:r>
      <w:r>
        <w:t>VRF</w:t>
      </w:r>
      <w:r>
        <w:rPr>
          <w:rFonts w:hint="eastAsia"/>
        </w:rPr>
        <w:t>，出口路由器和</w:t>
      </w:r>
      <w:r>
        <w:t>MCE</w:t>
      </w:r>
      <w:r>
        <w:rPr>
          <w:rFonts w:hint="eastAsia"/>
        </w:rPr>
        <w:t>之间通过</w:t>
      </w:r>
      <w:r>
        <w:t>VLAN</w:t>
      </w:r>
      <w:r>
        <w:rPr>
          <w:rFonts w:hint="eastAsia"/>
        </w:rPr>
        <w:t>等虚链路进行连接，</w:t>
      </w:r>
      <w:r>
        <w:t>PE</w:t>
      </w:r>
      <w:r>
        <w:rPr>
          <w:rFonts w:hint="eastAsia"/>
        </w:rPr>
        <w:t>上将该</w:t>
      </w:r>
      <w:r>
        <w:t>VPN</w:t>
      </w:r>
      <w:r>
        <w:rPr>
          <w:rFonts w:hint="eastAsia"/>
        </w:rPr>
        <w:t>对应的</w:t>
      </w:r>
      <w:r>
        <w:t>VLAN</w:t>
      </w:r>
      <w:r>
        <w:rPr>
          <w:rFonts w:hint="eastAsia"/>
        </w:rPr>
        <w:t>接口与</w:t>
      </w:r>
      <w:r>
        <w:t>VRF</w:t>
      </w:r>
      <w:r>
        <w:rPr>
          <w:rFonts w:hint="eastAsia"/>
        </w:rPr>
        <w:t>进行关联。</w:t>
      </w:r>
      <w:r>
        <w:t>PE</w:t>
      </w:r>
      <w:r>
        <w:rPr>
          <w:rFonts w:hint="eastAsia"/>
        </w:rPr>
        <w:t>可以通过</w:t>
      </w:r>
      <w:proofErr w:type="spellStart"/>
      <w:r>
        <w:t>OptionA</w:t>
      </w:r>
      <w:proofErr w:type="spellEnd"/>
      <w:r>
        <w:rPr>
          <w:rFonts w:hint="eastAsia"/>
        </w:rPr>
        <w:t>的方式与外网</w:t>
      </w:r>
      <w:r>
        <w:t>MPLS-VPN</w:t>
      </w:r>
      <w:r>
        <w:rPr>
          <w:rFonts w:hint="eastAsia"/>
        </w:rPr>
        <w:t>网络对接，将</w:t>
      </w:r>
      <w:r>
        <w:t>VPN</w:t>
      </w:r>
      <w:r>
        <w:rPr>
          <w:rFonts w:hint="eastAsia"/>
        </w:rPr>
        <w:t>业务路由通过</w:t>
      </w:r>
      <w:r>
        <w:t>MPLS</w:t>
      </w:r>
      <w:r>
        <w:rPr>
          <w:rFonts w:hint="eastAsia"/>
        </w:rPr>
        <w:t>网络进行传递。</w:t>
      </w:r>
    </w:p>
    <w:p w14:paraId="3EEF8C93" w14:textId="77777777" w:rsidR="009653FB" w:rsidRDefault="009653FB" w:rsidP="009653FB">
      <w:pPr>
        <w:ind w:firstLine="420"/>
        <w:rPr>
          <w:rFonts w:hint="eastAsia"/>
        </w:rPr>
      </w:pPr>
      <w:r>
        <w:rPr>
          <w:rFonts w:hint="eastAsia"/>
        </w:rPr>
        <w:t>远端的</w:t>
      </w:r>
      <w:r>
        <w:t>VPN</w:t>
      </w:r>
      <w:r>
        <w:rPr>
          <w:rFonts w:hint="eastAsia"/>
        </w:rPr>
        <w:t>部门，可以通过</w:t>
      </w:r>
      <w:r>
        <w:t>CE</w:t>
      </w:r>
      <w:r>
        <w:rPr>
          <w:rFonts w:hint="eastAsia"/>
        </w:rPr>
        <w:t>设备接入到外网，通过</w:t>
      </w:r>
      <w:r>
        <w:t>MPLS-VPN</w:t>
      </w:r>
      <w:r>
        <w:rPr>
          <w:rFonts w:hint="eastAsia"/>
        </w:rPr>
        <w:t>网络构成端到端的</w:t>
      </w:r>
      <w:r>
        <w:t>VPN</w:t>
      </w:r>
      <w:r>
        <w:rPr>
          <w:rFonts w:hint="eastAsia"/>
        </w:rPr>
        <w:t>网络（不具备</w:t>
      </w:r>
      <w:r>
        <w:t>MPLS-VPN</w:t>
      </w:r>
      <w:r>
        <w:rPr>
          <w:rFonts w:hint="eastAsia"/>
        </w:rPr>
        <w:t>网络资源时，远端</w:t>
      </w:r>
      <w:r>
        <w:t>VPN</w:t>
      </w:r>
      <w:r>
        <w:rPr>
          <w:rFonts w:hint="eastAsia"/>
        </w:rPr>
        <w:t>部门也可通过专线直接接入到数据中心的出口路由器，关联到出口路由器设置的该</w:t>
      </w:r>
      <w:r>
        <w:t>VPN</w:t>
      </w:r>
      <w:r>
        <w:rPr>
          <w:rFonts w:hint="eastAsia"/>
        </w:rPr>
        <w:t>相对应的</w:t>
      </w:r>
      <w:r>
        <w:t>VRF</w:t>
      </w:r>
      <w:r>
        <w:rPr>
          <w:rFonts w:hint="eastAsia"/>
        </w:rPr>
        <w:t>中实现</w:t>
      </w:r>
      <w:r>
        <w:t>VPN</w:t>
      </w:r>
      <w:r>
        <w:rPr>
          <w:rFonts w:hint="eastAsia"/>
        </w:rPr>
        <w:t>功能）。</w:t>
      </w:r>
    </w:p>
    <w:p w14:paraId="29CC632A" w14:textId="77777777" w:rsidR="009653FB" w:rsidRDefault="009653FB" w:rsidP="009653FB">
      <w:pPr>
        <w:pStyle w:val="a5"/>
        <w:spacing w:after="120"/>
        <w:ind w:firstLine="480"/>
        <w:jc w:val="center"/>
        <w:rPr>
          <w:rFonts w:hint="eastAsia"/>
        </w:rPr>
      </w:pPr>
      <w:r>
        <w:rPr>
          <w:noProof/>
        </w:rPr>
        <w:lastRenderedPageBreak/>
        <w:drawing>
          <wp:inline distT="0" distB="0" distL="0" distR="0" wp14:anchorId="6D93E290" wp14:editId="739369EF">
            <wp:extent cx="3514725" cy="4693285"/>
            <wp:effectExtent l="0" t="0" r="9525" b="0"/>
            <wp:docPr id="1348" name="图片 1348" descr="M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9" descr="MC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4725" cy="4693285"/>
                    </a:xfrm>
                    <a:prstGeom prst="rect">
                      <a:avLst/>
                    </a:prstGeom>
                    <a:noFill/>
                    <a:ln>
                      <a:noFill/>
                    </a:ln>
                  </pic:spPr>
                </pic:pic>
              </a:graphicData>
            </a:graphic>
          </wp:inline>
        </w:drawing>
      </w:r>
    </w:p>
    <w:p w14:paraId="0614C7E6" w14:textId="009D28CF" w:rsidR="009653FB" w:rsidRDefault="009653FB" w:rsidP="009653FB">
      <w:pPr>
        <w:ind w:firstLine="420"/>
        <w:rPr>
          <w:rFonts w:hint="eastAsia"/>
        </w:rPr>
      </w:pPr>
      <w:r>
        <w:t>MCE</w:t>
      </w:r>
      <w:r>
        <w:rPr>
          <w:rFonts w:hint="eastAsia"/>
        </w:rPr>
        <w:t>是</w:t>
      </w:r>
      <w:r>
        <w:t>MPLS-VPN</w:t>
      </w:r>
      <w:r>
        <w:rPr>
          <w:rFonts w:hint="eastAsia"/>
        </w:rPr>
        <w:t>技术的简化版</w:t>
      </w:r>
      <w:r>
        <w:t>,</w:t>
      </w:r>
      <w:r>
        <w:rPr>
          <w:rFonts w:hint="eastAsia"/>
        </w:rPr>
        <w:t>不需要启用复杂的</w:t>
      </w:r>
      <w:r>
        <w:t>BGP</w:t>
      </w:r>
      <w:r>
        <w:rPr>
          <w:rFonts w:hint="eastAsia"/>
        </w:rPr>
        <w:t>和标签交换功能</w:t>
      </w:r>
      <w:r>
        <w:t>,</w:t>
      </w:r>
      <w:r>
        <w:rPr>
          <w:rFonts w:hint="eastAsia"/>
        </w:rPr>
        <w:t>对网络设备的</w:t>
      </w:r>
      <w:r w:rsidR="006C6F6D" w:rsidRPr="006C6F6D">
        <w:rPr>
          <w:rFonts w:hint="eastAsia"/>
          <w:b/>
        </w:rPr>
        <w:t>招标文件要求</w:t>
      </w:r>
      <w:r>
        <w:rPr>
          <w:rFonts w:hint="eastAsia"/>
        </w:rPr>
        <w:t>低</w:t>
      </w:r>
      <w:r>
        <w:t>,</w:t>
      </w:r>
      <w:r>
        <w:rPr>
          <w:rFonts w:hint="eastAsia"/>
        </w:rPr>
        <w:t>并且降低了运维的难度</w:t>
      </w:r>
      <w:r>
        <w:t>;</w:t>
      </w:r>
      <w:r>
        <w:rPr>
          <w:rFonts w:hint="eastAsia"/>
        </w:rPr>
        <w:t>但如果需要配置</w:t>
      </w:r>
      <w:r>
        <w:t>VPN</w:t>
      </w:r>
      <w:r>
        <w:rPr>
          <w:rFonts w:hint="eastAsia"/>
        </w:rPr>
        <w:t>数量较多或者内部网络架构比较复杂时</w:t>
      </w:r>
      <w:r>
        <w:t>,</w:t>
      </w:r>
      <w:r>
        <w:rPr>
          <w:rFonts w:hint="eastAsia"/>
        </w:rPr>
        <w:t>需要手工配置的工作量较大</w:t>
      </w:r>
      <w:r>
        <w:t>,</w:t>
      </w:r>
      <w:r>
        <w:rPr>
          <w:rFonts w:hint="eastAsia"/>
        </w:rPr>
        <w:t>此时可以考虑在核心交换机启用</w:t>
      </w:r>
      <w:r>
        <w:t>MPLS-VPN(PE)</w:t>
      </w:r>
      <w:r>
        <w:rPr>
          <w:rFonts w:hint="eastAsia"/>
        </w:rPr>
        <w:t>功能</w:t>
      </w:r>
      <w:r>
        <w:t>,</w:t>
      </w:r>
      <w:r>
        <w:rPr>
          <w:rFonts w:hint="eastAsia"/>
        </w:rPr>
        <w:t>可以减少配置的工作量和复杂度。</w:t>
      </w:r>
    </w:p>
    <w:p w14:paraId="66456E50" w14:textId="77777777" w:rsidR="009653FB" w:rsidRDefault="009653FB" w:rsidP="00016828">
      <w:pPr>
        <w:pStyle w:val="4"/>
        <w:rPr>
          <w:rFonts w:hint="eastAsia"/>
        </w:rPr>
      </w:pPr>
      <w:bookmarkStart w:id="123" w:name="_Toc320890348"/>
      <w:bookmarkStart w:id="124" w:name="_Toc320984072"/>
      <w:bookmarkStart w:id="125" w:name="_Toc326001913"/>
      <w:r>
        <w:rPr>
          <w:rFonts w:hint="eastAsia"/>
        </w:rPr>
        <w:t>多数据中心互联设计</w:t>
      </w:r>
      <w:bookmarkEnd w:id="123"/>
      <w:bookmarkEnd w:id="124"/>
      <w:bookmarkEnd w:id="125"/>
    </w:p>
    <w:p w14:paraId="10A5CFE7" w14:textId="77777777" w:rsidR="009653FB" w:rsidRDefault="009653FB" w:rsidP="00016828">
      <w:pPr>
        <w:pStyle w:val="5"/>
        <w:rPr>
          <w:rFonts w:hint="eastAsia"/>
        </w:rPr>
      </w:pPr>
      <w:bookmarkStart w:id="126" w:name="_Toc326001914"/>
      <w:r>
        <w:rPr>
          <w:rFonts w:hint="eastAsia"/>
        </w:rPr>
        <w:t>业务需求</w:t>
      </w:r>
      <w:bookmarkEnd w:id="126"/>
    </w:p>
    <w:p w14:paraId="4425866B" w14:textId="77777777" w:rsidR="009653FB" w:rsidRDefault="009653FB" w:rsidP="00016828">
      <w:pPr>
        <w:ind w:firstLine="420"/>
        <w:rPr>
          <w:rFonts w:hint="eastAsia"/>
        </w:rPr>
      </w:pPr>
      <w:r>
        <w:rPr>
          <w:rFonts w:hint="eastAsia"/>
        </w:rPr>
        <w:t>数据中心全天候</w:t>
      </w:r>
      <w:r>
        <w:t>7*24</w:t>
      </w:r>
      <w:r>
        <w:rPr>
          <w:rFonts w:hint="eastAsia"/>
        </w:rPr>
        <w:t>不间断的运行是至关重要的，特别是对于通过互联网提供业务的用户。尽管数据中心内部采用冗余机制、安全防范工具以及先进的负载均衡技术，单个数据中心的运行方式仍然无法满足关键业务的</w:t>
      </w:r>
      <w:r>
        <w:t>7*24</w:t>
      </w:r>
      <w:r>
        <w:rPr>
          <w:rFonts w:hint="eastAsia"/>
        </w:rPr>
        <w:t>不间断运行。另外，数据中心满足不同地点的用户在访问业务应用时，可以实现相同的快速服务感受，也是非常重要的。单一数据中心已经无法满足业务的容灾备份和更大范围内的用户快速访问的需求，通过在不同物理位置构建多个数据中心的方式已经成为一个必然的选择。</w:t>
      </w:r>
    </w:p>
    <w:p w14:paraId="6EA284DE" w14:textId="77777777" w:rsidR="009653FB" w:rsidRDefault="009653FB" w:rsidP="00016828">
      <w:pPr>
        <w:ind w:firstLine="420"/>
        <w:rPr>
          <w:rFonts w:hint="eastAsia"/>
        </w:rPr>
      </w:pPr>
      <w:r>
        <w:rPr>
          <w:rFonts w:hint="eastAsia"/>
        </w:rPr>
        <w:t>构建多数据中心，面临着网络架构如何搭建、多数据中心如何互联等问题；另外，还需要考虑实现多个数据中心间的协调工作，引导用户访问最优的站点，或者当某个站点出现灾难性故障后，引导用户通过访问容灾站点实现关键业务的访问。本方案主要考虑多数据中心最常见的容灾数据中心设计场景。</w:t>
      </w:r>
    </w:p>
    <w:p w14:paraId="6BD03C38" w14:textId="77777777" w:rsidR="009653FB" w:rsidRDefault="009653FB" w:rsidP="00016828">
      <w:pPr>
        <w:pStyle w:val="5"/>
        <w:rPr>
          <w:rFonts w:hint="eastAsia"/>
        </w:rPr>
      </w:pPr>
      <w:bookmarkStart w:id="127" w:name="_Toc326001915"/>
      <w:r>
        <w:rPr>
          <w:rFonts w:hint="eastAsia"/>
        </w:rPr>
        <w:lastRenderedPageBreak/>
        <w:t>多数据中心互联</w:t>
      </w:r>
      <w:bookmarkEnd w:id="127"/>
    </w:p>
    <w:p w14:paraId="2EA32F0D" w14:textId="77777777" w:rsidR="009653FB" w:rsidRDefault="009653FB" w:rsidP="00016828">
      <w:pPr>
        <w:ind w:firstLine="420"/>
        <w:rPr>
          <w:rFonts w:hint="eastAsia"/>
        </w:rPr>
      </w:pPr>
      <w:r>
        <w:rPr>
          <w:rFonts w:hint="eastAsia"/>
        </w:rPr>
        <w:t>多数据中心主要有三种常见建设模式：第一种是主备双中心的灾备模式；第二种是两地三中心的灾备模式；第三种是分布式数据中心模式。其中主备双中心和两地三中心的灾备模式较为常见。</w:t>
      </w:r>
    </w:p>
    <w:p w14:paraId="4550BF31" w14:textId="245A67E1" w:rsidR="009653FB" w:rsidRDefault="009653FB" w:rsidP="00016828">
      <w:pPr>
        <w:ind w:firstLine="420"/>
        <w:rPr>
          <w:rFonts w:hint="eastAsia"/>
        </w:rPr>
      </w:pPr>
      <w:r>
        <w:rPr>
          <w:rFonts w:hint="eastAsia"/>
        </w:rPr>
        <w:t>容灾数据中心按照与主数据中心的物理距离的不同，一般可分为同城容灾数据中心和异地容灾数据中心。同城容灾数据中心与主数据中心的距离比较近，通信线路质量较好，比较容易实现数据的同步镜像，保证高度的数据完整性和数据零丢失；同城容灾数据中心一般用于防范火灾、建筑物破坏、供电故障、计算机系统及人为破坏引起的灾难。而异地容灾数据中心与主数据中心的距离较远</w:t>
      </w:r>
      <w:r>
        <w:t>(</w:t>
      </w:r>
      <w:r>
        <w:rPr>
          <w:rFonts w:hint="eastAsia"/>
        </w:rPr>
        <w:t>一般在</w:t>
      </w:r>
      <w:r>
        <w:t>100km</w:t>
      </w:r>
      <w:r>
        <w:rPr>
          <w:rFonts w:hint="eastAsia"/>
        </w:rPr>
        <w:t>以上</w:t>
      </w:r>
      <w:r>
        <w:t>)</w:t>
      </w:r>
      <w:r>
        <w:rPr>
          <w:rFonts w:hint="eastAsia"/>
        </w:rPr>
        <w:t>，一般采用异步镜像；异地灾难备份不仅可以防范火灾、建筑物破坏等可能遇到的风险隐患，还能够防范战争、地震、水灾等风险。</w:t>
      </w:r>
    </w:p>
    <w:p w14:paraId="45C3A0DA" w14:textId="111EC94F" w:rsidR="009653FB" w:rsidRDefault="009653FB" w:rsidP="00016828">
      <w:pPr>
        <w:pStyle w:val="6"/>
        <w:rPr>
          <w:rFonts w:hint="eastAsia"/>
        </w:rPr>
      </w:pPr>
      <w:r>
        <w:rPr>
          <w:rFonts w:hint="eastAsia"/>
        </w:rPr>
        <w:t>主备双中心模式</w:t>
      </w:r>
    </w:p>
    <w:p w14:paraId="7CFEB42B" w14:textId="77777777" w:rsidR="009653FB" w:rsidRDefault="009653FB" w:rsidP="00016828">
      <w:pPr>
        <w:ind w:firstLine="420"/>
        <w:rPr>
          <w:rFonts w:ascii="Times New Roman" w:eastAsia="宋体" w:hAnsi="Times New Roman"/>
        </w:rPr>
      </w:pPr>
      <w:r>
        <w:rPr>
          <w:rFonts w:hint="eastAsia"/>
        </w:rPr>
        <w:t>主备双中心模式共部署一个主数据中心和一个容灾数据中心。容灾数据中心可以部署在同城或异地，但同城部署较为常见。容灾数据中心一般可以实现应用级或数据级容灾。</w:t>
      </w:r>
    </w:p>
    <w:p w14:paraId="5252C1D1" w14:textId="77777777" w:rsidR="009653FB" w:rsidRDefault="009653FB" w:rsidP="009653FB">
      <w:pPr>
        <w:rPr>
          <w:rFonts w:hint="eastAsia"/>
        </w:rPr>
      </w:pPr>
      <w:r>
        <w:rPr>
          <w:rFonts w:hint="eastAsia"/>
        </w:rPr>
        <w:t>主备双中心模式网络拓扑如</w:t>
      </w:r>
      <w:r>
        <w:fldChar w:fldCharType="begin"/>
      </w:r>
      <w:r>
        <w:instrText xml:space="preserve"> REF _Ref321922690 \r \h </w:instrText>
      </w:r>
      <w:r>
        <w:fldChar w:fldCharType="separate"/>
      </w:r>
      <w:r>
        <w:rPr>
          <w:rFonts w:hint="eastAsia"/>
        </w:rPr>
        <w:t>图</w:t>
      </w:r>
      <w:r>
        <w:t>4-17</w:t>
      </w:r>
      <w:r>
        <w:fldChar w:fldCharType="end"/>
      </w:r>
      <w:r>
        <w:rPr>
          <w:rFonts w:hint="eastAsia"/>
        </w:rPr>
        <w:t>所示：</w:t>
      </w:r>
    </w:p>
    <w:p w14:paraId="44B7C5BC" w14:textId="7B78A71F" w:rsidR="009653FB" w:rsidRDefault="009653FB" w:rsidP="00016828">
      <w:pPr>
        <w:jc w:val="center"/>
        <w:rPr>
          <w:rFonts w:hint="eastAsia"/>
        </w:rPr>
      </w:pPr>
      <w:r>
        <w:rPr>
          <w:noProof/>
        </w:rPr>
        <w:drawing>
          <wp:inline distT="0" distB="0" distL="0" distR="0" wp14:anchorId="6C377FF0" wp14:editId="6E1A2134">
            <wp:extent cx="4608830" cy="2336165"/>
            <wp:effectExtent l="0" t="0" r="1270" b="6985"/>
            <wp:docPr id="1346" name="图片 134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图片 1346" descr="图示&#10;&#10;描述已自动生成"/>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8830" cy="2336165"/>
                    </a:xfrm>
                    <a:prstGeom prst="rect">
                      <a:avLst/>
                    </a:prstGeom>
                    <a:noFill/>
                    <a:ln>
                      <a:noFill/>
                    </a:ln>
                  </pic:spPr>
                </pic:pic>
              </a:graphicData>
            </a:graphic>
          </wp:inline>
        </w:drawing>
      </w:r>
    </w:p>
    <w:p w14:paraId="59299A95" w14:textId="77777777" w:rsidR="009653FB" w:rsidRDefault="009653FB" w:rsidP="00016828">
      <w:pPr>
        <w:ind w:firstLine="420"/>
        <w:rPr>
          <w:rFonts w:hint="eastAsia"/>
        </w:rPr>
      </w:pPr>
      <w:r>
        <w:rPr>
          <w:rFonts w:hint="eastAsia"/>
        </w:rPr>
        <w:t>主数据中心与容灾数据中心，建议采用三层</w:t>
      </w:r>
      <w:r>
        <w:t>IP</w:t>
      </w:r>
      <w:r>
        <w:rPr>
          <w:rFonts w:hint="eastAsia"/>
        </w:rPr>
        <w:t>方式互联，实现统一运营和统一管理。建议在数据中心的网络边界分别部署</w:t>
      </w:r>
      <w:r>
        <w:t>2</w:t>
      </w:r>
      <w:r>
        <w:rPr>
          <w:rFonts w:hint="eastAsia"/>
        </w:rPr>
        <w:t>台防火墙和</w:t>
      </w:r>
      <w:r>
        <w:t>2</w:t>
      </w:r>
      <w:r>
        <w:rPr>
          <w:rFonts w:hint="eastAsia"/>
        </w:rPr>
        <w:t>台路由器，采用光纤直连、数据专线或者</w:t>
      </w:r>
      <w:r>
        <w:t>MPLS-VPN</w:t>
      </w:r>
      <w:r>
        <w:rPr>
          <w:rFonts w:hint="eastAsia"/>
        </w:rPr>
        <w:t>网络等方式进行互联。同城部署时，一般采用光纤直连或数据专线的方式进行互联；异地部署时，一般采用数据专线或</w:t>
      </w:r>
      <w:r>
        <w:t>MPLS-VPN</w:t>
      </w:r>
      <w:r>
        <w:rPr>
          <w:rFonts w:hint="eastAsia"/>
        </w:rPr>
        <w:t>网络的方式进行互联。</w:t>
      </w:r>
    </w:p>
    <w:p w14:paraId="2C1C2570" w14:textId="77777777" w:rsidR="009653FB" w:rsidRDefault="009653FB" w:rsidP="00016828">
      <w:pPr>
        <w:ind w:firstLine="420"/>
        <w:rPr>
          <w:rFonts w:hint="eastAsia"/>
        </w:rPr>
      </w:pPr>
      <w:r>
        <w:rPr>
          <w:rFonts w:hint="eastAsia"/>
        </w:rPr>
        <w:t>防火墙采用双机热备的方式，并工作在透明模式。根据访问需求在防火墙上做详细的包过滤安全策略，对主数据中心和容灾数据中心之间的业务互访进行安全控制。</w:t>
      </w:r>
    </w:p>
    <w:p w14:paraId="15DE7A40" w14:textId="3CCE3CEE" w:rsidR="009653FB" w:rsidRDefault="009653FB" w:rsidP="00016828">
      <w:pPr>
        <w:pStyle w:val="6"/>
        <w:rPr>
          <w:rFonts w:hint="eastAsia"/>
        </w:rPr>
      </w:pPr>
      <w:r>
        <w:rPr>
          <w:rFonts w:hint="eastAsia"/>
        </w:rPr>
        <w:t>两地三中心模式</w:t>
      </w:r>
    </w:p>
    <w:p w14:paraId="13049A1B" w14:textId="77777777" w:rsidR="009653FB" w:rsidRDefault="009653FB" w:rsidP="00016828">
      <w:pPr>
        <w:ind w:firstLine="420"/>
        <w:rPr>
          <w:rFonts w:ascii="Times New Roman" w:eastAsia="宋体" w:hAnsi="Times New Roman"/>
        </w:rPr>
      </w:pPr>
      <w:r>
        <w:rPr>
          <w:rFonts w:hint="eastAsia"/>
        </w:rPr>
        <w:t>两地三中心模式共部署一个主数据中心、一个同城容灾中心和一个异地容灾中心。同城容灾中心一般具有主数据中心基本等同的业务处理能力并通过高速链路实时同步数据，日常情况下可同时分担业务及管理系统的运行，并可切换运行；灾难情况下可在基本不丢失数据的情况下进行灾备应急切换，保持业务连续运行。异地容灾中心是指在异地的城市建立一个备份的灾备中心，一般用于双中心的数据备份，也可以用于应用级别的备份；当双中心出现自然灾害等原因而发生故障时，异地灾备中心可以通过备份数据实现业务的恢复或者实现业务的应急切换。</w:t>
      </w:r>
    </w:p>
    <w:p w14:paraId="4194A423" w14:textId="30AB350C" w:rsidR="009653FB" w:rsidRDefault="009653FB" w:rsidP="00016828">
      <w:pPr>
        <w:jc w:val="center"/>
        <w:rPr>
          <w:rFonts w:hint="eastAsia"/>
        </w:rPr>
      </w:pPr>
      <w:r>
        <w:rPr>
          <w:noProof/>
        </w:rPr>
        <w:lastRenderedPageBreak/>
        <w:drawing>
          <wp:inline distT="0" distB="0" distL="0" distR="0" wp14:anchorId="70A06EC3" wp14:editId="6108FBA8">
            <wp:extent cx="4403090" cy="4455795"/>
            <wp:effectExtent l="0" t="0" r="0" b="1905"/>
            <wp:docPr id="1344" name="图片 13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4" descr="图示&#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3090" cy="4455795"/>
                    </a:xfrm>
                    <a:prstGeom prst="rect">
                      <a:avLst/>
                    </a:prstGeom>
                    <a:noFill/>
                    <a:ln>
                      <a:noFill/>
                    </a:ln>
                  </pic:spPr>
                </pic:pic>
              </a:graphicData>
            </a:graphic>
          </wp:inline>
        </w:drawing>
      </w:r>
    </w:p>
    <w:p w14:paraId="7E69A6A2" w14:textId="77777777" w:rsidR="009653FB" w:rsidRDefault="009653FB" w:rsidP="00016828">
      <w:pPr>
        <w:ind w:firstLine="420"/>
        <w:rPr>
          <w:rFonts w:hint="eastAsia"/>
        </w:rPr>
      </w:pPr>
      <w:r>
        <w:rPr>
          <w:rFonts w:hint="eastAsia"/>
        </w:rPr>
        <w:t>对于两地三中心模式，主数据中心与同城容灾数据中心、异地容灾数据中心之间，建议采用三层</w:t>
      </w:r>
      <w:r>
        <w:t>IP</w:t>
      </w:r>
      <w:r>
        <w:rPr>
          <w:rFonts w:hint="eastAsia"/>
        </w:rPr>
        <w:t>方式互联，实现统一运营和统一管理。主数据中心与同城容灾数据中心一般采用光纤直连或高带宽的数据专线等方式进行互联；主数据中心与异地容灾数据中心一般采用数据专线或</w:t>
      </w:r>
      <w:r>
        <w:t>MPLS-VPN</w:t>
      </w:r>
      <w:r>
        <w:rPr>
          <w:rFonts w:hint="eastAsia"/>
        </w:rPr>
        <w:t>网络等方式进行互联。同城容灾中心与异地容灾中心之间一般也需要通过数据专线或</w:t>
      </w:r>
      <w:r>
        <w:t>MPLS-VPN</w:t>
      </w:r>
      <w:r>
        <w:rPr>
          <w:rFonts w:hint="eastAsia"/>
        </w:rPr>
        <w:t>网络等方式进行互联。</w:t>
      </w:r>
    </w:p>
    <w:p w14:paraId="362A7F7A" w14:textId="77777777" w:rsidR="009653FB" w:rsidRDefault="009653FB" w:rsidP="00016828">
      <w:pPr>
        <w:ind w:firstLine="420"/>
        <w:rPr>
          <w:rFonts w:hint="eastAsia"/>
        </w:rPr>
      </w:pPr>
      <w:r>
        <w:rPr>
          <w:rFonts w:hint="eastAsia"/>
        </w:rPr>
        <w:t>建议在数据中心的网络边界分别部署</w:t>
      </w:r>
      <w:r>
        <w:t>2</w:t>
      </w:r>
      <w:r>
        <w:rPr>
          <w:rFonts w:hint="eastAsia"/>
        </w:rPr>
        <w:t>台防火墙和</w:t>
      </w:r>
      <w:r>
        <w:t>2</w:t>
      </w:r>
      <w:r>
        <w:rPr>
          <w:rFonts w:hint="eastAsia"/>
        </w:rPr>
        <w:t>台路由器，采用直连光纤、数据专线或者</w:t>
      </w:r>
      <w:r>
        <w:t>MPLS-VPN</w:t>
      </w:r>
      <w:r>
        <w:rPr>
          <w:rFonts w:hint="eastAsia"/>
        </w:rPr>
        <w:t>网络等方式进行互联。</w:t>
      </w:r>
    </w:p>
    <w:p w14:paraId="17693115" w14:textId="77777777" w:rsidR="009653FB" w:rsidRDefault="009653FB" w:rsidP="00016828">
      <w:pPr>
        <w:ind w:firstLine="420"/>
        <w:rPr>
          <w:rFonts w:hint="eastAsia"/>
        </w:rPr>
      </w:pPr>
      <w:r>
        <w:rPr>
          <w:rFonts w:hint="eastAsia"/>
        </w:rPr>
        <w:t>防火墙采用双机热备的方式，并工作在透明模式。根据访问需求在防火墙上做详细的包过滤安全策略，对主数据中心和容灾数据中心之间的业务互访进行安全控制。</w:t>
      </w:r>
    </w:p>
    <w:p w14:paraId="3957CD48" w14:textId="68296115" w:rsidR="009653FB" w:rsidRDefault="009653FB" w:rsidP="00016828">
      <w:pPr>
        <w:pStyle w:val="6"/>
        <w:rPr>
          <w:rFonts w:hint="eastAsia"/>
        </w:rPr>
      </w:pPr>
      <w:r>
        <w:rPr>
          <w:rFonts w:hint="eastAsia"/>
        </w:rPr>
        <w:t>分布式数据中心模式</w:t>
      </w:r>
    </w:p>
    <w:p w14:paraId="786B0D09" w14:textId="77777777" w:rsidR="009653FB" w:rsidRDefault="009653FB" w:rsidP="00016828">
      <w:pPr>
        <w:ind w:firstLine="420"/>
        <w:rPr>
          <w:rFonts w:ascii="Times New Roman" w:eastAsia="宋体" w:hAnsi="Times New Roman"/>
        </w:rPr>
      </w:pPr>
      <w:r>
        <w:rPr>
          <w:rFonts w:hint="eastAsia"/>
        </w:rPr>
        <w:t>数据中心通常以大集中方式进行数据中心建设，一般只设立一个数据中心；但在某种场景下，比如大型的云网，需要建设分布式数据中心。分布式数据中心采用的是分层次的部署方式：上级政府部门成为一级数据中心，直接下属单位为二级数据中心，再下级单位为三级数据中心；分布式数据中心一般以两级数据中心为主。</w:t>
      </w:r>
    </w:p>
    <w:p w14:paraId="390B45D3" w14:textId="373C51BC" w:rsidR="009653FB" w:rsidRDefault="009653FB" w:rsidP="00016828">
      <w:pPr>
        <w:jc w:val="center"/>
        <w:rPr>
          <w:rFonts w:hint="eastAsia"/>
        </w:rPr>
      </w:pPr>
      <w:r>
        <w:rPr>
          <w:noProof/>
        </w:rPr>
        <w:lastRenderedPageBreak/>
        <w:drawing>
          <wp:inline distT="0" distB="0" distL="0" distR="0" wp14:anchorId="2C194C93" wp14:editId="3502607C">
            <wp:extent cx="4524375" cy="3314065"/>
            <wp:effectExtent l="0" t="0" r="9525" b="635"/>
            <wp:docPr id="61" name="图片 61" descr="分布式数据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分布式数据中心.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4375" cy="3314065"/>
                    </a:xfrm>
                    <a:prstGeom prst="rect">
                      <a:avLst/>
                    </a:prstGeom>
                    <a:noFill/>
                    <a:ln>
                      <a:noFill/>
                    </a:ln>
                  </pic:spPr>
                </pic:pic>
              </a:graphicData>
            </a:graphic>
          </wp:inline>
        </w:drawing>
      </w:r>
    </w:p>
    <w:p w14:paraId="0082908A" w14:textId="77777777" w:rsidR="009653FB" w:rsidRDefault="009653FB" w:rsidP="00016828">
      <w:pPr>
        <w:ind w:firstLine="420"/>
        <w:rPr>
          <w:rFonts w:hint="eastAsia"/>
        </w:rPr>
      </w:pPr>
      <w:r>
        <w:rPr>
          <w:rFonts w:hint="eastAsia"/>
        </w:rPr>
        <w:t>上一级数据中心与下属机构数据中心之间，建议采用三层</w:t>
      </w:r>
      <w:r>
        <w:t>IP</w:t>
      </w:r>
      <w:r>
        <w:rPr>
          <w:rFonts w:hint="eastAsia"/>
        </w:rPr>
        <w:t>方式互联，实现统一运营和统一管理。建议在数据中心的网络边界分别部署</w:t>
      </w:r>
      <w:r>
        <w:t>2</w:t>
      </w:r>
      <w:r>
        <w:rPr>
          <w:rFonts w:hint="eastAsia"/>
        </w:rPr>
        <w:t>台防火墙和</w:t>
      </w:r>
      <w:r>
        <w:t>2</w:t>
      </w:r>
      <w:r>
        <w:rPr>
          <w:rFonts w:hint="eastAsia"/>
        </w:rPr>
        <w:t>台路由器，采用光纤直连、数据专线或者</w:t>
      </w:r>
      <w:r>
        <w:t>MPLS-VPN</w:t>
      </w:r>
      <w:r>
        <w:rPr>
          <w:rFonts w:hint="eastAsia"/>
        </w:rPr>
        <w:t>网络等方式进行互联。</w:t>
      </w:r>
    </w:p>
    <w:p w14:paraId="2BEFAC4A" w14:textId="77777777" w:rsidR="009653FB" w:rsidRDefault="009653FB" w:rsidP="00016828">
      <w:pPr>
        <w:ind w:firstLine="420"/>
        <w:rPr>
          <w:rFonts w:hint="eastAsia"/>
        </w:rPr>
      </w:pPr>
      <w:r>
        <w:rPr>
          <w:rFonts w:hint="eastAsia"/>
        </w:rPr>
        <w:t>防火墙采用双机热备的方式，并工作在透明模式。根据访问需求在防火墙上做详细的包过滤安全策略，对主数据中心和容灾数据中心之间的业务互访进行安全控制。</w:t>
      </w:r>
    </w:p>
    <w:p w14:paraId="24B16887" w14:textId="77777777" w:rsidR="009653FB" w:rsidRDefault="009653FB" w:rsidP="00016828">
      <w:pPr>
        <w:pStyle w:val="5"/>
        <w:rPr>
          <w:rFonts w:hint="eastAsia"/>
        </w:rPr>
      </w:pPr>
      <w:bookmarkStart w:id="128" w:name="_Toc324769060"/>
      <w:bookmarkStart w:id="129" w:name="_Toc326001916"/>
      <w:r>
        <w:rPr>
          <w:rFonts w:hint="eastAsia"/>
        </w:rPr>
        <w:t>主备双中心容灾网络</w:t>
      </w:r>
      <w:bookmarkEnd w:id="128"/>
      <w:bookmarkEnd w:id="129"/>
    </w:p>
    <w:p w14:paraId="4503D99F" w14:textId="77777777" w:rsidR="009653FB" w:rsidRDefault="009653FB" w:rsidP="00016828">
      <w:pPr>
        <w:pStyle w:val="6"/>
        <w:rPr>
          <w:rFonts w:hint="eastAsia"/>
        </w:rPr>
      </w:pPr>
      <w:r>
        <w:rPr>
          <w:rFonts w:hint="eastAsia"/>
        </w:rPr>
        <w:t>容灾中心网络架构</w:t>
      </w:r>
    </w:p>
    <w:p w14:paraId="3FC09166" w14:textId="77777777" w:rsidR="009653FB" w:rsidRDefault="009653FB" w:rsidP="00016828">
      <w:pPr>
        <w:ind w:firstLine="420"/>
        <w:rPr>
          <w:rFonts w:hint="eastAsia"/>
        </w:rPr>
      </w:pPr>
      <w:r>
        <w:rPr>
          <w:rFonts w:hint="eastAsia"/>
        </w:rPr>
        <w:t>容灾数据中心采用与主数据中心相类似的网络架构：核心网络采用核心层和接入层的二层扁平化网络架构；按照网络功能划分为外联区、网络服务区、业务区等分区。</w:t>
      </w:r>
    </w:p>
    <w:p w14:paraId="5996D61D" w14:textId="77777777" w:rsidR="009653FB" w:rsidRDefault="009653FB" w:rsidP="00016828">
      <w:pPr>
        <w:ind w:firstLine="420"/>
        <w:rPr>
          <w:rFonts w:hint="eastAsia"/>
        </w:rPr>
      </w:pPr>
      <w:r>
        <w:rPr>
          <w:rFonts w:hint="eastAsia"/>
        </w:rPr>
        <w:t>但相对主数据中心，网络架构相对简化，设备规格相对低一些。比如，外联区的互联网出口一般不采用多运营商互联，不需要部署</w:t>
      </w:r>
      <w:r>
        <w:t>LLB</w:t>
      </w:r>
      <w:r>
        <w:rPr>
          <w:rFonts w:hint="eastAsia"/>
        </w:rPr>
        <w:t>设备；分支机构一般不需要与容灾数据中心互联。具体网络结构需要根据用户的业务情况进行确定。</w:t>
      </w:r>
    </w:p>
    <w:p w14:paraId="0AA0EB22" w14:textId="77777777" w:rsidR="009653FB" w:rsidRDefault="009653FB" w:rsidP="00016828">
      <w:pPr>
        <w:ind w:firstLine="420"/>
        <w:rPr>
          <w:rFonts w:hint="eastAsia"/>
        </w:rPr>
      </w:pPr>
      <w:r>
        <w:rPr>
          <w:rFonts w:hint="eastAsia"/>
        </w:rPr>
        <w:t>容灾数据中心的网络拓扑如</w:t>
      </w:r>
      <w:r>
        <w:fldChar w:fldCharType="begin"/>
      </w:r>
      <w:r>
        <w:instrText xml:space="preserve"> REF _Ref320862619 \r \h </w:instrText>
      </w:r>
      <w:r>
        <w:fldChar w:fldCharType="separate"/>
      </w:r>
      <w:r>
        <w:rPr>
          <w:rFonts w:hint="eastAsia"/>
        </w:rPr>
        <w:t>图</w:t>
      </w:r>
      <w:r>
        <w:t>4-20</w:t>
      </w:r>
      <w:r>
        <w:fldChar w:fldCharType="end"/>
      </w:r>
      <w:r>
        <w:rPr>
          <w:rFonts w:hint="eastAsia"/>
        </w:rPr>
        <w:t>所示，具体功能区描述和方案说明见主数据中心设计部分，这里不再进行介绍。</w:t>
      </w:r>
    </w:p>
    <w:p w14:paraId="100733E8" w14:textId="0B3DF257" w:rsidR="009653FB" w:rsidRDefault="009653FB" w:rsidP="00016828">
      <w:pPr>
        <w:jc w:val="center"/>
        <w:rPr>
          <w:rFonts w:hint="eastAsia"/>
        </w:rPr>
      </w:pPr>
      <w:r>
        <w:rPr>
          <w:noProof/>
        </w:rPr>
        <w:lastRenderedPageBreak/>
        <w:drawing>
          <wp:inline distT="0" distB="0" distL="0" distR="0" wp14:anchorId="619B65C9" wp14:editId="557BD8ED">
            <wp:extent cx="3493770" cy="4926330"/>
            <wp:effectExtent l="0" t="0" r="0" b="7620"/>
            <wp:docPr id="60" name="图片 6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示&#10;&#10;描述已自动生成"/>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3770" cy="4926330"/>
                    </a:xfrm>
                    <a:prstGeom prst="rect">
                      <a:avLst/>
                    </a:prstGeom>
                    <a:noFill/>
                    <a:ln>
                      <a:noFill/>
                    </a:ln>
                  </pic:spPr>
                </pic:pic>
              </a:graphicData>
            </a:graphic>
          </wp:inline>
        </w:drawing>
      </w:r>
    </w:p>
    <w:p w14:paraId="7F5EFF47" w14:textId="77777777" w:rsidR="009653FB" w:rsidRDefault="009653FB" w:rsidP="00016828">
      <w:pPr>
        <w:pStyle w:val="6"/>
        <w:rPr>
          <w:rFonts w:hint="eastAsia"/>
        </w:rPr>
      </w:pPr>
      <w:r>
        <w:rPr>
          <w:rFonts w:hint="eastAsia"/>
        </w:rPr>
        <w:t>主备站点业务切换</w:t>
      </w:r>
    </w:p>
    <w:p w14:paraId="7A74493D" w14:textId="77777777" w:rsidR="009653FB" w:rsidRDefault="009653FB" w:rsidP="00016828">
      <w:pPr>
        <w:ind w:firstLine="420"/>
        <w:rPr>
          <w:rFonts w:hint="eastAsia"/>
        </w:rPr>
      </w:pPr>
      <w:r>
        <w:rPr>
          <w:rFonts w:hint="eastAsia"/>
        </w:rPr>
        <w:t>采用容灾数据中心的政府主备站点业务切换，可以通过部署全局负载均衡设备实现。</w:t>
      </w:r>
    </w:p>
    <w:p w14:paraId="5A2AB281" w14:textId="77777777" w:rsidR="009653FB" w:rsidRDefault="009653FB" w:rsidP="009653FB">
      <w:pPr>
        <w:rPr>
          <w:rFonts w:hint="eastAsia"/>
        </w:rPr>
      </w:pPr>
      <w:r>
        <w:rPr>
          <w:rFonts w:hint="eastAsia"/>
        </w:rPr>
        <w:t>全局负载均衡</w:t>
      </w:r>
      <w:r>
        <w:t>GSLB</w:t>
      </w:r>
      <w:r>
        <w:rPr>
          <w:rFonts w:hint="eastAsia"/>
        </w:rPr>
        <w:t>能够帮助用户通过将相同服务内容布署在处于不同物理地点的多个数据中心中得到更高的可用性、性能、以及更加经济和无懈可击的安全性，以便在全球范围内的客户获得更快的响应时间；并实现数据中心之间的负载均衡和冗余备份。</w:t>
      </w:r>
    </w:p>
    <w:p w14:paraId="330ED6C1" w14:textId="77777777" w:rsidR="009653FB" w:rsidRDefault="009653FB" w:rsidP="00016828">
      <w:pPr>
        <w:ind w:firstLine="420"/>
        <w:rPr>
          <w:rFonts w:ascii="Arial" w:hAnsi="Arial"/>
        </w:rPr>
      </w:pPr>
      <w:r>
        <w:t>GSLB</w:t>
      </w:r>
      <w:r>
        <w:rPr>
          <w:rFonts w:hint="eastAsia"/>
        </w:rPr>
        <w:t>功能一般基于智能</w:t>
      </w:r>
      <w:r>
        <w:t>DNS</w:t>
      </w:r>
      <w:r>
        <w:rPr>
          <w:rFonts w:hint="eastAsia"/>
        </w:rPr>
        <w:t>的方式实现，通过对不同用户端的域名请求，以</w:t>
      </w:r>
      <w:r>
        <w:rPr>
          <w:rFonts w:ascii="宋体" w:hAnsi="宋体" w:hint="eastAsia"/>
        </w:rPr>
        <w:t>灵活的流量分配算法与机制返回给用户最佳</w:t>
      </w:r>
      <w:r>
        <w:rPr>
          <w:rFonts w:hint="eastAsia"/>
        </w:rPr>
        <w:t>数据中心的应用服务</w:t>
      </w:r>
      <w:r>
        <w:t>IP</w:t>
      </w:r>
      <w:r>
        <w:rPr>
          <w:rFonts w:hint="eastAsia"/>
        </w:rPr>
        <w:t>地址，可以</w:t>
      </w:r>
      <w:r>
        <w:rPr>
          <w:rFonts w:ascii="Arial" w:hAnsi="Arial" w:hint="eastAsia"/>
        </w:rPr>
        <w:t>实现用户的就近访问以及</w:t>
      </w:r>
      <w:r>
        <w:rPr>
          <w:rFonts w:hint="eastAsia"/>
        </w:rPr>
        <w:t>多数据中心间的负载均衡及冗余备份功能</w:t>
      </w:r>
      <w:r>
        <w:rPr>
          <w:rFonts w:ascii="Arial" w:hAnsi="Arial" w:hint="eastAsia"/>
        </w:rPr>
        <w:t>。</w:t>
      </w:r>
    </w:p>
    <w:p w14:paraId="5B51866C" w14:textId="77777777" w:rsidR="009653FB" w:rsidRDefault="009653FB" w:rsidP="00016828">
      <w:pPr>
        <w:ind w:firstLine="420"/>
        <w:rPr>
          <w:rFonts w:ascii="Times New Roman" w:hAnsi="Times New Roman"/>
        </w:rPr>
      </w:pPr>
      <w:r>
        <w:rPr>
          <w:rFonts w:hint="eastAsia"/>
        </w:rPr>
        <w:t>数据中心主、备站点</w:t>
      </w:r>
      <w:r>
        <w:t>GSLB</w:t>
      </w:r>
      <w:r>
        <w:rPr>
          <w:rFonts w:hint="eastAsia"/>
        </w:rPr>
        <w:t>功能实现的网络架构如</w:t>
      </w:r>
      <w:r>
        <w:fldChar w:fldCharType="begin"/>
      </w:r>
      <w:r>
        <w:instrText xml:space="preserve"> REF _Ref322008097 \r \h </w:instrText>
      </w:r>
      <w:r>
        <w:fldChar w:fldCharType="separate"/>
      </w:r>
      <w:r>
        <w:rPr>
          <w:rFonts w:hint="eastAsia"/>
        </w:rPr>
        <w:t>图</w:t>
      </w:r>
      <w:r>
        <w:t>4-21</w:t>
      </w:r>
      <w:r>
        <w:fldChar w:fldCharType="end"/>
      </w:r>
      <w:r>
        <w:rPr>
          <w:rFonts w:hint="eastAsia"/>
        </w:rPr>
        <w:t>所示：主数据中心和容灾数据中心各部署</w:t>
      </w:r>
      <w:r>
        <w:t>1</w:t>
      </w:r>
      <w:r>
        <w:rPr>
          <w:rFonts w:hint="eastAsia"/>
        </w:rPr>
        <w:t>台全局负载均衡设备，每台设备与相应的</w:t>
      </w:r>
      <w:r>
        <w:t>2</w:t>
      </w:r>
      <w:r>
        <w:rPr>
          <w:rFonts w:hint="eastAsia"/>
        </w:rPr>
        <w:t>台出口路由器进行冗余连接，提高可靠性；</w:t>
      </w:r>
      <w:r>
        <w:t>GSLB</w:t>
      </w:r>
      <w:r>
        <w:rPr>
          <w:rFonts w:hint="eastAsia"/>
        </w:rPr>
        <w:t>提供相应应用系统的服务</w:t>
      </w:r>
      <w:r>
        <w:t>IP</w:t>
      </w:r>
      <w:r>
        <w:rPr>
          <w:rFonts w:hint="eastAsia"/>
        </w:rPr>
        <w:t>的智能域名解析。</w:t>
      </w:r>
    </w:p>
    <w:p w14:paraId="619ED50B" w14:textId="77777777" w:rsidR="009653FB" w:rsidRDefault="009653FB" w:rsidP="00016828">
      <w:pPr>
        <w:ind w:firstLine="420"/>
        <w:rPr>
          <w:rFonts w:hint="eastAsia"/>
        </w:rPr>
      </w:pPr>
      <w:r>
        <w:rPr>
          <w:rFonts w:hint="eastAsia"/>
        </w:rPr>
        <w:t>主数据中心的</w:t>
      </w:r>
      <w:r>
        <w:t>GSLB</w:t>
      </w:r>
      <w:r>
        <w:rPr>
          <w:rFonts w:hint="eastAsia"/>
        </w:rPr>
        <w:t>会实时检测主数据中心和容灾数据中心的相关应用系统的健康状态，正常情况下会给用户返回主数据中心的服务</w:t>
      </w:r>
      <w:r>
        <w:t>IP</w:t>
      </w:r>
      <w:r>
        <w:rPr>
          <w:rFonts w:hint="eastAsia"/>
        </w:rPr>
        <w:t>地址；当主数据中心的</w:t>
      </w:r>
      <w:r>
        <w:t>GSLB</w:t>
      </w:r>
      <w:r>
        <w:rPr>
          <w:rFonts w:hint="eastAsia"/>
        </w:rPr>
        <w:t>检测到主数据中心的应用系统发生故障，业务不可用时，将给用户返回容灾中心的相应的应用系统的服务</w:t>
      </w:r>
      <w:r>
        <w:t>IP</w:t>
      </w:r>
      <w:r>
        <w:rPr>
          <w:rFonts w:hint="eastAsia"/>
        </w:rPr>
        <w:t>地址，用户将通过容灾数据中心实现业务互访。</w:t>
      </w:r>
    </w:p>
    <w:p w14:paraId="255FF1D9" w14:textId="77777777" w:rsidR="009653FB" w:rsidRDefault="009653FB" w:rsidP="00016828">
      <w:pPr>
        <w:ind w:firstLine="420"/>
        <w:rPr>
          <w:rFonts w:ascii="Arial" w:hAnsi="Arial"/>
        </w:rPr>
      </w:pPr>
      <w:r>
        <w:rPr>
          <w:rFonts w:hint="eastAsia"/>
        </w:rPr>
        <w:t>当主数据中心的</w:t>
      </w:r>
      <w:r>
        <w:t>GSLB</w:t>
      </w:r>
      <w:r>
        <w:rPr>
          <w:rFonts w:hint="eastAsia"/>
        </w:rPr>
        <w:t>发生故障或者互联网出口都出现故障时，用户会通过容灾数据中心</w:t>
      </w:r>
      <w:r>
        <w:t>GSLB</w:t>
      </w:r>
      <w:r>
        <w:rPr>
          <w:rFonts w:hint="eastAsia"/>
        </w:rPr>
        <w:t>的智能域名解析功能实现互联网用户的接入。</w:t>
      </w:r>
    </w:p>
    <w:p w14:paraId="2D33F814" w14:textId="6FEF859A" w:rsidR="009653FB" w:rsidRDefault="009653FB" w:rsidP="00016828">
      <w:pPr>
        <w:jc w:val="center"/>
        <w:rPr>
          <w:rFonts w:hint="eastAsia"/>
          <w:color w:val="0000FF"/>
        </w:rPr>
      </w:pPr>
      <w:r>
        <w:rPr>
          <w:noProof/>
          <w:color w:val="0000FF"/>
        </w:rPr>
        <w:lastRenderedPageBreak/>
        <w:drawing>
          <wp:inline distT="0" distB="0" distL="0" distR="0" wp14:anchorId="219CCDAD" wp14:editId="4B50A5A5">
            <wp:extent cx="4714875" cy="3562350"/>
            <wp:effectExtent l="0" t="0" r="9525" b="0"/>
            <wp:docPr id="59" name="图片 5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示&#10;&#10;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4875" cy="3562350"/>
                    </a:xfrm>
                    <a:prstGeom prst="rect">
                      <a:avLst/>
                    </a:prstGeom>
                    <a:noFill/>
                    <a:ln>
                      <a:noFill/>
                    </a:ln>
                  </pic:spPr>
                </pic:pic>
              </a:graphicData>
            </a:graphic>
          </wp:inline>
        </w:drawing>
      </w:r>
    </w:p>
    <w:p w14:paraId="33724035" w14:textId="77777777" w:rsidR="009653FB" w:rsidRDefault="009653FB" w:rsidP="009653FB">
      <w:pPr>
        <w:rPr>
          <w:rFonts w:hint="eastAsia"/>
          <w:color w:val="0000FF"/>
        </w:rPr>
      </w:pPr>
    </w:p>
    <w:p w14:paraId="4115FE81" w14:textId="77777777" w:rsidR="009653FB" w:rsidRDefault="009653FB" w:rsidP="009653FB">
      <w:pPr>
        <w:spacing w:beforeAutospacing="1" w:afterAutospacing="1"/>
        <w:rPr>
          <w:rFonts w:ascii="Book Antiqua" w:eastAsia="黑体" w:hAnsi="Book Antiqua" w:cs="Book Antiqua"/>
          <w:b/>
          <w:bCs/>
          <w:sz w:val="44"/>
          <w:szCs w:val="44"/>
        </w:rPr>
        <w:sectPr w:rsidR="009653FB">
          <w:pgSz w:w="11907" w:h="16840"/>
          <w:pgMar w:top="1701" w:right="1134" w:bottom="1701" w:left="1134" w:header="567" w:footer="567" w:gutter="0"/>
          <w:cols w:space="720"/>
        </w:sectPr>
      </w:pPr>
    </w:p>
    <w:p w14:paraId="49DE4EAB" w14:textId="375E1B41" w:rsidR="00BE572F" w:rsidRDefault="00BE572F" w:rsidP="001C2850">
      <w:pPr>
        <w:pStyle w:val="3"/>
        <w:rPr>
          <w:rFonts w:hint="eastAsia"/>
        </w:rPr>
      </w:pPr>
      <w:r>
        <w:lastRenderedPageBreak/>
        <w:tab/>
        <w:t>混合云架构设计方案</w:t>
      </w:r>
      <w:r>
        <w:tab/>
      </w:r>
    </w:p>
    <w:p w14:paraId="3E7DE48A" w14:textId="04AB271E" w:rsidR="008B6551" w:rsidRDefault="008B6551" w:rsidP="008B6551">
      <w:pPr>
        <w:pStyle w:val="4"/>
        <w:shd w:val="clear" w:color="auto" w:fill="F9FAFB"/>
        <w:rPr>
          <w:rFonts w:ascii="Segoe UI" w:hAnsi="Segoe UI" w:cs="Segoe UI"/>
          <w:color w:val="000000"/>
        </w:rPr>
      </w:pPr>
      <w:r>
        <w:rPr>
          <w:rFonts w:ascii="Segoe UI" w:hAnsi="Segoe UI" w:cs="Segoe UI"/>
          <w:color w:val="000000"/>
        </w:rPr>
        <w:t>概述与整体架构</w:t>
      </w:r>
    </w:p>
    <w:p w14:paraId="7EB54E68" w14:textId="77FB32CA" w:rsidR="008B6551" w:rsidRDefault="008B6551" w:rsidP="008B6551">
      <w:pPr>
        <w:pStyle w:val="5"/>
        <w:shd w:val="clear" w:color="auto" w:fill="F9FAFB"/>
        <w:rPr>
          <w:rFonts w:ascii="Segoe UI" w:hAnsi="Segoe UI" w:cs="Segoe UI"/>
          <w:color w:val="000000"/>
        </w:rPr>
      </w:pPr>
      <w:r>
        <w:rPr>
          <w:rFonts w:ascii="Segoe UI" w:hAnsi="Segoe UI" w:cs="Segoe UI"/>
          <w:color w:val="000000"/>
        </w:rPr>
        <w:t>设计背景</w:t>
      </w:r>
    </w:p>
    <w:p w14:paraId="0B681803" w14:textId="020FC94A" w:rsidR="001F4BFA" w:rsidRPr="001F4BFA" w:rsidRDefault="001F4BFA" w:rsidP="001F4BFA">
      <w:pPr>
        <w:ind w:firstLine="420"/>
        <w:rPr>
          <w:rFonts w:hint="eastAsia"/>
        </w:rPr>
      </w:pPr>
      <w:bookmarkStart w:id="130" w:name="OLE_LINK2"/>
      <w:r w:rsidRPr="001F4BFA">
        <w:t>在企业数字化转型深入推进的进程中，传统单一云架构已无法满足复杂业务场景的多元化需求。随着核心业务对连续性、可扩展性</w:t>
      </w:r>
      <w:r w:rsidR="006C6F6D" w:rsidRPr="006C6F6D">
        <w:rPr>
          <w:b/>
        </w:rPr>
        <w:t>招标文件要求</w:t>
      </w:r>
      <w:r w:rsidRPr="001F4BFA">
        <w:t>的提升，以及多云协同部署趋势的深化，企业IT架构面临多重挑战：业务系统需同时应对自然灾害、网络故障等突发状况以保障持续运行，而流量波动带来的资源弹性需求与成本控制之间的矛盾也日益凸显。此外，金融、医疗等行业对数据本地化存储与跨境传输的合规性</w:t>
      </w:r>
      <w:r w:rsidR="006C6F6D" w:rsidRPr="006C6F6D">
        <w:rPr>
          <w:b/>
        </w:rPr>
        <w:t>招标文件要求</w:t>
      </w:r>
      <w:r w:rsidRPr="001F4BFA">
        <w:t>，以及现有自建IDC与云资源的整合需求，均推动企业寻求更灵活、安全的混合云解决方案。</w:t>
      </w:r>
    </w:p>
    <w:p w14:paraId="17F4DE61" w14:textId="08B35A20" w:rsidR="001F4BFA" w:rsidRDefault="001F4BFA" w:rsidP="001F4BFA">
      <w:pPr>
        <w:ind w:firstLine="420"/>
        <w:rPr>
          <w:rFonts w:hint="eastAsia"/>
        </w:rPr>
      </w:pPr>
      <w:r w:rsidRPr="001F4BFA">
        <w:t>基于混合云架构最佳实践，本方案聚焦</w:t>
      </w:r>
      <w:proofErr w:type="spellStart"/>
      <w:r w:rsidRPr="001F4BFA">
        <w:t>Ameco</w:t>
      </w:r>
      <w:proofErr w:type="spellEnd"/>
      <w:r w:rsidRPr="001F4BFA">
        <w:t>核心业务场景，旨在通过华为云技术体系构建协同架构。方案设计基于北京、上海等可用区的资源布局，以“生产域与开发测试域隔离”“多可用区负载均衡”为核心框架，解决传统架构在算力扩展、容灾能力上的瓶颈。例如，通过华为云专线与智能流量调度技术，实现异地容灾体系的构建；利用对象存储OSS与数据库服务，完成数据备份与跨区域同步，确保业务在混合云环境下的稳定运行。</w:t>
      </w:r>
    </w:p>
    <w:p w14:paraId="5C601DB0" w14:textId="24CCE10D" w:rsidR="001F4BFA" w:rsidRPr="001F4BFA" w:rsidRDefault="001F4BFA" w:rsidP="001F4BFA">
      <w:pPr>
        <w:pStyle w:val="5"/>
        <w:shd w:val="clear" w:color="auto" w:fill="F9FAFB"/>
        <w:rPr>
          <w:rFonts w:ascii="Segoe UI" w:hAnsi="Segoe UI" w:cs="Segoe UI"/>
          <w:color w:val="000000"/>
        </w:rPr>
      </w:pPr>
      <w:r w:rsidRPr="001F4BFA">
        <w:rPr>
          <w:rFonts w:ascii="Segoe UI" w:hAnsi="Segoe UI" w:cs="Segoe UI" w:hint="eastAsia"/>
          <w:color w:val="000000"/>
        </w:rPr>
        <w:t>设计目标</w:t>
      </w:r>
    </w:p>
    <w:p w14:paraId="45A66D49" w14:textId="77777777" w:rsidR="001F4BFA" w:rsidRDefault="001F4BFA" w:rsidP="001F4BFA">
      <w:pPr>
        <w:ind w:firstLine="420"/>
        <w:rPr>
          <w:rFonts w:hint="eastAsia"/>
        </w:rPr>
      </w:pPr>
      <w:r>
        <w:rPr>
          <w:rFonts w:hint="eastAsia"/>
        </w:rPr>
        <w:t>本方案以支撑混合云容灾、业务系统跨云运行为核心，旨在实现三大维度的目标：</w:t>
      </w:r>
    </w:p>
    <w:p w14:paraId="1CBB5EB7" w14:textId="37624FA6" w:rsidR="001F4BFA" w:rsidRDefault="001F4BFA">
      <w:pPr>
        <w:pStyle w:val="a3"/>
        <w:numPr>
          <w:ilvl w:val="0"/>
          <w:numId w:val="29"/>
        </w:numPr>
        <w:ind w:firstLineChars="0"/>
        <w:rPr>
          <w:rFonts w:hint="eastAsia"/>
        </w:rPr>
      </w:pPr>
      <w:r>
        <w:rPr>
          <w:rFonts w:hint="eastAsia"/>
        </w:rPr>
        <w:t>业务场景支撑层面，需构建多层级容灾体系：在北京可用区</w:t>
      </w:r>
      <w:r>
        <w:t>A部署生产域与开发测试域，通过多可用区公网/私网一体化负载均衡产品，实现业务应用的本地负载与异地容灾流量调度；在上海可用区B建设异地容灾生产域，通过全局DNS解析与负载均衡联动，确保单可用区故障时业务流量分钟级切换，满足RTO（恢复时间目标）与RPO（恢复点目标）的高标准</w:t>
      </w:r>
      <w:r w:rsidR="006C6F6D" w:rsidRPr="006C6F6D">
        <w:rPr>
          <w:b/>
        </w:rPr>
        <w:t>招标文件要求</w:t>
      </w:r>
      <w:r>
        <w:t>。同时，针对业务系统运行，通过弹性伸缩机制（横向与纵向扩展）应对流量波动，利用应用服务器集群与数据库服务实现接口层与数据层的高可用支撑。</w:t>
      </w:r>
    </w:p>
    <w:p w14:paraId="5B2D5A1C" w14:textId="1230DE44" w:rsidR="001F4BFA" w:rsidRDefault="001F4BFA">
      <w:pPr>
        <w:pStyle w:val="a3"/>
        <w:numPr>
          <w:ilvl w:val="0"/>
          <w:numId w:val="29"/>
        </w:numPr>
        <w:ind w:firstLineChars="0"/>
        <w:rPr>
          <w:rFonts w:hint="eastAsia"/>
        </w:rPr>
      </w:pPr>
      <w:r>
        <w:rPr>
          <w:rFonts w:hint="eastAsia"/>
        </w:rPr>
        <w:t>技术架构能力层面，需达成业务连续性与安全合规的双重</w:t>
      </w:r>
      <w:r w:rsidR="006C6F6D" w:rsidRPr="006C6F6D">
        <w:rPr>
          <w:rFonts w:hint="eastAsia"/>
          <w:b/>
        </w:rPr>
        <w:t>招标文件要求</w:t>
      </w:r>
      <w:r>
        <w:rPr>
          <w:rFonts w:hint="eastAsia"/>
        </w:rPr>
        <w:t>。网络架构上，通过双专线冗余、专线</w:t>
      </w:r>
      <w:r>
        <w:t>/VPN主备等机制实现混合云互通的高可用性，结合BFD协议与健康检查机制实现链路异常的快速倒换；安全体系中，依托华为云KMS密钥管理、身份认证及审计日志方案，构建从数据加密到访问控制的全链路防护；存储与备份方案则通过OSS实现日志、快照数据的跨区域冗余存储，确保数据持久性与可恢复性。</w:t>
      </w:r>
    </w:p>
    <w:p w14:paraId="62E2885C" w14:textId="409FBAEF" w:rsidR="001F4BFA" w:rsidRDefault="001F4BFA">
      <w:pPr>
        <w:pStyle w:val="a3"/>
        <w:numPr>
          <w:ilvl w:val="0"/>
          <w:numId w:val="29"/>
        </w:numPr>
        <w:ind w:firstLineChars="0"/>
        <w:rPr>
          <w:rFonts w:hint="eastAsia"/>
        </w:rPr>
      </w:pPr>
      <w:r>
        <w:rPr>
          <w:rFonts w:hint="eastAsia"/>
        </w:rPr>
        <w:t>运维与管理层面，需建立全栈可观测性体系：通过监控指标采集（如</w:t>
      </w:r>
      <w:r>
        <w:t>CPU、内存、网络流量）、链路追踪（分布式跟踪技术）及日志管理（集中收集与分析），实现混合云环境的实时监控与故障定位；结合自动化运维工具，提升资源部署与容灾演练效率，同时通过成本管理服务优化资源配置，降低混合云架构的总体拥有成本（TCO）。</w:t>
      </w:r>
    </w:p>
    <w:p w14:paraId="3999EC34" w14:textId="37C94D38" w:rsidR="001F4BFA" w:rsidRPr="001F4BFA" w:rsidRDefault="001F4BFA" w:rsidP="001F4BFA">
      <w:pPr>
        <w:ind w:firstLine="420"/>
        <w:rPr>
          <w:rFonts w:hint="eastAsia"/>
        </w:rPr>
      </w:pPr>
      <w:r w:rsidRPr="001F4BFA">
        <w:rPr>
          <w:rFonts w:hint="eastAsia"/>
        </w:rPr>
        <w:t>本方案以华为云技术为底座，通过</w:t>
      </w:r>
      <w:r w:rsidRPr="001F4BFA">
        <w:t>“本地核心业务+公有云弹性扩展”的混合模式，帮助企业打破私有云与公有云的技术壁垒，实现业务“稳态”运行与创新“敏态”扩展的平衡。方案</w:t>
      </w:r>
      <w:r w:rsidRPr="001F4BFA">
        <w:lastRenderedPageBreak/>
        <w:t>深度融合华为云</w:t>
      </w:r>
      <w:proofErr w:type="spellStart"/>
      <w:r w:rsidRPr="001F4BFA">
        <w:t>FusionCloud</w:t>
      </w:r>
      <w:proofErr w:type="spellEnd"/>
      <w:r w:rsidRPr="001F4BFA">
        <w:t>、弹性负载均衡ELB、对象存储OBS等组件能力，在保障业务连续性、数据安全性的同时，通过标准化架构设计与自动化运维体系，为企业数字化转型提供可信赖的云基础设施支撑。</w:t>
      </w:r>
    </w:p>
    <w:bookmarkEnd w:id="130"/>
    <w:p w14:paraId="3B1EBA3E" w14:textId="44B35C47" w:rsidR="008B6551" w:rsidRDefault="008B6551" w:rsidP="008B6551">
      <w:pPr>
        <w:pStyle w:val="5"/>
        <w:shd w:val="clear" w:color="auto" w:fill="F9FAFB"/>
        <w:rPr>
          <w:rFonts w:ascii="Segoe UI" w:hAnsi="Segoe UI" w:cs="Segoe UI"/>
          <w:color w:val="000000"/>
        </w:rPr>
      </w:pPr>
      <w:r>
        <w:rPr>
          <w:rFonts w:ascii="Segoe UI" w:hAnsi="Segoe UI" w:cs="Segoe UI"/>
          <w:color w:val="000000"/>
        </w:rPr>
        <w:t>整体技术架构</w:t>
      </w:r>
    </w:p>
    <w:p w14:paraId="56D315D4" w14:textId="2DE37866" w:rsidR="001F4BFA" w:rsidRPr="001F4BFA" w:rsidRDefault="001F4BFA" w:rsidP="001F4BFA">
      <w:pPr>
        <w:pStyle w:val="6"/>
        <w:rPr>
          <w:rFonts w:hint="eastAsia"/>
        </w:rPr>
      </w:pPr>
      <w:r w:rsidRPr="001F4BFA">
        <w:rPr>
          <w:rFonts w:hint="eastAsia"/>
        </w:rPr>
        <w:t>混合云部署模式</w:t>
      </w:r>
    </w:p>
    <w:p w14:paraId="6A09F8A9" w14:textId="4DECD11B" w:rsidR="008B6551"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混合云架构采用华为云</w:t>
      </w:r>
      <w:r w:rsidRPr="001F4BFA">
        <w:rPr>
          <w:rFonts w:ascii="Segoe UI" w:hAnsi="Segoe UI" w:cs="Segoe UI"/>
          <w:color w:val="000000"/>
        </w:rPr>
        <w:t>Stack</w:t>
      </w:r>
      <w:r w:rsidRPr="001F4BFA">
        <w:rPr>
          <w:rFonts w:ascii="Segoe UI" w:hAnsi="Segoe UI" w:cs="Segoe UI"/>
          <w:color w:val="000000"/>
        </w:rPr>
        <w:t>私有云平台与华为公有云的深度协同模式，构建</w:t>
      </w:r>
      <w:r w:rsidRPr="001F4BFA">
        <w:rPr>
          <w:rFonts w:ascii="Segoe UI" w:hAnsi="Segoe UI" w:cs="Segoe UI"/>
          <w:color w:val="000000"/>
        </w:rPr>
        <w:t>“</w:t>
      </w:r>
      <w:r w:rsidRPr="001F4BFA">
        <w:rPr>
          <w:rFonts w:ascii="Segoe UI" w:hAnsi="Segoe UI" w:cs="Segoe UI"/>
          <w:color w:val="000000"/>
        </w:rPr>
        <w:t>本地核心业务</w:t>
      </w:r>
      <w:r w:rsidRPr="001F4BFA">
        <w:rPr>
          <w:rFonts w:ascii="Segoe UI" w:hAnsi="Segoe UI" w:cs="Segoe UI"/>
          <w:color w:val="000000"/>
        </w:rPr>
        <w:t>+</w:t>
      </w:r>
      <w:r w:rsidRPr="001F4BFA">
        <w:rPr>
          <w:rFonts w:ascii="Segoe UI" w:hAnsi="Segoe UI" w:cs="Segoe UI"/>
          <w:color w:val="000000"/>
        </w:rPr>
        <w:t>公有云弹性扩展</w:t>
      </w:r>
      <w:r w:rsidRPr="001F4BFA">
        <w:rPr>
          <w:rFonts w:ascii="Segoe UI" w:hAnsi="Segoe UI" w:cs="Segoe UI"/>
          <w:color w:val="000000"/>
        </w:rPr>
        <w:t>”</w:t>
      </w:r>
      <w:r w:rsidRPr="001F4BFA">
        <w:rPr>
          <w:rFonts w:ascii="Segoe UI" w:hAnsi="Segoe UI" w:cs="Segoe UI"/>
          <w:color w:val="000000"/>
        </w:rPr>
        <w:t>的一体化解决方案。该模式以企业自建数据中心为基础，通过华为云专线（</w:t>
      </w:r>
      <w:r w:rsidRPr="001F4BFA">
        <w:rPr>
          <w:rFonts w:ascii="Segoe UI" w:hAnsi="Segoe UI" w:cs="Segoe UI"/>
          <w:color w:val="000000"/>
        </w:rPr>
        <w:t>DC</w:t>
      </w:r>
      <w:r w:rsidRPr="001F4BFA">
        <w:rPr>
          <w:rFonts w:ascii="Segoe UI" w:hAnsi="Segoe UI" w:cs="Segoe UI"/>
          <w:color w:val="000000"/>
        </w:rPr>
        <w:t>）或</w:t>
      </w:r>
      <w:r w:rsidRPr="001F4BFA">
        <w:rPr>
          <w:rFonts w:ascii="Segoe UI" w:hAnsi="Segoe UI" w:cs="Segoe UI"/>
          <w:color w:val="000000"/>
        </w:rPr>
        <w:t>VPN</w:t>
      </w:r>
      <w:r w:rsidRPr="001F4BFA">
        <w:rPr>
          <w:rFonts w:ascii="Segoe UI" w:hAnsi="Segoe UI" w:cs="Segoe UI"/>
          <w:color w:val="000000"/>
        </w:rPr>
        <w:t>链路与公有云资源池实现高速互联，形成资源调度与业务协同的统一架构。例如，核心业务系统（如</w:t>
      </w:r>
      <w:r w:rsidRPr="001F4BFA">
        <w:rPr>
          <w:rFonts w:ascii="Segoe UI" w:hAnsi="Segoe UI" w:cs="Segoe UI"/>
          <w:color w:val="000000"/>
        </w:rPr>
        <w:t>ERP</w:t>
      </w:r>
      <w:r w:rsidRPr="001F4BFA">
        <w:rPr>
          <w:rFonts w:ascii="Segoe UI" w:hAnsi="Segoe UI" w:cs="Segoe UI"/>
          <w:color w:val="000000"/>
        </w:rPr>
        <w:t>、数据库）部署于华为云</w:t>
      </w:r>
      <w:r w:rsidRPr="001F4BFA">
        <w:rPr>
          <w:rFonts w:ascii="Segoe UI" w:hAnsi="Segoe UI" w:cs="Segoe UI"/>
          <w:color w:val="000000"/>
        </w:rPr>
        <w:t>Stack</w:t>
      </w:r>
      <w:r w:rsidRPr="001F4BFA">
        <w:rPr>
          <w:rFonts w:ascii="Segoe UI" w:hAnsi="Segoe UI" w:cs="Segoe UI"/>
          <w:color w:val="000000"/>
        </w:rPr>
        <w:t>私有云，保障数据本地化存储与合规性；而弹性计算需求（如大促活动、数据分析）则通过公有云资源池动态扩展，实现</w:t>
      </w:r>
      <w:r w:rsidRPr="001F4BFA">
        <w:rPr>
          <w:rFonts w:ascii="Segoe UI" w:hAnsi="Segoe UI" w:cs="Segoe UI"/>
          <w:color w:val="000000"/>
        </w:rPr>
        <w:t>“</w:t>
      </w:r>
      <w:r w:rsidRPr="001F4BFA">
        <w:rPr>
          <w:rFonts w:ascii="Segoe UI" w:hAnsi="Segoe UI" w:cs="Segoe UI"/>
          <w:color w:val="000000"/>
        </w:rPr>
        <w:t>稳态业务本地化、敏态业务云端化</w:t>
      </w:r>
      <w:r w:rsidRPr="001F4BFA">
        <w:rPr>
          <w:rFonts w:ascii="Segoe UI" w:hAnsi="Segoe UI" w:cs="Segoe UI"/>
          <w:color w:val="000000"/>
        </w:rPr>
        <w:t>”</w:t>
      </w:r>
      <w:r w:rsidRPr="001F4BFA">
        <w:rPr>
          <w:rFonts w:ascii="Segoe UI" w:hAnsi="Segoe UI" w:cs="Segoe UI"/>
          <w:color w:val="000000"/>
        </w:rPr>
        <w:t>的双态平衡。这种部署模式突破了传统单</w:t>
      </w:r>
      <w:r w:rsidRPr="001F4BFA">
        <w:rPr>
          <w:rFonts w:ascii="Segoe UI" w:hAnsi="Segoe UI" w:cs="Segoe UI" w:hint="eastAsia"/>
          <w:color w:val="000000"/>
        </w:rPr>
        <w:t>一云环境的局限性，既满足企业对核心数据主权的控制需求，又能借助公有云的弹性算力与全球节点覆盖能力，提升业务响应速度与扩展灵活性。</w:t>
      </w:r>
    </w:p>
    <w:p w14:paraId="3A2D4BFA" w14:textId="2B59D3B9" w:rsidR="001F4BFA" w:rsidRPr="001F4BFA" w:rsidRDefault="001F4BFA" w:rsidP="001F4BFA">
      <w:pPr>
        <w:pStyle w:val="6"/>
        <w:rPr>
          <w:rFonts w:hint="eastAsia"/>
        </w:rPr>
      </w:pPr>
      <w:r w:rsidRPr="001F4BFA">
        <w:rPr>
          <w:rFonts w:hint="eastAsia"/>
        </w:rPr>
        <w:t>核心组件</w:t>
      </w:r>
    </w:p>
    <w:p w14:paraId="1D38F427" w14:textId="49773471" w:rsid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架构以华为云</w:t>
      </w:r>
      <w:proofErr w:type="spellStart"/>
      <w:r w:rsidRPr="001F4BFA">
        <w:rPr>
          <w:rFonts w:ascii="Segoe UI" w:hAnsi="Segoe UI" w:cs="Segoe UI"/>
          <w:color w:val="000000"/>
        </w:rPr>
        <w:t>FusionCloud</w:t>
      </w:r>
      <w:proofErr w:type="spellEnd"/>
      <w:r w:rsidRPr="001F4BFA">
        <w:rPr>
          <w:rFonts w:ascii="Segoe UI" w:hAnsi="Segoe UI" w:cs="Segoe UI"/>
          <w:color w:val="000000"/>
        </w:rPr>
        <w:t>私有云平台为核心底座，构建标准化的云资源管理平面。</w:t>
      </w:r>
      <w:proofErr w:type="spellStart"/>
      <w:r w:rsidRPr="001F4BFA">
        <w:rPr>
          <w:rFonts w:ascii="Segoe UI" w:hAnsi="Segoe UI" w:cs="Segoe UI"/>
          <w:color w:val="000000"/>
        </w:rPr>
        <w:t>FusionCloud</w:t>
      </w:r>
      <w:proofErr w:type="spellEnd"/>
      <w:r w:rsidRPr="001F4BFA">
        <w:rPr>
          <w:rFonts w:ascii="Segoe UI" w:hAnsi="Segoe UI" w:cs="Segoe UI"/>
          <w:color w:val="000000"/>
        </w:rPr>
        <w:t>整合计算、存储、网络资源，提供虚拟化、容器化及微服务治理能力，支持企业自建数据中心的云化改造与标准化管理。弹性云服务器</w:t>
      </w:r>
      <w:r w:rsidRPr="001F4BFA">
        <w:rPr>
          <w:rFonts w:ascii="Segoe UI" w:hAnsi="Segoe UI" w:cs="Segoe UI"/>
          <w:color w:val="000000"/>
        </w:rPr>
        <w:t>ECS</w:t>
      </w:r>
      <w:r w:rsidRPr="001F4BFA">
        <w:rPr>
          <w:rFonts w:ascii="Segoe UI" w:hAnsi="Segoe UI" w:cs="Segoe UI"/>
          <w:color w:val="000000"/>
        </w:rPr>
        <w:t>作为计算资源的核心载体，在混合云环境中承担应用部署与运行任务，通过华为云的弹性伸缩机制（</w:t>
      </w:r>
      <w:proofErr w:type="spellStart"/>
      <w:r w:rsidRPr="001F4BFA">
        <w:rPr>
          <w:rFonts w:ascii="Segoe UI" w:hAnsi="Segoe UI" w:cs="Segoe UI"/>
          <w:color w:val="000000"/>
        </w:rPr>
        <w:t>AutoScaling</w:t>
      </w:r>
      <w:proofErr w:type="spellEnd"/>
      <w:r w:rsidRPr="001F4BFA">
        <w:rPr>
          <w:rFonts w:ascii="Segoe UI" w:hAnsi="Segoe UI" w:cs="Segoe UI"/>
          <w:color w:val="000000"/>
        </w:rPr>
        <w:t>），实现计算资源的动态调整</w:t>
      </w:r>
      <w:r w:rsidRPr="001F4BFA">
        <w:rPr>
          <w:rFonts w:ascii="Segoe UI" w:hAnsi="Segoe UI" w:cs="Segoe UI"/>
          <w:color w:val="000000"/>
        </w:rPr>
        <w:t>——</w:t>
      </w:r>
      <w:r w:rsidRPr="001F4BFA">
        <w:rPr>
          <w:rFonts w:ascii="Segoe UI" w:hAnsi="Segoe UI" w:cs="Segoe UI"/>
          <w:color w:val="000000"/>
        </w:rPr>
        <w:t>当业务流量峰值来临时，公有云</w:t>
      </w:r>
      <w:r w:rsidRPr="001F4BFA">
        <w:rPr>
          <w:rFonts w:ascii="Segoe UI" w:hAnsi="Segoe UI" w:cs="Segoe UI"/>
          <w:color w:val="000000"/>
        </w:rPr>
        <w:t>ECS</w:t>
      </w:r>
      <w:r w:rsidRPr="001F4BFA">
        <w:rPr>
          <w:rFonts w:ascii="Segoe UI" w:hAnsi="Segoe UI" w:cs="Segoe UI"/>
          <w:color w:val="000000"/>
        </w:rPr>
        <w:t>资源可自动扩容，支撑业务负载；流量回落时，资源自动释放，降低成本浪费。</w:t>
      </w:r>
    </w:p>
    <w:p w14:paraId="417C431D" w14:textId="4D312BB8" w:rsidR="001F4BFA" w:rsidRDefault="001F4BFA" w:rsidP="001F4BFA">
      <w:pPr>
        <w:shd w:val="clear" w:color="auto" w:fill="F9FAFB"/>
        <w:spacing w:before="100" w:beforeAutospacing="1" w:after="100" w:afterAutospacing="1"/>
        <w:ind w:firstLine="420"/>
        <w:rPr>
          <w:rFonts w:ascii="Segoe UI" w:hAnsi="Segoe UI" w:cs="Segoe UI"/>
          <w:shd w:val="clear" w:color="auto" w:fill="F9FAFB"/>
        </w:rPr>
      </w:pPr>
      <w:r>
        <w:rPr>
          <w:rFonts w:ascii="Segoe UI" w:hAnsi="Segoe UI" w:cs="Segoe UI"/>
          <w:shd w:val="clear" w:color="auto" w:fill="F9FAFB"/>
        </w:rPr>
        <w:t>存储服务层面采用</w:t>
      </w:r>
      <w:r>
        <w:rPr>
          <w:rFonts w:ascii="Segoe UI" w:hAnsi="Segoe UI" w:cs="Segoe UI"/>
          <w:shd w:val="clear" w:color="auto" w:fill="F9FAFB"/>
        </w:rPr>
        <w:t>“</w:t>
      </w:r>
      <w:r>
        <w:rPr>
          <w:rFonts w:ascii="Segoe UI" w:hAnsi="Segoe UI" w:cs="Segoe UI"/>
          <w:shd w:val="clear" w:color="auto" w:fill="F9FAFB"/>
        </w:rPr>
        <w:t>本地存储</w:t>
      </w:r>
      <w:r>
        <w:rPr>
          <w:rFonts w:ascii="Segoe UI" w:hAnsi="Segoe UI" w:cs="Segoe UI"/>
          <w:shd w:val="clear" w:color="auto" w:fill="F9FAFB"/>
        </w:rPr>
        <w:t>+</w:t>
      </w:r>
      <w:r>
        <w:rPr>
          <w:rFonts w:ascii="Segoe UI" w:hAnsi="Segoe UI" w:cs="Segoe UI"/>
          <w:shd w:val="clear" w:color="auto" w:fill="F9FAFB"/>
        </w:rPr>
        <w:t>云端备份</w:t>
      </w:r>
      <w:r>
        <w:rPr>
          <w:rFonts w:ascii="Segoe UI" w:hAnsi="Segoe UI" w:cs="Segoe UI"/>
          <w:shd w:val="clear" w:color="auto" w:fill="F9FAFB"/>
        </w:rPr>
        <w:t>”</w:t>
      </w:r>
      <w:r>
        <w:rPr>
          <w:rFonts w:ascii="Segoe UI" w:hAnsi="Segoe UI" w:cs="Segoe UI"/>
          <w:shd w:val="clear" w:color="auto" w:fill="F9FAFB"/>
        </w:rPr>
        <w:t>的分层架构：核心业务数据存储于华为云</w:t>
      </w:r>
      <w:r>
        <w:rPr>
          <w:rFonts w:ascii="Segoe UI" w:hAnsi="Segoe UI" w:cs="Segoe UI"/>
          <w:shd w:val="clear" w:color="auto" w:fill="F9FAFB"/>
        </w:rPr>
        <w:t>Stack</w:t>
      </w:r>
      <w:r>
        <w:rPr>
          <w:rFonts w:ascii="Segoe UI" w:hAnsi="Segoe UI" w:cs="Segoe UI"/>
          <w:shd w:val="clear" w:color="auto" w:fill="F9FAFB"/>
        </w:rPr>
        <w:t>的块存储（</w:t>
      </w:r>
      <w:r>
        <w:rPr>
          <w:rFonts w:ascii="Segoe UI" w:hAnsi="Segoe UI" w:cs="Segoe UI"/>
          <w:shd w:val="clear" w:color="auto" w:fill="F9FAFB"/>
        </w:rPr>
        <w:t>EVS</w:t>
      </w:r>
      <w:r>
        <w:rPr>
          <w:rFonts w:ascii="Segoe UI" w:hAnsi="Segoe UI" w:cs="Segoe UI"/>
          <w:shd w:val="clear" w:color="auto" w:fill="F9FAFB"/>
        </w:rPr>
        <w:t>）或文件存储（</w:t>
      </w:r>
      <w:r>
        <w:rPr>
          <w:rFonts w:ascii="Segoe UI" w:hAnsi="Segoe UI" w:cs="Segoe UI"/>
          <w:shd w:val="clear" w:color="auto" w:fill="F9FAFB"/>
        </w:rPr>
        <w:t>SFS</w:t>
      </w:r>
      <w:r>
        <w:rPr>
          <w:rFonts w:ascii="Segoe UI" w:hAnsi="Segoe UI" w:cs="Segoe UI"/>
          <w:shd w:val="clear" w:color="auto" w:fill="F9FAFB"/>
        </w:rPr>
        <w:t>），确保低延迟访问；日志、快照等非核心数据通过对象存储</w:t>
      </w:r>
      <w:r>
        <w:rPr>
          <w:rFonts w:ascii="Segoe UI" w:hAnsi="Segoe UI" w:cs="Segoe UI"/>
          <w:shd w:val="clear" w:color="auto" w:fill="F9FAFB"/>
        </w:rPr>
        <w:t>OSS</w:t>
      </w:r>
      <w:r>
        <w:rPr>
          <w:rFonts w:ascii="Segoe UI" w:hAnsi="Segoe UI" w:cs="Segoe UI"/>
          <w:shd w:val="clear" w:color="auto" w:fill="F9FAFB"/>
        </w:rPr>
        <w:t>（</w:t>
      </w:r>
      <w:proofErr w:type="spellStart"/>
      <w:r>
        <w:rPr>
          <w:rFonts w:ascii="Segoe UI" w:hAnsi="Segoe UI" w:cs="Segoe UI"/>
          <w:shd w:val="clear" w:color="auto" w:fill="F9FAFB"/>
        </w:rPr>
        <w:t>ObjectStorageService</w:t>
      </w:r>
      <w:proofErr w:type="spellEnd"/>
      <w:r>
        <w:rPr>
          <w:rFonts w:ascii="Segoe UI" w:hAnsi="Segoe UI" w:cs="Segoe UI"/>
          <w:shd w:val="clear" w:color="auto" w:fill="F9FAFB"/>
        </w:rPr>
        <w:t>）实现跨区域冗余备份，</w:t>
      </w:r>
      <w:r>
        <w:rPr>
          <w:rFonts w:ascii="Segoe UI" w:hAnsi="Segoe UI" w:cs="Segoe UI"/>
          <w:shd w:val="clear" w:color="auto" w:fill="F9FAFB"/>
        </w:rPr>
        <w:t>OSS</w:t>
      </w:r>
      <w:r>
        <w:rPr>
          <w:rFonts w:ascii="Segoe UI" w:hAnsi="Segoe UI" w:cs="Segoe UI"/>
          <w:shd w:val="clear" w:color="auto" w:fill="F9FAFB"/>
        </w:rPr>
        <w:t>支持本地冗余存储（</w:t>
      </w:r>
      <w:r>
        <w:rPr>
          <w:rFonts w:ascii="Segoe UI" w:hAnsi="Segoe UI" w:cs="Segoe UI"/>
          <w:shd w:val="clear" w:color="auto" w:fill="F9FAFB"/>
        </w:rPr>
        <w:t>LRS</w:t>
      </w:r>
      <w:r>
        <w:rPr>
          <w:rFonts w:ascii="Segoe UI" w:hAnsi="Segoe UI" w:cs="Segoe UI"/>
          <w:shd w:val="clear" w:color="auto" w:fill="F9FAFB"/>
        </w:rPr>
        <w:t>）与同城冗余存储（</w:t>
      </w:r>
      <w:r>
        <w:rPr>
          <w:rFonts w:ascii="Segoe UI" w:hAnsi="Segoe UI" w:cs="Segoe UI"/>
          <w:shd w:val="clear" w:color="auto" w:fill="F9FAFB"/>
        </w:rPr>
        <w:t>ZRS</w:t>
      </w:r>
      <w:r>
        <w:rPr>
          <w:rFonts w:ascii="Segoe UI" w:hAnsi="Segoe UI" w:cs="Segoe UI"/>
          <w:shd w:val="clear" w:color="auto" w:fill="F9FAFB"/>
        </w:rPr>
        <w:t>），保障数据持久性达</w:t>
      </w:r>
      <w:r>
        <w:rPr>
          <w:rFonts w:ascii="Segoe UI" w:hAnsi="Segoe UI" w:cs="Segoe UI"/>
          <w:shd w:val="clear" w:color="auto" w:fill="F9FAFB"/>
        </w:rPr>
        <w:t>12</w:t>
      </w:r>
      <w:r>
        <w:rPr>
          <w:rFonts w:ascii="Segoe UI" w:hAnsi="Segoe UI" w:cs="Segoe UI"/>
          <w:shd w:val="clear" w:color="auto" w:fill="F9FAFB"/>
        </w:rPr>
        <w:t>个</w:t>
      </w:r>
      <w:r>
        <w:rPr>
          <w:rFonts w:ascii="Segoe UI" w:hAnsi="Segoe UI" w:cs="Segoe UI"/>
          <w:shd w:val="clear" w:color="auto" w:fill="F9FAFB"/>
        </w:rPr>
        <w:t>9</w:t>
      </w:r>
      <w:r>
        <w:rPr>
          <w:rFonts w:ascii="Segoe UI" w:hAnsi="Segoe UI" w:cs="Segoe UI"/>
          <w:shd w:val="clear" w:color="auto" w:fill="F9FAFB"/>
        </w:rPr>
        <w:t>。此外，数据库服务（如</w:t>
      </w:r>
      <w:proofErr w:type="spellStart"/>
      <w:r>
        <w:rPr>
          <w:rFonts w:ascii="Segoe UI" w:hAnsi="Segoe UI" w:cs="Segoe UI"/>
          <w:shd w:val="clear" w:color="auto" w:fill="F9FAFB"/>
        </w:rPr>
        <w:t>RDSforMySQL</w:t>
      </w:r>
      <w:proofErr w:type="spellEnd"/>
      <w:r>
        <w:rPr>
          <w:rFonts w:ascii="Segoe UI" w:hAnsi="Segoe UI" w:cs="Segoe UI"/>
          <w:shd w:val="clear" w:color="auto" w:fill="F9FAFB"/>
        </w:rPr>
        <w:t>、</w:t>
      </w:r>
      <w:proofErr w:type="spellStart"/>
      <w:r>
        <w:rPr>
          <w:rFonts w:ascii="Segoe UI" w:hAnsi="Segoe UI" w:cs="Segoe UI"/>
          <w:shd w:val="clear" w:color="auto" w:fill="F9FAFB"/>
        </w:rPr>
        <w:t>PolarDB</w:t>
      </w:r>
      <w:proofErr w:type="spellEnd"/>
      <w:r>
        <w:rPr>
          <w:rFonts w:ascii="Segoe UI" w:hAnsi="Segoe UI" w:cs="Segoe UI"/>
          <w:shd w:val="clear" w:color="auto" w:fill="F9FAFB"/>
        </w:rPr>
        <w:t>）通过主备架构与跨区域同步机制，实现数据的高可用性与容灾能力，结合华为云数据传输服务（</w:t>
      </w:r>
      <w:r>
        <w:rPr>
          <w:rFonts w:ascii="Segoe UI" w:hAnsi="Segoe UI" w:cs="Segoe UI"/>
          <w:shd w:val="clear" w:color="auto" w:fill="F9FAFB"/>
        </w:rPr>
        <w:t>DTS</w:t>
      </w:r>
      <w:r>
        <w:rPr>
          <w:rFonts w:ascii="Segoe UI" w:hAnsi="Segoe UI" w:cs="Segoe UI"/>
          <w:shd w:val="clear" w:color="auto" w:fill="F9FAFB"/>
        </w:rPr>
        <w:t>），可完成混合云环境下数据库的实时同步与迁移。</w:t>
      </w:r>
    </w:p>
    <w:p w14:paraId="58558FBF" w14:textId="77777777" w:rsidR="001F4BFA" w:rsidRDefault="001F4BFA" w:rsidP="001F4BFA">
      <w:pPr>
        <w:pStyle w:val="6"/>
        <w:rPr>
          <w:rFonts w:hint="eastAsia"/>
        </w:rPr>
      </w:pPr>
      <w:r>
        <w:t>业务场景</w:t>
      </w:r>
    </w:p>
    <w:p w14:paraId="29C5FD2D" w14:textId="6B3580F1"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在混合云容灾场景中，架构采用</w:t>
      </w:r>
      <w:r w:rsidRPr="001F4BFA">
        <w:rPr>
          <w:rFonts w:ascii="Segoe UI" w:hAnsi="Segoe UI" w:cs="Segoe UI"/>
          <w:color w:val="000000"/>
        </w:rPr>
        <w:t>“</w:t>
      </w:r>
      <w:r w:rsidRPr="001F4BFA">
        <w:rPr>
          <w:rFonts w:ascii="Segoe UI" w:hAnsi="Segoe UI" w:cs="Segoe UI"/>
          <w:color w:val="000000"/>
        </w:rPr>
        <w:t>同城多活</w:t>
      </w:r>
      <w:r w:rsidRPr="001F4BFA">
        <w:rPr>
          <w:rFonts w:ascii="Segoe UI" w:hAnsi="Segoe UI" w:cs="Segoe UI"/>
          <w:color w:val="000000"/>
        </w:rPr>
        <w:t>+</w:t>
      </w:r>
      <w:r w:rsidRPr="001F4BFA">
        <w:rPr>
          <w:rFonts w:ascii="Segoe UI" w:hAnsi="Segoe UI" w:cs="Segoe UI"/>
          <w:color w:val="000000"/>
        </w:rPr>
        <w:t>异地容灾</w:t>
      </w:r>
      <w:r w:rsidRPr="001F4BFA">
        <w:rPr>
          <w:rFonts w:ascii="Segoe UI" w:hAnsi="Segoe UI" w:cs="Segoe UI"/>
          <w:color w:val="000000"/>
        </w:rPr>
        <w:t>”</w:t>
      </w:r>
      <w:r w:rsidRPr="001F4BFA">
        <w:rPr>
          <w:rFonts w:ascii="Segoe UI" w:hAnsi="Segoe UI" w:cs="Segoe UI"/>
          <w:color w:val="000000"/>
        </w:rPr>
        <w:t>的多层设计：北京可用区</w:t>
      </w:r>
      <w:r w:rsidRPr="001F4BFA">
        <w:rPr>
          <w:rFonts w:ascii="Segoe UI" w:hAnsi="Segoe UI" w:cs="Segoe UI"/>
          <w:color w:val="000000"/>
        </w:rPr>
        <w:t>A</w:t>
      </w:r>
      <w:r w:rsidRPr="001F4BFA">
        <w:rPr>
          <w:rFonts w:ascii="Segoe UI" w:hAnsi="Segoe UI" w:cs="Segoe UI"/>
          <w:color w:val="000000"/>
        </w:rPr>
        <w:t>与上海可用区</w:t>
      </w:r>
      <w:r w:rsidRPr="001F4BFA">
        <w:rPr>
          <w:rFonts w:ascii="Segoe UI" w:hAnsi="Segoe UI" w:cs="Segoe UI"/>
          <w:color w:val="000000"/>
        </w:rPr>
        <w:t>B</w:t>
      </w:r>
      <w:r w:rsidRPr="001F4BFA">
        <w:rPr>
          <w:rFonts w:ascii="Segoe UI" w:hAnsi="Segoe UI" w:cs="Segoe UI"/>
          <w:color w:val="000000"/>
        </w:rPr>
        <w:t>通过华为云专线构建异地容灾体系，利用全局</w:t>
      </w:r>
      <w:r w:rsidRPr="001F4BFA">
        <w:rPr>
          <w:rFonts w:ascii="Segoe UI" w:hAnsi="Segoe UI" w:cs="Segoe UI"/>
          <w:color w:val="000000"/>
        </w:rPr>
        <w:t>DNS</w:t>
      </w:r>
      <w:r w:rsidRPr="001F4BFA">
        <w:rPr>
          <w:rFonts w:ascii="Segoe UI" w:hAnsi="Segoe UI" w:cs="Segoe UI"/>
          <w:color w:val="000000"/>
        </w:rPr>
        <w:t>（</w:t>
      </w:r>
      <w:r w:rsidRPr="001F4BFA">
        <w:rPr>
          <w:rFonts w:ascii="Segoe UI" w:hAnsi="Segoe UI" w:cs="Segoe UI"/>
          <w:color w:val="000000"/>
        </w:rPr>
        <w:t>GTM</w:t>
      </w:r>
      <w:r w:rsidRPr="001F4BFA">
        <w:rPr>
          <w:rFonts w:ascii="Segoe UI" w:hAnsi="Segoe UI" w:cs="Segoe UI"/>
          <w:color w:val="000000"/>
        </w:rPr>
        <w:t>）与多可用区负载均衡</w:t>
      </w:r>
      <w:r w:rsidRPr="001F4BFA">
        <w:rPr>
          <w:rFonts w:ascii="Segoe UI" w:hAnsi="Segoe UI" w:cs="Segoe UI"/>
          <w:color w:val="000000"/>
        </w:rPr>
        <w:t>ELB</w:t>
      </w:r>
      <w:r w:rsidRPr="001F4BFA">
        <w:rPr>
          <w:rFonts w:ascii="Segoe UI" w:hAnsi="Segoe UI" w:cs="Segoe UI"/>
          <w:color w:val="000000"/>
        </w:rPr>
        <w:t>（</w:t>
      </w:r>
      <w:proofErr w:type="spellStart"/>
      <w:r w:rsidRPr="001F4BFA">
        <w:rPr>
          <w:rFonts w:ascii="Segoe UI" w:hAnsi="Segoe UI" w:cs="Segoe UI"/>
          <w:color w:val="000000"/>
        </w:rPr>
        <w:t>ElasticLoadBalance</w:t>
      </w:r>
      <w:proofErr w:type="spellEnd"/>
      <w:r w:rsidRPr="001F4BFA">
        <w:rPr>
          <w:rFonts w:ascii="Segoe UI" w:hAnsi="Segoe UI" w:cs="Segoe UI"/>
          <w:color w:val="000000"/>
        </w:rPr>
        <w:t>）实现流量调度。当北京可用区</w:t>
      </w:r>
      <w:r w:rsidRPr="001F4BFA">
        <w:rPr>
          <w:rFonts w:ascii="Segoe UI" w:hAnsi="Segoe UI" w:cs="Segoe UI"/>
          <w:color w:val="000000"/>
        </w:rPr>
        <w:t>A</w:t>
      </w:r>
      <w:r w:rsidRPr="001F4BFA">
        <w:rPr>
          <w:rFonts w:ascii="Segoe UI" w:hAnsi="Segoe UI" w:cs="Segoe UI"/>
          <w:color w:val="000000"/>
        </w:rPr>
        <w:t>发生故障时，</w:t>
      </w:r>
      <w:r w:rsidRPr="001F4BFA">
        <w:rPr>
          <w:rFonts w:ascii="Segoe UI" w:hAnsi="Segoe UI" w:cs="Segoe UI"/>
          <w:color w:val="000000"/>
        </w:rPr>
        <w:t>ELB</w:t>
      </w:r>
      <w:r w:rsidRPr="001F4BFA">
        <w:rPr>
          <w:rFonts w:ascii="Segoe UI" w:hAnsi="Segoe UI" w:cs="Segoe UI"/>
          <w:color w:val="000000"/>
        </w:rPr>
        <w:t>自动将流量切换至上海可用区</w:t>
      </w:r>
      <w:r w:rsidRPr="001F4BFA">
        <w:rPr>
          <w:rFonts w:ascii="Segoe UI" w:hAnsi="Segoe UI" w:cs="Segoe UI"/>
          <w:color w:val="000000"/>
        </w:rPr>
        <w:t>B</w:t>
      </w:r>
      <w:r w:rsidRPr="001F4BFA">
        <w:rPr>
          <w:rFonts w:ascii="Segoe UI" w:hAnsi="Segoe UI" w:cs="Segoe UI"/>
          <w:color w:val="000000"/>
        </w:rPr>
        <w:t>的容灾集群，配合数据库的跨区域同步（如</w:t>
      </w:r>
      <w:proofErr w:type="spellStart"/>
      <w:r w:rsidRPr="001F4BFA">
        <w:rPr>
          <w:rFonts w:ascii="Segoe UI" w:hAnsi="Segoe UI" w:cs="Segoe UI"/>
          <w:color w:val="000000"/>
        </w:rPr>
        <w:t>PolarDB</w:t>
      </w:r>
      <w:proofErr w:type="spellEnd"/>
      <w:r w:rsidRPr="001F4BFA">
        <w:rPr>
          <w:rFonts w:ascii="Segoe UI" w:hAnsi="Segoe UI" w:cs="Segoe UI"/>
          <w:color w:val="000000"/>
        </w:rPr>
        <w:t>的全球数据库网络</w:t>
      </w:r>
      <w:r w:rsidRPr="001F4BFA">
        <w:rPr>
          <w:rFonts w:ascii="Segoe UI" w:hAnsi="Segoe UI" w:cs="Segoe UI"/>
          <w:color w:val="000000"/>
        </w:rPr>
        <w:t>GDN</w:t>
      </w:r>
      <w:r w:rsidRPr="001F4BFA">
        <w:rPr>
          <w:rFonts w:ascii="Segoe UI" w:hAnsi="Segoe UI" w:cs="Segoe UI"/>
          <w:color w:val="000000"/>
        </w:rPr>
        <w:t>），确保业务</w:t>
      </w:r>
      <w:r w:rsidRPr="001F4BFA">
        <w:rPr>
          <w:rFonts w:ascii="Segoe UI" w:hAnsi="Segoe UI" w:cs="Segoe UI"/>
          <w:color w:val="000000"/>
        </w:rPr>
        <w:t>RTO</w:t>
      </w:r>
      <w:r w:rsidRPr="001F4BFA">
        <w:rPr>
          <w:rFonts w:ascii="Segoe UI" w:hAnsi="Segoe UI" w:cs="Segoe UI"/>
          <w:color w:val="000000"/>
        </w:rPr>
        <w:t>（恢复时间目标）</w:t>
      </w:r>
      <w:r w:rsidRPr="001F4BFA">
        <w:rPr>
          <w:rFonts w:ascii="Segoe UI" w:hAnsi="Segoe UI" w:cs="Segoe UI"/>
          <w:color w:val="000000"/>
        </w:rPr>
        <w:t>≤15</w:t>
      </w:r>
      <w:r w:rsidRPr="001F4BFA">
        <w:rPr>
          <w:rFonts w:ascii="Segoe UI" w:hAnsi="Segoe UI" w:cs="Segoe UI"/>
          <w:color w:val="000000"/>
        </w:rPr>
        <w:t>分钟、</w:t>
      </w:r>
      <w:r w:rsidRPr="001F4BFA">
        <w:rPr>
          <w:rFonts w:ascii="Segoe UI" w:hAnsi="Segoe UI" w:cs="Segoe UI"/>
          <w:color w:val="000000"/>
        </w:rPr>
        <w:t>RPO</w:t>
      </w:r>
      <w:r w:rsidRPr="001F4BFA">
        <w:rPr>
          <w:rFonts w:ascii="Segoe UI" w:hAnsi="Segoe UI" w:cs="Segoe UI"/>
          <w:color w:val="000000"/>
        </w:rPr>
        <w:t>（恢复点目标）</w:t>
      </w:r>
      <w:r w:rsidRPr="001F4BFA">
        <w:rPr>
          <w:rFonts w:ascii="Segoe UI" w:hAnsi="Segoe UI" w:cs="Segoe UI"/>
          <w:color w:val="000000"/>
        </w:rPr>
        <w:t>≤5</w:t>
      </w:r>
      <w:r w:rsidRPr="001F4BFA">
        <w:rPr>
          <w:rFonts w:ascii="Segoe UI" w:hAnsi="Segoe UI" w:cs="Segoe UI"/>
          <w:color w:val="000000"/>
        </w:rPr>
        <w:t>分钟。</w:t>
      </w:r>
    </w:p>
    <w:p w14:paraId="2B8E6C5C" w14:textId="769216DE"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lastRenderedPageBreak/>
        <w:t>负载均衡场景中，架构通过</w:t>
      </w:r>
      <w:r w:rsidRPr="001F4BFA">
        <w:rPr>
          <w:rFonts w:ascii="Segoe UI" w:hAnsi="Segoe UI" w:cs="Segoe UI"/>
          <w:color w:val="000000"/>
        </w:rPr>
        <w:t>ELB</w:t>
      </w:r>
      <w:r w:rsidRPr="001F4BFA">
        <w:rPr>
          <w:rFonts w:ascii="Segoe UI" w:hAnsi="Segoe UI" w:cs="Segoe UI"/>
          <w:color w:val="000000"/>
        </w:rPr>
        <w:t>实现四层（</w:t>
      </w:r>
      <w:r w:rsidRPr="001F4BFA">
        <w:rPr>
          <w:rFonts w:ascii="Segoe UI" w:hAnsi="Segoe UI" w:cs="Segoe UI"/>
          <w:color w:val="000000"/>
        </w:rPr>
        <w:t>TCP/UDP</w:t>
      </w:r>
      <w:r w:rsidRPr="001F4BFA">
        <w:rPr>
          <w:rFonts w:ascii="Segoe UI" w:hAnsi="Segoe UI" w:cs="Segoe UI"/>
          <w:color w:val="000000"/>
        </w:rPr>
        <w:t>）与七层（</w:t>
      </w:r>
      <w:r w:rsidRPr="001F4BFA">
        <w:rPr>
          <w:rFonts w:ascii="Segoe UI" w:hAnsi="Segoe UI" w:cs="Segoe UI"/>
          <w:color w:val="000000"/>
        </w:rPr>
        <w:t>HTTP/HTTPS</w:t>
      </w:r>
      <w:r w:rsidRPr="001F4BFA">
        <w:rPr>
          <w:rFonts w:ascii="Segoe UI" w:hAnsi="Segoe UI" w:cs="Segoe UI"/>
          <w:color w:val="000000"/>
        </w:rPr>
        <w:t>）流量分发：生产域对外服务采用多可用区公网</w:t>
      </w:r>
      <w:r w:rsidRPr="001F4BFA">
        <w:rPr>
          <w:rFonts w:ascii="Segoe UI" w:hAnsi="Segoe UI" w:cs="Segoe UI"/>
          <w:color w:val="000000"/>
        </w:rPr>
        <w:t>/</w:t>
      </w:r>
      <w:r w:rsidRPr="001F4BFA">
        <w:rPr>
          <w:rFonts w:ascii="Segoe UI" w:hAnsi="Segoe UI" w:cs="Segoe UI"/>
          <w:color w:val="000000"/>
        </w:rPr>
        <w:t>私网一体化</w:t>
      </w:r>
      <w:r w:rsidRPr="001F4BFA">
        <w:rPr>
          <w:rFonts w:ascii="Segoe UI" w:hAnsi="Segoe UI" w:cs="Segoe UI"/>
          <w:color w:val="000000"/>
        </w:rPr>
        <w:t>ELB</w:t>
      </w:r>
      <w:r w:rsidRPr="001F4BFA">
        <w:rPr>
          <w:rFonts w:ascii="Segoe UI" w:hAnsi="Segoe UI" w:cs="Segoe UI"/>
          <w:color w:val="000000"/>
        </w:rPr>
        <w:t>，支持跨可用区的流量负载与故障转移；内部服务则通过私网</w:t>
      </w:r>
      <w:r w:rsidRPr="001F4BFA">
        <w:rPr>
          <w:rFonts w:ascii="Segoe UI" w:hAnsi="Segoe UI" w:cs="Segoe UI"/>
          <w:color w:val="000000"/>
        </w:rPr>
        <w:t>ELB</w:t>
      </w:r>
      <w:r w:rsidRPr="001F4BFA">
        <w:rPr>
          <w:rFonts w:ascii="Segoe UI" w:hAnsi="Segoe UI" w:cs="Segoe UI"/>
          <w:color w:val="000000"/>
        </w:rPr>
        <w:t>实现微服务间的流量调度。</w:t>
      </w:r>
      <w:r w:rsidRPr="001F4BFA">
        <w:rPr>
          <w:rFonts w:ascii="Segoe UI" w:hAnsi="Segoe UI" w:cs="Segoe UI"/>
          <w:color w:val="000000"/>
        </w:rPr>
        <w:t>ELB</w:t>
      </w:r>
      <w:r w:rsidRPr="001F4BFA">
        <w:rPr>
          <w:rFonts w:ascii="Segoe UI" w:hAnsi="Segoe UI" w:cs="Segoe UI"/>
          <w:color w:val="000000"/>
        </w:rPr>
        <w:t>集群采用</w:t>
      </w:r>
      <w:proofErr w:type="spellStart"/>
      <w:r w:rsidRPr="001F4BFA">
        <w:rPr>
          <w:rFonts w:ascii="Segoe UI" w:hAnsi="Segoe UI" w:cs="Segoe UI"/>
          <w:color w:val="000000"/>
        </w:rPr>
        <w:t>LVS+Keepalived</w:t>
      </w:r>
      <w:proofErr w:type="spellEnd"/>
      <w:r w:rsidRPr="001F4BFA">
        <w:rPr>
          <w:rFonts w:ascii="Segoe UI" w:hAnsi="Segoe UI" w:cs="Segoe UI"/>
          <w:color w:val="000000"/>
        </w:rPr>
        <w:t>架构，结合健康检查机制，自动隔离异常后端</w:t>
      </w:r>
      <w:r w:rsidRPr="001F4BFA">
        <w:rPr>
          <w:rFonts w:ascii="Segoe UI" w:hAnsi="Segoe UI" w:cs="Segoe UI"/>
          <w:color w:val="000000"/>
        </w:rPr>
        <w:t>ECS</w:t>
      </w:r>
      <w:r w:rsidRPr="001F4BFA">
        <w:rPr>
          <w:rFonts w:ascii="Segoe UI" w:hAnsi="Segoe UI" w:cs="Segoe UI"/>
          <w:color w:val="000000"/>
        </w:rPr>
        <w:t>实例，保障服务可用性达</w:t>
      </w:r>
      <w:r w:rsidRPr="001F4BFA">
        <w:rPr>
          <w:rFonts w:ascii="Segoe UI" w:hAnsi="Segoe UI" w:cs="Segoe UI"/>
          <w:color w:val="000000"/>
        </w:rPr>
        <w:t>99.99%</w:t>
      </w:r>
      <w:r w:rsidRPr="001F4BFA">
        <w:rPr>
          <w:rFonts w:ascii="Segoe UI" w:hAnsi="Segoe UI" w:cs="Segoe UI"/>
          <w:color w:val="000000"/>
        </w:rPr>
        <w:t>。此外，针对大促等流量峰值场景，</w:t>
      </w:r>
      <w:r w:rsidRPr="001F4BFA">
        <w:rPr>
          <w:rFonts w:ascii="Segoe UI" w:hAnsi="Segoe UI" w:cs="Segoe UI"/>
          <w:color w:val="000000"/>
        </w:rPr>
        <w:t>ELB</w:t>
      </w:r>
      <w:r w:rsidRPr="001F4BFA">
        <w:rPr>
          <w:rFonts w:ascii="Segoe UI" w:hAnsi="Segoe UI" w:cs="Segoe UI"/>
          <w:color w:val="000000"/>
        </w:rPr>
        <w:t>与</w:t>
      </w:r>
      <w:r w:rsidRPr="001F4BFA">
        <w:rPr>
          <w:rFonts w:ascii="Segoe UI" w:hAnsi="Segoe UI" w:cs="Segoe UI"/>
          <w:color w:val="000000"/>
        </w:rPr>
        <w:t>ECS</w:t>
      </w:r>
      <w:r w:rsidRPr="001F4BFA">
        <w:rPr>
          <w:rFonts w:ascii="Segoe UI" w:hAnsi="Segoe UI" w:cs="Segoe UI"/>
          <w:color w:val="000000"/>
        </w:rPr>
        <w:t>弹性伸缩联动，实现流量的动态分发与资源扩容。</w:t>
      </w:r>
    </w:p>
    <w:p w14:paraId="2939C611" w14:textId="46EF2DF7" w:rsid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数据备份场景依托</w:t>
      </w:r>
      <w:r w:rsidRPr="001F4BFA">
        <w:rPr>
          <w:rFonts w:ascii="Segoe UI" w:hAnsi="Segoe UI" w:cs="Segoe UI"/>
          <w:color w:val="000000"/>
        </w:rPr>
        <w:t>OSS</w:t>
      </w:r>
      <w:r w:rsidRPr="001F4BFA">
        <w:rPr>
          <w:rFonts w:ascii="Segoe UI" w:hAnsi="Segoe UI" w:cs="Segoe UI"/>
          <w:color w:val="000000"/>
        </w:rPr>
        <w:t>的跨区域复制（</w:t>
      </w:r>
      <w:r w:rsidRPr="001F4BFA">
        <w:rPr>
          <w:rFonts w:ascii="Segoe UI" w:hAnsi="Segoe UI" w:cs="Segoe UI"/>
          <w:color w:val="000000"/>
        </w:rPr>
        <w:t>Cross-</w:t>
      </w:r>
      <w:proofErr w:type="spellStart"/>
      <w:r w:rsidRPr="001F4BFA">
        <w:rPr>
          <w:rFonts w:ascii="Segoe UI" w:hAnsi="Segoe UI" w:cs="Segoe UI"/>
          <w:color w:val="000000"/>
        </w:rPr>
        <w:t>RegionReplication</w:t>
      </w:r>
      <w:proofErr w:type="spellEnd"/>
      <w:r w:rsidRPr="001F4BFA">
        <w:rPr>
          <w:rFonts w:ascii="Segoe UI" w:hAnsi="Segoe UI" w:cs="Segoe UI"/>
          <w:color w:val="000000"/>
        </w:rPr>
        <w:t>）与版本控制能力，将北京可用区</w:t>
      </w:r>
      <w:r w:rsidRPr="001F4BFA">
        <w:rPr>
          <w:rFonts w:ascii="Segoe UI" w:hAnsi="Segoe UI" w:cs="Segoe UI"/>
          <w:color w:val="000000"/>
        </w:rPr>
        <w:t>A</w:t>
      </w:r>
      <w:r w:rsidRPr="001F4BFA">
        <w:rPr>
          <w:rFonts w:ascii="Segoe UI" w:hAnsi="Segoe UI" w:cs="Segoe UI"/>
          <w:color w:val="000000"/>
        </w:rPr>
        <w:t>的日志、快照数据异步复制至上海可用区</w:t>
      </w:r>
      <w:r w:rsidRPr="001F4BFA">
        <w:rPr>
          <w:rFonts w:ascii="Segoe UI" w:hAnsi="Segoe UI" w:cs="Segoe UI"/>
          <w:color w:val="000000"/>
        </w:rPr>
        <w:t>B</w:t>
      </w:r>
      <w:r w:rsidRPr="001F4BFA">
        <w:rPr>
          <w:rFonts w:ascii="Segoe UI" w:hAnsi="Segoe UI" w:cs="Segoe UI"/>
          <w:color w:val="000000"/>
        </w:rPr>
        <w:t>的</w:t>
      </w:r>
      <w:r w:rsidRPr="001F4BFA">
        <w:rPr>
          <w:rFonts w:ascii="Segoe UI" w:hAnsi="Segoe UI" w:cs="Segoe UI"/>
          <w:color w:val="000000"/>
        </w:rPr>
        <w:t>OSS</w:t>
      </w:r>
      <w:r w:rsidRPr="001F4BFA">
        <w:rPr>
          <w:rFonts w:ascii="Segoe UI" w:hAnsi="Segoe UI" w:cs="Segoe UI"/>
          <w:color w:val="000000"/>
        </w:rPr>
        <w:t>桶，形成异地备份副本。同时，通过</w:t>
      </w:r>
      <w:r w:rsidRPr="001F4BFA">
        <w:rPr>
          <w:rFonts w:ascii="Segoe UI" w:hAnsi="Segoe UI" w:cs="Segoe UI"/>
          <w:color w:val="000000"/>
        </w:rPr>
        <w:t>OSS</w:t>
      </w:r>
      <w:r w:rsidRPr="001F4BFA">
        <w:rPr>
          <w:rFonts w:ascii="Segoe UI" w:hAnsi="Segoe UI" w:cs="Segoe UI"/>
          <w:color w:val="000000"/>
        </w:rPr>
        <w:t>定时备份功能与云备份（</w:t>
      </w:r>
      <w:proofErr w:type="spellStart"/>
      <w:r w:rsidRPr="001F4BFA">
        <w:rPr>
          <w:rFonts w:ascii="Segoe UI" w:hAnsi="Segoe UI" w:cs="Segoe UI"/>
          <w:color w:val="000000"/>
        </w:rPr>
        <w:t>CloudBackup</w:t>
      </w:r>
      <w:proofErr w:type="spellEnd"/>
      <w:r w:rsidRPr="001F4BFA">
        <w:rPr>
          <w:rFonts w:ascii="Segoe UI" w:hAnsi="Segoe UI" w:cs="Segoe UI"/>
          <w:color w:val="000000"/>
        </w:rPr>
        <w:t>）服务，实现数据的定期归档与快速恢复；数据库则利用</w:t>
      </w:r>
      <w:r w:rsidRPr="001F4BFA">
        <w:rPr>
          <w:rFonts w:ascii="Segoe UI" w:hAnsi="Segoe UI" w:cs="Segoe UI"/>
          <w:color w:val="000000"/>
        </w:rPr>
        <w:t>RDS</w:t>
      </w:r>
      <w:r w:rsidRPr="001F4BFA">
        <w:rPr>
          <w:rFonts w:ascii="Segoe UI" w:hAnsi="Segoe UI" w:cs="Segoe UI"/>
          <w:color w:val="000000"/>
        </w:rPr>
        <w:t>的自动备份策略，结合</w:t>
      </w:r>
      <w:r w:rsidRPr="001F4BFA">
        <w:rPr>
          <w:rFonts w:ascii="Segoe UI" w:hAnsi="Segoe UI" w:cs="Segoe UI"/>
          <w:color w:val="000000"/>
        </w:rPr>
        <w:t>DTS</w:t>
      </w:r>
      <w:r w:rsidRPr="001F4BFA">
        <w:rPr>
          <w:rFonts w:ascii="Segoe UI" w:hAnsi="Segoe UI" w:cs="Segoe UI"/>
          <w:color w:val="000000"/>
        </w:rPr>
        <w:t>的实时同步，构建</w:t>
      </w:r>
      <w:r w:rsidRPr="001F4BFA">
        <w:rPr>
          <w:rFonts w:ascii="Segoe UI" w:hAnsi="Segoe UI" w:cs="Segoe UI"/>
          <w:color w:val="000000"/>
        </w:rPr>
        <w:t>“</w:t>
      </w:r>
      <w:r w:rsidRPr="001F4BFA">
        <w:rPr>
          <w:rFonts w:ascii="Segoe UI" w:hAnsi="Segoe UI" w:cs="Segoe UI"/>
          <w:color w:val="000000"/>
        </w:rPr>
        <w:t>增量备份</w:t>
      </w:r>
      <w:r w:rsidRPr="001F4BFA">
        <w:rPr>
          <w:rFonts w:ascii="Segoe UI" w:hAnsi="Segoe UI" w:cs="Segoe UI"/>
          <w:color w:val="000000"/>
        </w:rPr>
        <w:t>+</w:t>
      </w:r>
      <w:r w:rsidRPr="001F4BFA">
        <w:rPr>
          <w:rFonts w:ascii="Segoe UI" w:hAnsi="Segoe UI" w:cs="Segoe UI"/>
          <w:color w:val="000000"/>
        </w:rPr>
        <w:t>全量备份</w:t>
      </w:r>
      <w:r w:rsidRPr="001F4BFA">
        <w:rPr>
          <w:rFonts w:ascii="Segoe UI" w:hAnsi="Segoe UI" w:cs="Segoe UI"/>
          <w:color w:val="000000"/>
        </w:rPr>
        <w:t>+</w:t>
      </w:r>
      <w:r w:rsidRPr="001F4BFA">
        <w:rPr>
          <w:rFonts w:ascii="Segoe UI" w:hAnsi="Segoe UI" w:cs="Segoe UI"/>
          <w:color w:val="000000"/>
        </w:rPr>
        <w:t>实时同步</w:t>
      </w:r>
      <w:r w:rsidRPr="001F4BFA">
        <w:rPr>
          <w:rFonts w:ascii="Segoe UI" w:hAnsi="Segoe UI" w:cs="Segoe UI"/>
          <w:color w:val="000000"/>
        </w:rPr>
        <w:t>”</w:t>
      </w:r>
      <w:r w:rsidRPr="001F4BFA">
        <w:rPr>
          <w:rFonts w:ascii="Segoe UI" w:hAnsi="Segoe UI" w:cs="Segoe UI"/>
          <w:color w:val="000000"/>
        </w:rPr>
        <w:t>的多层数据保护体系，满足不同业务对数据恢复点的需求。</w:t>
      </w:r>
    </w:p>
    <w:p w14:paraId="2A94292C" w14:textId="5F2EA092"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Pr>
          <w:rFonts w:ascii="Segoe UI" w:hAnsi="Segoe UI" w:cs="Segoe UI" w:hint="eastAsia"/>
          <w:color w:val="000000"/>
        </w:rPr>
        <w:t>总之，</w:t>
      </w:r>
      <w:r w:rsidRPr="001F4BFA">
        <w:rPr>
          <w:rFonts w:ascii="Segoe UI" w:hAnsi="Segoe UI" w:cs="Segoe UI" w:hint="eastAsia"/>
          <w:color w:val="000000"/>
        </w:rPr>
        <w:t>该混合云架构通过华为云</w:t>
      </w:r>
      <w:r w:rsidRPr="001F4BFA">
        <w:rPr>
          <w:rFonts w:ascii="Segoe UI" w:hAnsi="Segoe UI" w:cs="Segoe UI"/>
          <w:color w:val="000000"/>
        </w:rPr>
        <w:t>Stack</w:t>
      </w:r>
      <w:r w:rsidRPr="001F4BFA">
        <w:rPr>
          <w:rFonts w:ascii="Segoe UI" w:hAnsi="Segoe UI" w:cs="Segoe UI"/>
          <w:color w:val="000000"/>
        </w:rPr>
        <w:t>与公有云的技术同源性，实现管理平面的统一化与标准化</w:t>
      </w:r>
      <w:r>
        <w:rPr>
          <w:rFonts w:ascii="Segoe UI" w:hAnsi="Segoe UI" w:cs="Segoe UI" w:hint="eastAsia"/>
          <w:color w:val="000000"/>
        </w:rPr>
        <w:t>。</w:t>
      </w:r>
      <w:r w:rsidRPr="001F4BFA">
        <w:rPr>
          <w:rFonts w:ascii="Segoe UI" w:hAnsi="Segoe UI" w:cs="Segoe UI"/>
          <w:color w:val="000000"/>
        </w:rPr>
        <w:t>企业可通过华为云管理控制台（</w:t>
      </w:r>
      <w:r w:rsidRPr="001F4BFA">
        <w:rPr>
          <w:rFonts w:ascii="Segoe UI" w:hAnsi="Segoe UI" w:cs="Segoe UI"/>
          <w:color w:val="000000"/>
        </w:rPr>
        <w:t>Console</w:t>
      </w:r>
      <w:r w:rsidRPr="001F4BFA">
        <w:rPr>
          <w:rFonts w:ascii="Segoe UI" w:hAnsi="Segoe UI" w:cs="Segoe UI"/>
          <w:color w:val="000000"/>
        </w:rPr>
        <w:t>）或</w:t>
      </w:r>
      <w:r w:rsidRPr="001F4BFA">
        <w:rPr>
          <w:rFonts w:ascii="Segoe UI" w:hAnsi="Segoe UI" w:cs="Segoe UI"/>
          <w:color w:val="000000"/>
        </w:rPr>
        <w:t>API</w:t>
      </w:r>
      <w:r w:rsidRPr="001F4BFA">
        <w:rPr>
          <w:rFonts w:ascii="Segoe UI" w:hAnsi="Segoe UI" w:cs="Segoe UI"/>
          <w:color w:val="000000"/>
        </w:rPr>
        <w:t>接口，对混合云资源进行统一监控、调度与运维，降低多云管理复杂度。网络层面采用华为云</w:t>
      </w:r>
      <w:r w:rsidRPr="001F4BFA">
        <w:rPr>
          <w:rFonts w:ascii="Segoe UI" w:hAnsi="Segoe UI" w:cs="Segoe UI"/>
          <w:color w:val="000000"/>
        </w:rPr>
        <w:t>VPC</w:t>
      </w:r>
      <w:r w:rsidRPr="001F4BFA">
        <w:rPr>
          <w:rFonts w:ascii="Segoe UI" w:hAnsi="Segoe UI" w:cs="Segoe UI"/>
          <w:color w:val="000000"/>
        </w:rPr>
        <w:t>（虚拟私有云）实现隔离与互通，通过安全组、网络</w:t>
      </w:r>
      <w:r w:rsidRPr="001F4BFA">
        <w:rPr>
          <w:rFonts w:ascii="Segoe UI" w:hAnsi="Segoe UI" w:cs="Segoe UI"/>
          <w:color w:val="000000"/>
        </w:rPr>
        <w:t>ACL</w:t>
      </w:r>
      <w:r w:rsidRPr="001F4BFA">
        <w:rPr>
          <w:rFonts w:ascii="Segoe UI" w:hAnsi="Segoe UI" w:cs="Segoe UI"/>
          <w:color w:val="000000"/>
        </w:rPr>
        <w:t>（访问控制列表）及专线冗余机制，保障混合云环境的网络安全与高可用性。整体架构在技术适配性上，既兼容企业现有</w:t>
      </w:r>
      <w:r w:rsidRPr="001F4BFA">
        <w:rPr>
          <w:rFonts w:ascii="Segoe UI" w:hAnsi="Segoe UI" w:cs="Segoe UI"/>
          <w:color w:val="000000"/>
        </w:rPr>
        <w:t>IT</w:t>
      </w:r>
      <w:r w:rsidRPr="001F4BFA">
        <w:rPr>
          <w:rFonts w:ascii="Segoe UI" w:hAnsi="Segoe UI" w:cs="Segoe UI"/>
          <w:color w:val="000000"/>
        </w:rPr>
        <w:t>资产（如自建</w:t>
      </w:r>
      <w:r w:rsidRPr="001F4BFA">
        <w:rPr>
          <w:rFonts w:ascii="Segoe UI" w:hAnsi="Segoe UI" w:cs="Segoe UI"/>
          <w:color w:val="000000"/>
        </w:rPr>
        <w:t>IDC</w:t>
      </w:r>
      <w:r w:rsidRPr="001F4BFA">
        <w:rPr>
          <w:rFonts w:ascii="Segoe UI" w:hAnsi="Segoe UI" w:cs="Segoe UI"/>
          <w:color w:val="000000"/>
        </w:rPr>
        <w:t>、传统应用），又支持云原生技术（容器、微服务）的平滑迁移，为企业数字化转型提供可持续演进的</w:t>
      </w:r>
      <w:r w:rsidRPr="001F4BFA">
        <w:rPr>
          <w:rFonts w:ascii="Segoe UI" w:hAnsi="Segoe UI" w:cs="Segoe UI" w:hint="eastAsia"/>
          <w:color w:val="000000"/>
        </w:rPr>
        <w:t>技术底座。</w:t>
      </w:r>
    </w:p>
    <w:p w14:paraId="1B954EFA" w14:textId="19C60B48" w:rsidR="008B6551" w:rsidRDefault="008B6551" w:rsidP="008B6551">
      <w:pPr>
        <w:pStyle w:val="4"/>
        <w:shd w:val="clear" w:color="auto" w:fill="F9FAFB"/>
        <w:rPr>
          <w:rFonts w:ascii="Segoe UI" w:hAnsi="Segoe UI" w:cs="Segoe UI"/>
          <w:color w:val="000000"/>
        </w:rPr>
      </w:pPr>
      <w:r>
        <w:rPr>
          <w:rFonts w:ascii="Segoe UI" w:hAnsi="Segoe UI" w:cs="Segoe UI"/>
          <w:color w:val="000000"/>
        </w:rPr>
        <w:t>混合云资源部署方案</w:t>
      </w:r>
    </w:p>
    <w:p w14:paraId="4A038FA8" w14:textId="5DAB8BC4" w:rsidR="008B6551" w:rsidRDefault="008B6551" w:rsidP="008B6551">
      <w:pPr>
        <w:pStyle w:val="5"/>
        <w:shd w:val="clear" w:color="auto" w:fill="F9FAFB"/>
        <w:rPr>
          <w:rFonts w:ascii="Segoe UI" w:hAnsi="Segoe UI" w:cs="Segoe UI"/>
          <w:color w:val="000000"/>
        </w:rPr>
      </w:pPr>
      <w:r>
        <w:rPr>
          <w:rFonts w:ascii="Segoe UI" w:hAnsi="Segoe UI" w:cs="Segoe UI"/>
          <w:color w:val="000000"/>
        </w:rPr>
        <w:t>区域与可用区规划</w:t>
      </w:r>
    </w:p>
    <w:p w14:paraId="7205AEA0" w14:textId="03E264EE"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混合云架构的区域与可用区规划以业务本地化需求为核心导向，结合华为云全球基础设施布局与企业核心业务场景特性，构建高效、安全的资源部署体系。在区域选择上，优先考量北京、上海等华为云核心</w:t>
      </w:r>
      <w:r w:rsidRPr="00E23FB0">
        <w:rPr>
          <w:rFonts w:ascii="Segoe UI" w:hAnsi="Segoe UI" w:cs="Segoe UI"/>
          <w:color w:val="000000"/>
        </w:rPr>
        <w:t>Region</w:t>
      </w:r>
      <w:r w:rsidRPr="00E23FB0">
        <w:rPr>
          <w:rFonts w:ascii="Segoe UI" w:hAnsi="Segoe UI" w:cs="Segoe UI"/>
          <w:color w:val="000000"/>
        </w:rPr>
        <w:t>，因其具备覆盖全国的网络节点、完善的合规认证体系及高密度的基础设施集群，能够满足企业对数据主权、低延迟访问及容灾备份的多重需求。例如，北京</w:t>
      </w:r>
      <w:r w:rsidRPr="00E23FB0">
        <w:rPr>
          <w:rFonts w:ascii="Segoe UI" w:hAnsi="Segoe UI" w:cs="Segoe UI"/>
          <w:color w:val="000000"/>
        </w:rPr>
        <w:t>Region</w:t>
      </w:r>
      <w:r w:rsidRPr="00E23FB0">
        <w:rPr>
          <w:rFonts w:ascii="Segoe UI" w:hAnsi="Segoe UI" w:cs="Segoe UI"/>
          <w:color w:val="000000"/>
        </w:rPr>
        <w:t>作为国内重要的业务枢纽，可承载企业核心生产系统部署，满足北方地区用户的就近访问需求；上海</w:t>
      </w:r>
      <w:r w:rsidRPr="00E23FB0">
        <w:rPr>
          <w:rFonts w:ascii="Segoe UI" w:hAnsi="Segoe UI" w:cs="Segoe UI"/>
          <w:color w:val="000000"/>
        </w:rPr>
        <w:t>Region</w:t>
      </w:r>
      <w:r w:rsidRPr="00E23FB0">
        <w:rPr>
          <w:rFonts w:ascii="Segoe UI" w:hAnsi="Segoe UI" w:cs="Segoe UI"/>
          <w:color w:val="000000"/>
        </w:rPr>
        <w:t>则依托长三角经济带的技术生态，为企业提供异地容灾与弹性扩展的</w:t>
      </w:r>
      <w:r w:rsidRPr="00E23FB0">
        <w:rPr>
          <w:rFonts w:ascii="Segoe UI" w:hAnsi="Segoe UI" w:cs="Segoe UI" w:hint="eastAsia"/>
          <w:color w:val="000000"/>
        </w:rPr>
        <w:t>资源支撑。区域选择的核心逻辑在于确保所选</w:t>
      </w:r>
      <w:r w:rsidRPr="00E23FB0">
        <w:rPr>
          <w:rFonts w:ascii="Segoe UI" w:hAnsi="Segoe UI" w:cs="Segoe UI"/>
          <w:color w:val="000000"/>
        </w:rPr>
        <w:t>Region</w:t>
      </w:r>
      <w:r w:rsidRPr="00E23FB0">
        <w:rPr>
          <w:rFonts w:ascii="Segoe UI" w:hAnsi="Segoe UI" w:cs="Segoe UI"/>
          <w:color w:val="000000"/>
        </w:rPr>
        <w:t>完全覆盖当前业务使用的华为云产品及待迁移的第三方云服务（如</w:t>
      </w:r>
      <w:r w:rsidRPr="00E23FB0">
        <w:rPr>
          <w:rFonts w:ascii="Segoe UI" w:hAnsi="Segoe UI" w:cs="Segoe UI"/>
          <w:color w:val="000000"/>
        </w:rPr>
        <w:t>AWS</w:t>
      </w:r>
      <w:r w:rsidRPr="00E23FB0">
        <w:rPr>
          <w:rFonts w:ascii="Segoe UI" w:hAnsi="Segoe UI" w:cs="Segoe UI"/>
          <w:color w:val="000000"/>
        </w:rPr>
        <w:t>）对应组件，避免因产品兼容性问题导致的迁移风险，以北京可用区</w:t>
      </w:r>
      <w:r w:rsidRPr="00E23FB0">
        <w:rPr>
          <w:rFonts w:ascii="Segoe UI" w:hAnsi="Segoe UI" w:cs="Segoe UI"/>
          <w:color w:val="000000"/>
        </w:rPr>
        <w:t>A</w:t>
      </w:r>
      <w:r w:rsidRPr="00E23FB0">
        <w:rPr>
          <w:rFonts w:ascii="Segoe UI" w:hAnsi="Segoe UI" w:cs="Segoe UI"/>
          <w:color w:val="000000"/>
        </w:rPr>
        <w:t>为例，其产品矩阵已包含</w:t>
      </w:r>
      <w:proofErr w:type="spellStart"/>
      <w:r w:rsidRPr="00E23FB0">
        <w:rPr>
          <w:rFonts w:ascii="Segoe UI" w:hAnsi="Segoe UI" w:cs="Segoe UI"/>
          <w:color w:val="000000"/>
        </w:rPr>
        <w:t>Ameco</w:t>
      </w:r>
      <w:proofErr w:type="spellEnd"/>
      <w:r w:rsidRPr="00E23FB0">
        <w:rPr>
          <w:rFonts w:ascii="Segoe UI" w:hAnsi="Segoe UI" w:cs="Segoe UI"/>
          <w:color w:val="000000"/>
        </w:rPr>
        <w:t>业务系统所需的计算、存储、网络及安全组件，为后续平滑迁移奠定基础。</w:t>
      </w:r>
    </w:p>
    <w:p w14:paraId="5F0936C5" w14:textId="6841109D"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在可用区部署模式上，采用</w:t>
      </w:r>
      <w:r w:rsidRPr="00E23FB0">
        <w:rPr>
          <w:rFonts w:ascii="Segoe UI" w:hAnsi="Segoe UI" w:cs="Segoe UI"/>
          <w:color w:val="000000"/>
        </w:rPr>
        <w:t>“</w:t>
      </w:r>
      <w:r w:rsidRPr="00E23FB0">
        <w:rPr>
          <w:rFonts w:ascii="Segoe UI" w:hAnsi="Segoe UI" w:cs="Segoe UI"/>
          <w:color w:val="000000"/>
        </w:rPr>
        <w:t>生产域与开发测试域隔离</w:t>
      </w:r>
      <w:r w:rsidRPr="00E23FB0">
        <w:rPr>
          <w:rFonts w:ascii="Segoe UI" w:hAnsi="Segoe UI" w:cs="Segoe UI"/>
          <w:color w:val="000000"/>
        </w:rPr>
        <w:t>”</w:t>
      </w:r>
      <w:r w:rsidRPr="00E23FB0">
        <w:rPr>
          <w:rFonts w:ascii="Segoe UI" w:hAnsi="Segoe UI" w:cs="Segoe UI"/>
          <w:color w:val="000000"/>
        </w:rPr>
        <w:t>的架构设计，以提升系统稳定性与开发效率。以北京可用区</w:t>
      </w:r>
      <w:r w:rsidRPr="00E23FB0">
        <w:rPr>
          <w:rFonts w:ascii="Segoe UI" w:hAnsi="Segoe UI" w:cs="Segoe UI"/>
          <w:color w:val="000000"/>
        </w:rPr>
        <w:t>A</w:t>
      </w:r>
      <w:r w:rsidRPr="00E23FB0">
        <w:rPr>
          <w:rFonts w:ascii="Segoe UI" w:hAnsi="Segoe UI" w:cs="Segoe UI"/>
          <w:color w:val="000000"/>
        </w:rPr>
        <w:t>为例，其内部进一步划分为独立的生产域与开发测试域：生产域承载核心业务系统运行，通过多可用区公网</w:t>
      </w:r>
      <w:r w:rsidRPr="00E23FB0">
        <w:rPr>
          <w:rFonts w:ascii="Segoe UI" w:hAnsi="Segoe UI" w:cs="Segoe UI"/>
          <w:color w:val="000000"/>
        </w:rPr>
        <w:t>/</w:t>
      </w:r>
      <w:r w:rsidRPr="00E23FB0">
        <w:rPr>
          <w:rFonts w:ascii="Segoe UI" w:hAnsi="Segoe UI" w:cs="Segoe UI"/>
          <w:color w:val="000000"/>
        </w:rPr>
        <w:t>私网一体化负载均衡（</w:t>
      </w:r>
      <w:r w:rsidRPr="00E23FB0">
        <w:rPr>
          <w:rFonts w:ascii="Segoe UI" w:hAnsi="Segoe UI" w:cs="Segoe UI"/>
          <w:color w:val="000000"/>
        </w:rPr>
        <w:t>ELB</w:t>
      </w:r>
      <w:r w:rsidRPr="00E23FB0">
        <w:rPr>
          <w:rFonts w:ascii="Segoe UI" w:hAnsi="Segoe UI" w:cs="Segoe UI"/>
          <w:color w:val="000000"/>
        </w:rPr>
        <w:t>）实现对外服务的流量分发，同时整合应用服务器集群、数据库服务及对象存储（</w:t>
      </w:r>
      <w:r w:rsidRPr="00E23FB0">
        <w:rPr>
          <w:rFonts w:ascii="Segoe UI" w:hAnsi="Segoe UI" w:cs="Segoe UI"/>
          <w:color w:val="000000"/>
        </w:rPr>
        <w:t>OSS</w:t>
      </w:r>
      <w:r w:rsidRPr="00E23FB0">
        <w:rPr>
          <w:rFonts w:ascii="Segoe UI" w:hAnsi="Segoe UI" w:cs="Segoe UI"/>
          <w:color w:val="000000"/>
        </w:rPr>
        <w:t>）构建高可用架构，确保业务连续性；开发测试域则作为独立的资源沙箱，用于应用迭代开发、测试及容灾演练，该域可根据企业当前业务流量规模选择性建设</w:t>
      </w:r>
      <w:r w:rsidRPr="00E23FB0">
        <w:rPr>
          <w:rFonts w:ascii="Segoe UI" w:hAnsi="Segoe UI" w:cs="Segoe UI"/>
          <w:color w:val="000000"/>
        </w:rPr>
        <w:t>——</w:t>
      </w:r>
      <w:r w:rsidRPr="00E23FB0">
        <w:rPr>
          <w:rFonts w:ascii="Segoe UI" w:hAnsi="Segoe UI" w:cs="Segoe UI"/>
          <w:color w:val="000000"/>
        </w:rPr>
        <w:t>当业务流量较小时，可暂缓开发测试域部署以控制成本</w:t>
      </w:r>
      <w:r w:rsidRPr="00E23FB0">
        <w:rPr>
          <w:rFonts w:ascii="Segoe UI" w:hAnsi="Segoe UI" w:cs="Segoe UI" w:hint="eastAsia"/>
          <w:color w:val="000000"/>
        </w:rPr>
        <w:t>，待业务扩展后再行启动，从而实现资源的弹性配置。此外，上海可用区</w:t>
      </w:r>
      <w:r w:rsidRPr="00E23FB0">
        <w:rPr>
          <w:rFonts w:ascii="Segoe UI" w:hAnsi="Segoe UI" w:cs="Segoe UI"/>
          <w:color w:val="000000"/>
        </w:rPr>
        <w:t>B</w:t>
      </w:r>
      <w:r w:rsidRPr="00E23FB0">
        <w:rPr>
          <w:rFonts w:ascii="Segoe UI" w:hAnsi="Segoe UI" w:cs="Segoe UI"/>
          <w:color w:val="000000"/>
        </w:rPr>
        <w:t>作为异地容灾区域，仅部署生产域以简化架构复杂度，其建设模式与北京可用区</w:t>
      </w:r>
      <w:r w:rsidRPr="00E23FB0">
        <w:rPr>
          <w:rFonts w:ascii="Segoe UI" w:hAnsi="Segoe UI" w:cs="Segoe UI"/>
          <w:color w:val="000000"/>
        </w:rPr>
        <w:t>A</w:t>
      </w:r>
      <w:r w:rsidRPr="00E23FB0">
        <w:rPr>
          <w:rFonts w:ascii="Segoe UI" w:hAnsi="Segoe UI" w:cs="Segoe UI"/>
          <w:color w:val="000000"/>
        </w:rPr>
        <w:t>的生产域</w:t>
      </w:r>
      <w:r w:rsidRPr="00E23FB0">
        <w:rPr>
          <w:rFonts w:ascii="Segoe UI" w:hAnsi="Segoe UI" w:cs="Segoe UI"/>
          <w:color w:val="000000"/>
        </w:rPr>
        <w:lastRenderedPageBreak/>
        <w:t>完全一致，通过专线与北京</w:t>
      </w:r>
      <w:r w:rsidRPr="00E23FB0">
        <w:rPr>
          <w:rFonts w:ascii="Segoe UI" w:hAnsi="Segoe UI" w:cs="Segoe UI"/>
          <w:color w:val="000000"/>
        </w:rPr>
        <w:t>Region</w:t>
      </w:r>
      <w:r w:rsidRPr="00E23FB0">
        <w:rPr>
          <w:rFonts w:ascii="Segoe UI" w:hAnsi="Segoe UI" w:cs="Segoe UI"/>
          <w:color w:val="000000"/>
        </w:rPr>
        <w:t>互联，形成</w:t>
      </w:r>
      <w:r w:rsidRPr="00E23FB0">
        <w:rPr>
          <w:rFonts w:ascii="Segoe UI" w:hAnsi="Segoe UI" w:cs="Segoe UI"/>
          <w:color w:val="000000"/>
        </w:rPr>
        <w:t>“</w:t>
      </w:r>
      <w:r w:rsidRPr="00E23FB0">
        <w:rPr>
          <w:rFonts w:ascii="Segoe UI" w:hAnsi="Segoe UI" w:cs="Segoe UI"/>
          <w:color w:val="000000"/>
        </w:rPr>
        <w:t>同城</w:t>
      </w:r>
      <w:r w:rsidRPr="00E23FB0">
        <w:rPr>
          <w:rFonts w:ascii="Segoe UI" w:hAnsi="Segoe UI" w:cs="Segoe UI"/>
          <w:color w:val="000000"/>
        </w:rPr>
        <w:t>+</w:t>
      </w:r>
      <w:r w:rsidRPr="00E23FB0">
        <w:rPr>
          <w:rFonts w:ascii="Segoe UI" w:hAnsi="Segoe UI" w:cs="Segoe UI"/>
          <w:color w:val="000000"/>
        </w:rPr>
        <w:t>异地</w:t>
      </w:r>
      <w:r w:rsidRPr="00E23FB0">
        <w:rPr>
          <w:rFonts w:ascii="Segoe UI" w:hAnsi="Segoe UI" w:cs="Segoe UI"/>
          <w:color w:val="000000"/>
        </w:rPr>
        <w:t>”</w:t>
      </w:r>
      <w:r w:rsidRPr="00E23FB0">
        <w:rPr>
          <w:rFonts w:ascii="Segoe UI" w:hAnsi="Segoe UI" w:cs="Segoe UI"/>
          <w:color w:val="000000"/>
        </w:rPr>
        <w:t>的多层容灾体系。可用区之间通过华为云智能流量调度（</w:t>
      </w:r>
      <w:r w:rsidRPr="00E23FB0">
        <w:rPr>
          <w:rFonts w:ascii="Segoe UI" w:hAnsi="Segoe UI" w:cs="Segoe UI"/>
          <w:color w:val="000000"/>
        </w:rPr>
        <w:t>GTM</w:t>
      </w:r>
      <w:r w:rsidRPr="00E23FB0">
        <w:rPr>
          <w:rFonts w:ascii="Segoe UI" w:hAnsi="Segoe UI" w:cs="Segoe UI"/>
          <w:color w:val="000000"/>
        </w:rPr>
        <w:t>）与全局</w:t>
      </w:r>
      <w:r w:rsidRPr="00E23FB0">
        <w:rPr>
          <w:rFonts w:ascii="Segoe UI" w:hAnsi="Segoe UI" w:cs="Segoe UI"/>
          <w:color w:val="000000"/>
        </w:rPr>
        <w:t>DNS</w:t>
      </w:r>
      <w:r w:rsidRPr="00E23FB0">
        <w:rPr>
          <w:rFonts w:ascii="Segoe UI" w:hAnsi="Segoe UI" w:cs="Segoe UI"/>
          <w:color w:val="000000"/>
        </w:rPr>
        <w:t>联动，实现故障时的流量自动切换，确保单可用区故障时业务不中断。</w:t>
      </w:r>
    </w:p>
    <w:p w14:paraId="0B633023" w14:textId="20C49507" w:rsidR="008B6551"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该规划方案严格遵循</w:t>
      </w:r>
      <w:r w:rsidRPr="00E23FB0">
        <w:rPr>
          <w:rFonts w:ascii="Segoe UI" w:hAnsi="Segoe UI" w:cs="Segoe UI"/>
          <w:color w:val="000000"/>
        </w:rPr>
        <w:t>“</w:t>
      </w:r>
      <w:r w:rsidRPr="00E23FB0">
        <w:rPr>
          <w:rFonts w:ascii="Segoe UI" w:hAnsi="Segoe UI" w:cs="Segoe UI"/>
          <w:color w:val="000000"/>
        </w:rPr>
        <w:t>业务连续性优先、资源效率最大化</w:t>
      </w:r>
      <w:r w:rsidRPr="00E23FB0">
        <w:rPr>
          <w:rFonts w:ascii="Segoe UI" w:hAnsi="Segoe UI" w:cs="Segoe UI"/>
          <w:color w:val="000000"/>
        </w:rPr>
        <w:t>”</w:t>
      </w:r>
      <w:r w:rsidRPr="00E23FB0">
        <w:rPr>
          <w:rFonts w:ascii="Segoe UI" w:hAnsi="Segoe UI" w:cs="Segoe UI"/>
          <w:color w:val="000000"/>
        </w:rPr>
        <w:t>原则，通过区域与可用区的分层设计，既满足了核心业务对高可用性的</w:t>
      </w:r>
      <w:r w:rsidR="006C6F6D" w:rsidRPr="006C6F6D">
        <w:rPr>
          <w:rFonts w:ascii="Segoe UI" w:hAnsi="Segoe UI" w:cs="Segoe UI"/>
          <w:b/>
          <w:color w:val="000000"/>
        </w:rPr>
        <w:t>招标文件要求</w:t>
      </w:r>
      <w:r w:rsidRPr="00E23FB0">
        <w:rPr>
          <w:rFonts w:ascii="Segoe UI" w:hAnsi="Segoe UI" w:cs="Segoe UI"/>
          <w:color w:val="000000"/>
        </w:rPr>
        <w:t>，又为开发测试提供了灵活的资源空间。例如，生产域内的负载均衡组件不仅承担本地业务流量分发，还负责北京与上海可用区之间的异地容灾流量调度，而开发测试域则可复用生产域的存储与网络架构，降低资源重复投入。同时，区域与可用区的选择充分考虑了数据合规性</w:t>
      </w:r>
      <w:r w:rsidR="006C6F6D" w:rsidRPr="006C6F6D">
        <w:rPr>
          <w:rFonts w:ascii="Segoe UI" w:hAnsi="Segoe UI" w:cs="Segoe UI"/>
          <w:b/>
          <w:color w:val="000000"/>
        </w:rPr>
        <w:t>招标文件要求</w:t>
      </w:r>
      <w:r w:rsidRPr="00E23FB0">
        <w:rPr>
          <w:rFonts w:ascii="Segoe UI" w:hAnsi="Segoe UI" w:cs="Segoe UI"/>
          <w:color w:val="000000"/>
        </w:rPr>
        <w:t>，确保敏感数据存储于国内合规</w:t>
      </w:r>
      <w:r w:rsidRPr="00E23FB0">
        <w:rPr>
          <w:rFonts w:ascii="Segoe UI" w:hAnsi="Segoe UI" w:cs="Segoe UI"/>
          <w:color w:val="000000"/>
        </w:rPr>
        <w:t>Region</w:t>
      </w:r>
      <w:r w:rsidRPr="00E23FB0">
        <w:rPr>
          <w:rFonts w:ascii="Segoe UI" w:hAnsi="Segoe UI" w:cs="Segoe UI"/>
          <w:color w:val="000000"/>
        </w:rPr>
        <w:t>，且通过可用区隔离实现开发测试与生产环境的逻辑隔离，有效避免测试操作对生产业务的影响，提升整体架构的安</w:t>
      </w:r>
      <w:r w:rsidRPr="00E23FB0">
        <w:rPr>
          <w:rFonts w:ascii="Segoe UI" w:hAnsi="Segoe UI" w:cs="Segoe UI" w:hint="eastAsia"/>
          <w:color w:val="000000"/>
        </w:rPr>
        <w:t>全性与可靠性。</w:t>
      </w:r>
    </w:p>
    <w:p w14:paraId="773A56A6" w14:textId="191DCA67" w:rsidR="008B6551" w:rsidRDefault="008B6551" w:rsidP="008B6551">
      <w:pPr>
        <w:pStyle w:val="5"/>
        <w:shd w:val="clear" w:color="auto" w:fill="F9FAFB"/>
        <w:rPr>
          <w:rFonts w:ascii="Segoe UI" w:hAnsi="Segoe UI" w:cs="Segoe UI"/>
          <w:color w:val="000000"/>
        </w:rPr>
      </w:pPr>
      <w:r>
        <w:rPr>
          <w:rFonts w:ascii="Segoe UI" w:hAnsi="Segoe UI" w:cs="Segoe UI"/>
          <w:color w:val="000000"/>
        </w:rPr>
        <w:t>资源池建设方案</w:t>
      </w:r>
    </w:p>
    <w:p w14:paraId="33614E08" w14:textId="607E73A1"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混合云架构的资源池建设以生产域为核心，结合开发测试域的弹性配置与全生命周期资源管理策略，构建高效、灵活的资源调度体系。生产域作为核心业务运行的载体，其资源配置严格遵循高可用性与容灾设计原则：弹性负载均衡</w:t>
      </w:r>
      <w:r w:rsidRPr="00E23FB0">
        <w:rPr>
          <w:rFonts w:ascii="Segoe UI" w:hAnsi="Segoe UI" w:cs="Segoe UI"/>
          <w:color w:val="000000"/>
        </w:rPr>
        <w:t>ELB</w:t>
      </w:r>
      <w:r w:rsidRPr="00E23FB0">
        <w:rPr>
          <w:rFonts w:ascii="Segoe UI" w:hAnsi="Segoe UI" w:cs="Segoe UI"/>
          <w:color w:val="000000"/>
        </w:rPr>
        <w:t>采用多可用区公网</w:t>
      </w:r>
      <w:r w:rsidRPr="00E23FB0">
        <w:rPr>
          <w:rFonts w:ascii="Segoe UI" w:hAnsi="Segoe UI" w:cs="Segoe UI"/>
          <w:color w:val="000000"/>
        </w:rPr>
        <w:t>/</w:t>
      </w:r>
      <w:r w:rsidRPr="00E23FB0">
        <w:rPr>
          <w:rFonts w:ascii="Segoe UI" w:hAnsi="Segoe UI" w:cs="Segoe UI"/>
          <w:color w:val="000000"/>
        </w:rPr>
        <w:t>私网一体化架构，既承担对外服务的流量分发任务，又通过跨可用区的负载均衡能力实现异地容灾调度。例如，</w:t>
      </w:r>
      <w:r w:rsidRPr="00E23FB0">
        <w:rPr>
          <w:rFonts w:ascii="Segoe UI" w:hAnsi="Segoe UI" w:cs="Segoe UI"/>
          <w:color w:val="000000"/>
        </w:rPr>
        <w:t>ELB</w:t>
      </w:r>
      <w:r w:rsidRPr="00E23FB0">
        <w:rPr>
          <w:rFonts w:ascii="Segoe UI" w:hAnsi="Segoe UI" w:cs="Segoe UI"/>
          <w:color w:val="000000"/>
        </w:rPr>
        <w:t>可将北京可用区</w:t>
      </w:r>
      <w:r w:rsidRPr="00E23FB0">
        <w:rPr>
          <w:rFonts w:ascii="Segoe UI" w:hAnsi="Segoe UI" w:cs="Segoe UI"/>
          <w:color w:val="000000"/>
        </w:rPr>
        <w:t>A</w:t>
      </w:r>
      <w:r w:rsidRPr="00E23FB0">
        <w:rPr>
          <w:rFonts w:ascii="Segoe UI" w:hAnsi="Segoe UI" w:cs="Segoe UI"/>
          <w:color w:val="000000"/>
        </w:rPr>
        <w:t>的生产域业务流量均匀分发至后端应用服务器集群，同时与上海可用区</w:t>
      </w:r>
      <w:r w:rsidRPr="00E23FB0">
        <w:rPr>
          <w:rFonts w:ascii="Segoe UI" w:hAnsi="Segoe UI" w:cs="Segoe UI"/>
          <w:color w:val="000000"/>
        </w:rPr>
        <w:t>B</w:t>
      </w:r>
      <w:r w:rsidRPr="00E23FB0">
        <w:rPr>
          <w:rFonts w:ascii="Segoe UI" w:hAnsi="Segoe UI" w:cs="Segoe UI"/>
          <w:color w:val="000000"/>
        </w:rPr>
        <w:t>的容灾</w:t>
      </w:r>
      <w:r w:rsidRPr="00E23FB0">
        <w:rPr>
          <w:rFonts w:ascii="Segoe UI" w:hAnsi="Segoe UI" w:cs="Segoe UI"/>
          <w:color w:val="000000"/>
        </w:rPr>
        <w:t>ELB</w:t>
      </w:r>
      <w:r w:rsidRPr="00E23FB0">
        <w:rPr>
          <w:rFonts w:ascii="Segoe UI" w:hAnsi="Segoe UI" w:cs="Segoe UI"/>
          <w:color w:val="000000"/>
        </w:rPr>
        <w:t>联动，通过全局</w:t>
      </w:r>
      <w:r w:rsidRPr="00E23FB0">
        <w:rPr>
          <w:rFonts w:ascii="Segoe UI" w:hAnsi="Segoe UI" w:cs="Segoe UI"/>
          <w:color w:val="000000"/>
        </w:rPr>
        <w:t>DNS</w:t>
      </w:r>
      <w:r w:rsidRPr="00E23FB0">
        <w:rPr>
          <w:rFonts w:ascii="Segoe UI" w:hAnsi="Segoe UI" w:cs="Segoe UI"/>
          <w:color w:val="000000"/>
        </w:rPr>
        <w:t>解析实现故障时的流量切换。该</w:t>
      </w:r>
      <w:r w:rsidRPr="00E23FB0">
        <w:rPr>
          <w:rFonts w:ascii="Segoe UI" w:hAnsi="Segoe UI" w:cs="Segoe UI"/>
          <w:color w:val="000000"/>
        </w:rPr>
        <w:t>ELB</w:t>
      </w:r>
      <w:r w:rsidRPr="00E23FB0">
        <w:rPr>
          <w:rFonts w:ascii="Segoe UI" w:hAnsi="Segoe UI" w:cs="Segoe UI"/>
          <w:color w:val="000000"/>
        </w:rPr>
        <w:t>架构支</w:t>
      </w:r>
      <w:r w:rsidRPr="00E23FB0">
        <w:rPr>
          <w:rFonts w:ascii="Segoe UI" w:hAnsi="Segoe UI" w:cs="Segoe UI" w:hint="eastAsia"/>
          <w:color w:val="000000"/>
        </w:rPr>
        <w:t>持四层（</w:t>
      </w:r>
      <w:r w:rsidRPr="00E23FB0">
        <w:rPr>
          <w:rFonts w:ascii="Segoe UI" w:hAnsi="Segoe UI" w:cs="Segoe UI"/>
          <w:color w:val="000000"/>
        </w:rPr>
        <w:t>TCP/UDP</w:t>
      </w:r>
      <w:r w:rsidRPr="00E23FB0">
        <w:rPr>
          <w:rFonts w:ascii="Segoe UI" w:hAnsi="Segoe UI" w:cs="Segoe UI"/>
          <w:color w:val="000000"/>
        </w:rPr>
        <w:t>）与七层（</w:t>
      </w:r>
      <w:r w:rsidRPr="00E23FB0">
        <w:rPr>
          <w:rFonts w:ascii="Segoe UI" w:hAnsi="Segoe UI" w:cs="Segoe UI"/>
          <w:color w:val="000000"/>
        </w:rPr>
        <w:t>HTTP/HTTPS</w:t>
      </w:r>
      <w:r w:rsidRPr="00E23FB0">
        <w:rPr>
          <w:rFonts w:ascii="Segoe UI" w:hAnsi="Segoe UI" w:cs="Segoe UI"/>
          <w:color w:val="000000"/>
        </w:rPr>
        <w:t>）协议转发，结合健康检查机制自动隔离异常节点，保障服务可用性达</w:t>
      </w:r>
      <w:r w:rsidRPr="00E23FB0">
        <w:rPr>
          <w:rFonts w:ascii="Segoe UI" w:hAnsi="Segoe UI" w:cs="Segoe UI"/>
          <w:color w:val="000000"/>
        </w:rPr>
        <w:t>99.99%</w:t>
      </w:r>
      <w:r w:rsidRPr="00E23FB0">
        <w:rPr>
          <w:rFonts w:ascii="Segoe UI" w:hAnsi="Segoe UI" w:cs="Segoe UI"/>
          <w:color w:val="000000"/>
        </w:rPr>
        <w:t>。</w:t>
      </w:r>
    </w:p>
    <w:p w14:paraId="36FB5EB3" w14:textId="00E64E7E"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应用服务器集群基于华为云</w:t>
      </w:r>
      <w:r w:rsidRPr="00E23FB0">
        <w:rPr>
          <w:rFonts w:ascii="Segoe UI" w:hAnsi="Segoe UI" w:cs="Segoe UI"/>
          <w:color w:val="000000"/>
        </w:rPr>
        <w:t>ECS</w:t>
      </w:r>
      <w:r w:rsidRPr="00E23FB0">
        <w:rPr>
          <w:rFonts w:ascii="Segoe UI" w:hAnsi="Segoe UI" w:cs="Segoe UI"/>
          <w:color w:val="000000"/>
        </w:rPr>
        <w:t>构建，采用</w:t>
      </w:r>
      <w:r w:rsidRPr="00E23FB0">
        <w:rPr>
          <w:rFonts w:ascii="Segoe UI" w:hAnsi="Segoe UI" w:cs="Segoe UI"/>
          <w:color w:val="000000"/>
        </w:rPr>
        <w:t>“</w:t>
      </w:r>
      <w:r w:rsidRPr="00E23FB0">
        <w:rPr>
          <w:rFonts w:ascii="Segoe UI" w:hAnsi="Segoe UI" w:cs="Segoe UI"/>
          <w:color w:val="000000"/>
        </w:rPr>
        <w:t>多可用区部署</w:t>
      </w:r>
      <w:r w:rsidRPr="00E23FB0">
        <w:rPr>
          <w:rFonts w:ascii="Segoe UI" w:hAnsi="Segoe UI" w:cs="Segoe UI"/>
          <w:color w:val="000000"/>
        </w:rPr>
        <w:t>+</w:t>
      </w:r>
      <w:r w:rsidRPr="00E23FB0">
        <w:rPr>
          <w:rFonts w:ascii="Segoe UI" w:hAnsi="Segoe UI" w:cs="Segoe UI"/>
          <w:color w:val="000000"/>
        </w:rPr>
        <w:t>副本冗余</w:t>
      </w:r>
      <w:r w:rsidRPr="00E23FB0">
        <w:rPr>
          <w:rFonts w:ascii="Segoe UI" w:hAnsi="Segoe UI" w:cs="Segoe UI"/>
          <w:color w:val="000000"/>
        </w:rPr>
        <w:t>”</w:t>
      </w:r>
      <w:r w:rsidRPr="00E23FB0">
        <w:rPr>
          <w:rFonts w:ascii="Segoe UI" w:hAnsi="Segoe UI" w:cs="Segoe UI"/>
          <w:color w:val="000000"/>
        </w:rPr>
        <w:t>的高可用架构。集群内</w:t>
      </w:r>
      <w:r w:rsidRPr="00E23FB0">
        <w:rPr>
          <w:rFonts w:ascii="Segoe UI" w:hAnsi="Segoe UI" w:cs="Segoe UI"/>
          <w:color w:val="000000"/>
        </w:rPr>
        <w:t>ECS</w:t>
      </w:r>
      <w:r w:rsidRPr="00E23FB0">
        <w:rPr>
          <w:rFonts w:ascii="Segoe UI" w:hAnsi="Segoe UI" w:cs="Segoe UI"/>
          <w:color w:val="000000"/>
        </w:rPr>
        <w:t>实例分布于不同可用区，通过虚拟私有云（</w:t>
      </w:r>
      <w:r w:rsidRPr="00E23FB0">
        <w:rPr>
          <w:rFonts w:ascii="Segoe UI" w:hAnsi="Segoe UI" w:cs="Segoe UI"/>
          <w:color w:val="000000"/>
        </w:rPr>
        <w:t>VPC</w:t>
      </w:r>
      <w:r w:rsidRPr="00E23FB0">
        <w:rPr>
          <w:rFonts w:ascii="Segoe UI" w:hAnsi="Segoe UI" w:cs="Segoe UI"/>
          <w:color w:val="000000"/>
        </w:rPr>
        <w:t>）实现网络隔离与互通，同时依托</w:t>
      </w:r>
      <w:r w:rsidRPr="00E23FB0">
        <w:rPr>
          <w:rFonts w:ascii="Segoe UI" w:hAnsi="Segoe UI" w:cs="Segoe UI"/>
          <w:color w:val="000000"/>
        </w:rPr>
        <w:t>ELB</w:t>
      </w:r>
      <w:r w:rsidRPr="00E23FB0">
        <w:rPr>
          <w:rFonts w:ascii="Segoe UI" w:hAnsi="Segoe UI" w:cs="Segoe UI"/>
          <w:color w:val="000000"/>
        </w:rPr>
        <w:t>实现流量的动态分发。以核心业务系统为例，前端</w:t>
      </w:r>
      <w:r w:rsidRPr="00E23FB0">
        <w:rPr>
          <w:rFonts w:ascii="Segoe UI" w:hAnsi="Segoe UI" w:cs="Segoe UI"/>
          <w:color w:val="000000"/>
        </w:rPr>
        <w:t>Web</w:t>
      </w:r>
      <w:r w:rsidRPr="00E23FB0">
        <w:rPr>
          <w:rFonts w:ascii="Segoe UI" w:hAnsi="Segoe UI" w:cs="Segoe UI"/>
          <w:color w:val="000000"/>
        </w:rPr>
        <w:t>服务、中间件与数据库分层部署于</w:t>
      </w:r>
      <w:r w:rsidRPr="00E23FB0">
        <w:rPr>
          <w:rFonts w:ascii="Segoe UI" w:hAnsi="Segoe UI" w:cs="Segoe UI"/>
          <w:color w:val="000000"/>
        </w:rPr>
        <w:t>ECS</w:t>
      </w:r>
      <w:r w:rsidRPr="00E23FB0">
        <w:rPr>
          <w:rFonts w:ascii="Segoe UI" w:hAnsi="Segoe UI" w:cs="Segoe UI"/>
          <w:color w:val="000000"/>
        </w:rPr>
        <w:t>集群，通过分布式架构避免单点故障；数据库节点采用主备模式，结合华为云数据复制服务实现实时同步，确保数据一致性。生产域资源配置还需结合业务流量特征进行精细化调优，例如金融类业务对低延迟</w:t>
      </w:r>
      <w:r w:rsidR="006C6F6D" w:rsidRPr="006C6F6D">
        <w:rPr>
          <w:rFonts w:ascii="Segoe UI" w:hAnsi="Segoe UI" w:cs="Segoe UI"/>
          <w:b/>
          <w:color w:val="000000"/>
        </w:rPr>
        <w:t>招标文件要求</w:t>
      </w:r>
      <w:r w:rsidRPr="00E23FB0">
        <w:rPr>
          <w:rFonts w:ascii="Segoe UI" w:hAnsi="Segoe UI" w:cs="Segoe UI"/>
          <w:color w:val="000000"/>
        </w:rPr>
        <w:t>较高，可选择计算优化型</w:t>
      </w:r>
      <w:r w:rsidRPr="00E23FB0">
        <w:rPr>
          <w:rFonts w:ascii="Segoe UI" w:hAnsi="Segoe UI" w:cs="Segoe UI"/>
          <w:color w:val="000000"/>
        </w:rPr>
        <w:t>ECS</w:t>
      </w:r>
      <w:r w:rsidRPr="00E23FB0">
        <w:rPr>
          <w:rFonts w:ascii="Segoe UI" w:hAnsi="Segoe UI" w:cs="Segoe UI"/>
          <w:color w:val="000000"/>
        </w:rPr>
        <w:t>实例并部</w:t>
      </w:r>
      <w:r w:rsidRPr="00E23FB0">
        <w:rPr>
          <w:rFonts w:ascii="Segoe UI" w:hAnsi="Segoe UI" w:cs="Segoe UI" w:hint="eastAsia"/>
          <w:color w:val="000000"/>
        </w:rPr>
        <w:t>署于同一可用区内，而电商类业务则可通过多可用区</w:t>
      </w:r>
      <w:r w:rsidRPr="00E23FB0">
        <w:rPr>
          <w:rFonts w:ascii="Segoe UI" w:hAnsi="Segoe UI" w:cs="Segoe UI"/>
          <w:color w:val="000000"/>
        </w:rPr>
        <w:t>ECS</w:t>
      </w:r>
      <w:r w:rsidRPr="00E23FB0">
        <w:rPr>
          <w:rFonts w:ascii="Segoe UI" w:hAnsi="Segoe UI" w:cs="Segoe UI"/>
          <w:color w:val="000000"/>
        </w:rPr>
        <w:t>集群承载流量峰值，提升资源利用效率。</w:t>
      </w:r>
    </w:p>
    <w:p w14:paraId="646CD20A" w14:textId="7BE60AA8"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开发测试域作为资源池的可选模块，为应用迭代、测试与容灾演练提供独立环境。该域可复用生产域的网络架构与存储资源，但通过安全组与</w:t>
      </w:r>
      <w:r w:rsidRPr="00E23FB0">
        <w:rPr>
          <w:rFonts w:ascii="Segoe UI" w:hAnsi="Segoe UI" w:cs="Segoe UI"/>
          <w:color w:val="000000"/>
        </w:rPr>
        <w:t>VPC</w:t>
      </w:r>
      <w:r w:rsidRPr="00E23FB0">
        <w:rPr>
          <w:rFonts w:ascii="Segoe UI" w:hAnsi="Segoe UI" w:cs="Segoe UI"/>
          <w:color w:val="000000"/>
        </w:rPr>
        <w:t>隔离实现环境隔离。企业可根据当前业务规模选择性建设：当业务流量较小时，开发测试域可暂缓部署以控制成本，仅在需求明确时启动；若业务迭代频繁，则可基于</w:t>
      </w:r>
      <w:r w:rsidRPr="00E23FB0">
        <w:rPr>
          <w:rFonts w:ascii="Segoe UI" w:hAnsi="Segoe UI" w:cs="Segoe UI"/>
          <w:color w:val="000000"/>
        </w:rPr>
        <w:t>ECS</w:t>
      </w:r>
      <w:r w:rsidRPr="00E23FB0">
        <w:rPr>
          <w:rFonts w:ascii="Segoe UI" w:hAnsi="Segoe UI" w:cs="Segoe UI"/>
          <w:color w:val="000000"/>
        </w:rPr>
        <w:t>构建轻量化集群，用于新功能验证与压力测试。例如，开发团队可在测试域中模拟生产环境流量，验证系统稳定性后再部署至生产域，降低变更风险。开发测试域的存储资源通常与生产域共享对象存储</w:t>
      </w:r>
      <w:r w:rsidRPr="00E23FB0">
        <w:rPr>
          <w:rFonts w:ascii="Segoe UI" w:hAnsi="Segoe UI" w:cs="Segoe UI"/>
          <w:color w:val="000000"/>
        </w:rPr>
        <w:t>OSS</w:t>
      </w:r>
      <w:r w:rsidRPr="00E23FB0">
        <w:rPr>
          <w:rFonts w:ascii="Segoe UI" w:hAnsi="Segoe UI" w:cs="Segoe UI"/>
          <w:color w:val="000000"/>
        </w:rPr>
        <w:t>，通过</w:t>
      </w:r>
      <w:r w:rsidRPr="00E23FB0">
        <w:rPr>
          <w:rFonts w:ascii="Segoe UI" w:hAnsi="Segoe UI" w:cs="Segoe UI"/>
          <w:color w:val="000000"/>
        </w:rPr>
        <w:t>Bucket</w:t>
      </w:r>
      <w:r w:rsidRPr="00E23FB0">
        <w:rPr>
          <w:rFonts w:ascii="Segoe UI" w:hAnsi="Segoe UI" w:cs="Segoe UI"/>
          <w:color w:val="000000"/>
        </w:rPr>
        <w:t>权限控制实现数据</w:t>
      </w:r>
      <w:r w:rsidRPr="00E23FB0">
        <w:rPr>
          <w:rFonts w:ascii="Segoe UI" w:hAnsi="Segoe UI" w:cs="Segoe UI" w:hint="eastAsia"/>
          <w:color w:val="000000"/>
        </w:rPr>
        <w:t>隔离，既保证资源复用，又避免测试操作影响生产数据。</w:t>
      </w:r>
    </w:p>
    <w:p w14:paraId="3DC2C1BE" w14:textId="49C6CDDC"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资源弹性伸缩策略是资源池动态管理的核心机制，通过横向与纵向扩展能力应对业务流量波动。横向伸缩基于华为云</w:t>
      </w:r>
      <w:proofErr w:type="spellStart"/>
      <w:r w:rsidRPr="00E23FB0">
        <w:rPr>
          <w:rFonts w:ascii="Segoe UI" w:hAnsi="Segoe UI" w:cs="Segoe UI"/>
          <w:color w:val="000000"/>
        </w:rPr>
        <w:t>AutoScaling</w:t>
      </w:r>
      <w:proofErr w:type="spellEnd"/>
      <w:r w:rsidRPr="00E23FB0">
        <w:rPr>
          <w:rFonts w:ascii="Segoe UI" w:hAnsi="Segoe UI" w:cs="Segoe UI"/>
          <w:color w:val="000000"/>
        </w:rPr>
        <w:t>服务，可根据</w:t>
      </w:r>
      <w:r w:rsidRPr="00E23FB0">
        <w:rPr>
          <w:rFonts w:ascii="Segoe UI" w:hAnsi="Segoe UI" w:cs="Segoe UI"/>
          <w:color w:val="000000"/>
        </w:rPr>
        <w:t>CPU</w:t>
      </w:r>
      <w:r w:rsidRPr="00E23FB0">
        <w:rPr>
          <w:rFonts w:ascii="Segoe UI" w:hAnsi="Segoe UI" w:cs="Segoe UI"/>
          <w:color w:val="000000"/>
        </w:rPr>
        <w:t>利用率、内存占用等指标自动添加或移除</w:t>
      </w:r>
      <w:r w:rsidRPr="00E23FB0">
        <w:rPr>
          <w:rFonts w:ascii="Segoe UI" w:hAnsi="Segoe UI" w:cs="Segoe UI"/>
          <w:color w:val="000000"/>
        </w:rPr>
        <w:t>ECS</w:t>
      </w:r>
      <w:r w:rsidRPr="00E23FB0">
        <w:rPr>
          <w:rFonts w:ascii="Segoe UI" w:hAnsi="Segoe UI" w:cs="Segoe UI"/>
          <w:color w:val="000000"/>
        </w:rPr>
        <w:t>实例：当业务流量峰值来临时，系统自动启动新</w:t>
      </w:r>
      <w:r w:rsidRPr="00E23FB0">
        <w:rPr>
          <w:rFonts w:ascii="Segoe UI" w:hAnsi="Segoe UI" w:cs="Segoe UI"/>
          <w:color w:val="000000"/>
        </w:rPr>
        <w:t>ECS</w:t>
      </w:r>
      <w:r w:rsidRPr="00E23FB0">
        <w:rPr>
          <w:rFonts w:ascii="Segoe UI" w:hAnsi="Segoe UI" w:cs="Segoe UI"/>
          <w:color w:val="000000"/>
        </w:rPr>
        <w:t>实例并注册至</w:t>
      </w:r>
      <w:r w:rsidRPr="00E23FB0">
        <w:rPr>
          <w:rFonts w:ascii="Segoe UI" w:hAnsi="Segoe UI" w:cs="Segoe UI"/>
          <w:color w:val="000000"/>
        </w:rPr>
        <w:t>ELB</w:t>
      </w:r>
      <w:r w:rsidRPr="00E23FB0">
        <w:rPr>
          <w:rFonts w:ascii="Segoe UI" w:hAnsi="Segoe UI" w:cs="Segoe UI"/>
          <w:color w:val="000000"/>
        </w:rPr>
        <w:t>后端，扩展服务容量；流量回落时，闲置实例自动释放，降低资源成本。纵向伸缩则通过</w:t>
      </w:r>
      <w:r w:rsidRPr="00E23FB0">
        <w:rPr>
          <w:rFonts w:ascii="Segoe UI" w:hAnsi="Segoe UI" w:cs="Segoe UI"/>
          <w:color w:val="000000"/>
        </w:rPr>
        <w:t>ECS</w:t>
      </w:r>
      <w:r w:rsidRPr="00E23FB0">
        <w:rPr>
          <w:rFonts w:ascii="Segoe UI" w:hAnsi="Segoe UI" w:cs="Segoe UI"/>
          <w:color w:val="000000"/>
        </w:rPr>
        <w:lastRenderedPageBreak/>
        <w:t>实例规格调整实现，支持在线升级</w:t>
      </w:r>
      <w:r w:rsidRPr="00E23FB0">
        <w:rPr>
          <w:rFonts w:ascii="Segoe UI" w:hAnsi="Segoe UI" w:cs="Segoe UI"/>
          <w:color w:val="000000"/>
        </w:rPr>
        <w:t>vCPU</w:t>
      </w:r>
      <w:r w:rsidRPr="00E23FB0">
        <w:rPr>
          <w:rFonts w:ascii="Segoe UI" w:hAnsi="Segoe UI" w:cs="Segoe UI"/>
          <w:color w:val="000000"/>
        </w:rPr>
        <w:t>、内存等配置，无需重启服务即可提升单节点处理能力，适用于突发流量且无法通过横向扩展快速响应的场景。例如，金融交易</w:t>
      </w:r>
      <w:r w:rsidRPr="00E23FB0">
        <w:rPr>
          <w:rFonts w:ascii="Segoe UI" w:hAnsi="Segoe UI" w:cs="Segoe UI" w:hint="eastAsia"/>
          <w:color w:val="000000"/>
        </w:rPr>
        <w:t>系统在季度结算期间可通过纵向伸缩临时提升数据库节点规格，保障高并发交易处理性能，结算完成后恢复至常规配置。</w:t>
      </w:r>
    </w:p>
    <w:p w14:paraId="3F545885" w14:textId="7FB847E3" w:rsidR="008B6551"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资源池建设还需结合成本优化与容灾需求进行综合设计：生产域资源采用</w:t>
      </w:r>
      <w:r w:rsidRPr="00E23FB0">
        <w:rPr>
          <w:rFonts w:ascii="Segoe UI" w:hAnsi="Segoe UI" w:cs="Segoe UI"/>
          <w:color w:val="000000"/>
        </w:rPr>
        <w:t>“</w:t>
      </w:r>
      <w:r w:rsidRPr="00E23FB0">
        <w:rPr>
          <w:rFonts w:ascii="Segoe UI" w:hAnsi="Segoe UI" w:cs="Segoe UI"/>
          <w:color w:val="000000"/>
        </w:rPr>
        <w:t>预留实例</w:t>
      </w:r>
      <w:r w:rsidRPr="00E23FB0">
        <w:rPr>
          <w:rFonts w:ascii="Segoe UI" w:hAnsi="Segoe UI" w:cs="Segoe UI"/>
          <w:color w:val="000000"/>
        </w:rPr>
        <w:t>+</w:t>
      </w:r>
      <w:r w:rsidRPr="00E23FB0">
        <w:rPr>
          <w:rFonts w:ascii="Segoe UI" w:hAnsi="Segoe UI" w:cs="Segoe UI"/>
          <w:color w:val="000000"/>
        </w:rPr>
        <w:t>按需实例</w:t>
      </w:r>
      <w:r w:rsidRPr="00E23FB0">
        <w:rPr>
          <w:rFonts w:ascii="Segoe UI" w:hAnsi="Segoe UI" w:cs="Segoe UI"/>
          <w:color w:val="000000"/>
        </w:rPr>
        <w:t>”</w:t>
      </w:r>
      <w:r w:rsidRPr="00E23FB0">
        <w:rPr>
          <w:rFonts w:ascii="Segoe UI" w:hAnsi="Segoe UI" w:cs="Segoe UI"/>
          <w:color w:val="000000"/>
        </w:rPr>
        <w:t>组合模式，核心业务使用预留实例锁定资源并降低成本，突发流量则通过按需实例弹性扩展；开发测试域可使用竞价实例进一步压缩成本，允许在资源紧张时被抢占，符合非核心业务的容错特性。此外，资源池与异地容灾区域（如上海可用区</w:t>
      </w:r>
      <w:r w:rsidRPr="00E23FB0">
        <w:rPr>
          <w:rFonts w:ascii="Segoe UI" w:hAnsi="Segoe UI" w:cs="Segoe UI"/>
          <w:color w:val="000000"/>
        </w:rPr>
        <w:t>B</w:t>
      </w:r>
      <w:r w:rsidRPr="00E23FB0">
        <w:rPr>
          <w:rFonts w:ascii="Segoe UI" w:hAnsi="Segoe UI" w:cs="Segoe UI"/>
          <w:color w:val="000000"/>
        </w:rPr>
        <w:t>）通过专线互联，生产域的</w:t>
      </w:r>
      <w:r w:rsidRPr="00E23FB0">
        <w:rPr>
          <w:rFonts w:ascii="Segoe UI" w:hAnsi="Segoe UI" w:cs="Segoe UI"/>
          <w:color w:val="000000"/>
        </w:rPr>
        <w:t>ECS</w:t>
      </w:r>
      <w:r w:rsidRPr="00E23FB0">
        <w:rPr>
          <w:rFonts w:ascii="Segoe UI" w:hAnsi="Segoe UI" w:cs="Segoe UI"/>
          <w:color w:val="000000"/>
        </w:rPr>
        <w:t>镜像、数据库快照可定期同步至容灾区域，确保故障时资源快速拉起，实现业务连续性与资源效率的平衡。</w:t>
      </w:r>
    </w:p>
    <w:p w14:paraId="21D4AB2D" w14:textId="26EA8FFC" w:rsidR="008B6551" w:rsidRDefault="008B6551" w:rsidP="008B6551">
      <w:pPr>
        <w:pStyle w:val="5"/>
        <w:shd w:val="clear" w:color="auto" w:fill="F9FAFB"/>
        <w:rPr>
          <w:rFonts w:ascii="Segoe UI" w:hAnsi="Segoe UI" w:cs="Segoe UI"/>
          <w:color w:val="000000"/>
        </w:rPr>
      </w:pPr>
      <w:r>
        <w:rPr>
          <w:rFonts w:ascii="Segoe UI" w:hAnsi="Segoe UI" w:cs="Segoe UI"/>
          <w:color w:val="000000"/>
        </w:rPr>
        <w:t>数据存储与备份方案</w:t>
      </w:r>
    </w:p>
    <w:p w14:paraId="624CA54E" w14:textId="1E6083A1"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混合云架构的数据存储与备份方案以华为云数据库服务、对象存储及专线互联技术为核心，构建多层级、高可靠的数据管理体系。在数据库服务层面，采用华为云</w:t>
      </w:r>
      <w:r w:rsidRPr="00877013">
        <w:rPr>
          <w:rFonts w:ascii="Segoe UI" w:hAnsi="Segoe UI" w:cs="Segoe UI"/>
          <w:color w:val="000000"/>
        </w:rPr>
        <w:t>RDS</w:t>
      </w:r>
      <w:r w:rsidRPr="00877013">
        <w:rPr>
          <w:rFonts w:ascii="Segoe UI" w:hAnsi="Segoe UI" w:cs="Segoe UI"/>
          <w:color w:val="000000"/>
        </w:rPr>
        <w:t>（</w:t>
      </w:r>
      <w:proofErr w:type="spellStart"/>
      <w:r w:rsidRPr="00877013">
        <w:rPr>
          <w:rFonts w:ascii="Segoe UI" w:hAnsi="Segoe UI" w:cs="Segoe UI"/>
          <w:color w:val="000000"/>
        </w:rPr>
        <w:t>RelationalDatabaseService</w:t>
      </w:r>
      <w:proofErr w:type="spellEnd"/>
      <w:r w:rsidRPr="00877013">
        <w:rPr>
          <w:rFonts w:ascii="Segoe UI" w:hAnsi="Segoe UI" w:cs="Segoe UI"/>
          <w:color w:val="000000"/>
        </w:rPr>
        <w:t>）</w:t>
      </w:r>
      <w:proofErr w:type="spellStart"/>
      <w:r w:rsidRPr="00877013">
        <w:rPr>
          <w:rFonts w:ascii="Segoe UI" w:hAnsi="Segoe UI" w:cs="Segoe UI"/>
          <w:color w:val="000000"/>
        </w:rPr>
        <w:t>forMySQL</w:t>
      </w:r>
      <w:proofErr w:type="spellEnd"/>
      <w:r w:rsidRPr="00877013">
        <w:rPr>
          <w:rFonts w:ascii="Segoe UI" w:hAnsi="Segoe UI" w:cs="Segoe UI"/>
          <w:color w:val="000000"/>
        </w:rPr>
        <w:t>/Oracle</w:t>
      </w:r>
      <w:r w:rsidRPr="00877013">
        <w:rPr>
          <w:rFonts w:ascii="Segoe UI" w:hAnsi="Segoe UI" w:cs="Segoe UI"/>
          <w:color w:val="000000"/>
        </w:rPr>
        <w:t>等主流数据库引擎，实现混合云环境下的数据高效存储与管理。</w:t>
      </w:r>
      <w:r w:rsidRPr="00877013">
        <w:rPr>
          <w:rFonts w:ascii="Segoe UI" w:hAnsi="Segoe UI" w:cs="Segoe UI"/>
          <w:color w:val="000000"/>
        </w:rPr>
        <w:t>RDS</w:t>
      </w:r>
      <w:r w:rsidRPr="00877013">
        <w:rPr>
          <w:rFonts w:ascii="Segoe UI" w:hAnsi="Segoe UI" w:cs="Segoe UI"/>
          <w:color w:val="000000"/>
        </w:rPr>
        <w:t>部署遵循</w:t>
      </w:r>
      <w:r w:rsidRPr="00877013">
        <w:rPr>
          <w:rFonts w:ascii="Segoe UI" w:hAnsi="Segoe UI" w:cs="Segoe UI"/>
          <w:color w:val="000000"/>
        </w:rPr>
        <w:t>“</w:t>
      </w:r>
      <w:r w:rsidRPr="00877013">
        <w:rPr>
          <w:rFonts w:ascii="Segoe UI" w:hAnsi="Segoe UI" w:cs="Segoe UI"/>
          <w:color w:val="000000"/>
        </w:rPr>
        <w:t>主备架构</w:t>
      </w:r>
      <w:r w:rsidRPr="00877013">
        <w:rPr>
          <w:rFonts w:ascii="Segoe UI" w:hAnsi="Segoe UI" w:cs="Segoe UI"/>
          <w:color w:val="000000"/>
        </w:rPr>
        <w:t>+</w:t>
      </w:r>
      <w:r w:rsidRPr="00877013">
        <w:rPr>
          <w:rFonts w:ascii="Segoe UI" w:hAnsi="Segoe UI" w:cs="Segoe UI"/>
          <w:color w:val="000000"/>
        </w:rPr>
        <w:t>多可用区</w:t>
      </w:r>
      <w:r w:rsidRPr="00877013">
        <w:rPr>
          <w:rFonts w:ascii="Segoe UI" w:hAnsi="Segoe UI" w:cs="Segoe UI"/>
          <w:color w:val="000000"/>
        </w:rPr>
        <w:t>”</w:t>
      </w:r>
      <w:r w:rsidRPr="00877013">
        <w:rPr>
          <w:rFonts w:ascii="Segoe UI" w:hAnsi="Segoe UI" w:cs="Segoe UI"/>
          <w:color w:val="000000"/>
        </w:rPr>
        <w:t>原则，例如在生产域北京可用区</w:t>
      </w:r>
      <w:r w:rsidRPr="00877013">
        <w:rPr>
          <w:rFonts w:ascii="Segoe UI" w:hAnsi="Segoe UI" w:cs="Segoe UI"/>
          <w:color w:val="000000"/>
        </w:rPr>
        <w:t>A</w:t>
      </w:r>
      <w:r w:rsidRPr="00877013">
        <w:rPr>
          <w:rFonts w:ascii="Segoe UI" w:hAnsi="Segoe UI" w:cs="Segoe UI"/>
          <w:color w:val="000000"/>
        </w:rPr>
        <w:t>部署主实例与跨可用区备实例，通过同步复制技术确保数据一致性，当主实例故障时，系统自动触发主备切换，</w:t>
      </w:r>
      <w:r w:rsidRPr="00877013">
        <w:rPr>
          <w:rFonts w:ascii="Segoe UI" w:hAnsi="Segoe UI" w:cs="Segoe UI"/>
          <w:color w:val="000000"/>
        </w:rPr>
        <w:t>RTO</w:t>
      </w:r>
      <w:r w:rsidRPr="00877013">
        <w:rPr>
          <w:rFonts w:ascii="Segoe UI" w:hAnsi="Segoe UI" w:cs="Segoe UI"/>
          <w:color w:val="000000"/>
        </w:rPr>
        <w:t>（恢复时间目标）控制在</w:t>
      </w:r>
      <w:r w:rsidRPr="00877013">
        <w:rPr>
          <w:rFonts w:ascii="Segoe UI" w:hAnsi="Segoe UI" w:cs="Segoe UI"/>
          <w:color w:val="000000"/>
        </w:rPr>
        <w:t>30</w:t>
      </w:r>
      <w:r w:rsidRPr="00877013">
        <w:rPr>
          <w:rFonts w:ascii="Segoe UI" w:hAnsi="Segoe UI" w:cs="Segoe UI" w:hint="eastAsia"/>
          <w:color w:val="000000"/>
        </w:rPr>
        <w:t>秒内。针对企业核心业务，可进一步结合华为云</w:t>
      </w:r>
      <w:proofErr w:type="spellStart"/>
      <w:r w:rsidRPr="00877013">
        <w:rPr>
          <w:rFonts w:ascii="Segoe UI" w:hAnsi="Segoe UI" w:cs="Segoe UI"/>
          <w:color w:val="000000"/>
        </w:rPr>
        <w:t>PolarDB</w:t>
      </w:r>
      <w:proofErr w:type="spellEnd"/>
      <w:r w:rsidRPr="00877013">
        <w:rPr>
          <w:rFonts w:ascii="Segoe UI" w:hAnsi="Segoe UI" w:cs="Segoe UI"/>
          <w:color w:val="000000"/>
        </w:rPr>
        <w:t>分布式数据库，利用其全球数据库网络</w:t>
      </w:r>
      <w:r w:rsidRPr="00877013">
        <w:rPr>
          <w:rFonts w:ascii="Segoe UI" w:hAnsi="Segoe UI" w:cs="Segoe UI"/>
          <w:color w:val="000000"/>
        </w:rPr>
        <w:t>GDN</w:t>
      </w:r>
      <w:r w:rsidRPr="00877013">
        <w:rPr>
          <w:rFonts w:ascii="Segoe UI" w:hAnsi="Segoe UI" w:cs="Segoe UI"/>
          <w:color w:val="000000"/>
        </w:rPr>
        <w:t>能力，实现跨地域（如北京与上海）的实时数据同步，满足异地容灾与多活业务需求。</w:t>
      </w:r>
      <w:r w:rsidRPr="00877013">
        <w:rPr>
          <w:rFonts w:ascii="Segoe UI" w:hAnsi="Segoe UI" w:cs="Segoe UI"/>
          <w:color w:val="000000"/>
        </w:rPr>
        <w:t>RDS</w:t>
      </w:r>
      <w:r w:rsidRPr="00877013">
        <w:rPr>
          <w:rFonts w:ascii="Segoe UI" w:hAnsi="Segoe UI" w:cs="Segoe UI"/>
          <w:color w:val="000000"/>
        </w:rPr>
        <w:t>还提供自动化运维能力，包括数据库参数智能优化、性能监控及安全漏洞修复，降低企业数据库管理复杂度。</w:t>
      </w:r>
    </w:p>
    <w:p w14:paraId="316E945A" w14:textId="1D1E6B5C"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存储与备份架构采用华为云对象存储</w:t>
      </w:r>
      <w:r w:rsidRPr="00877013">
        <w:rPr>
          <w:rFonts w:ascii="Segoe UI" w:hAnsi="Segoe UI" w:cs="Segoe UI"/>
          <w:color w:val="000000"/>
        </w:rPr>
        <w:t>OBS</w:t>
      </w:r>
      <w:r w:rsidRPr="00877013">
        <w:rPr>
          <w:rFonts w:ascii="Segoe UI" w:hAnsi="Segoe UI" w:cs="Segoe UI"/>
          <w:color w:val="000000"/>
        </w:rPr>
        <w:t>（</w:t>
      </w:r>
      <w:proofErr w:type="spellStart"/>
      <w:r w:rsidRPr="00877013">
        <w:rPr>
          <w:rFonts w:ascii="Segoe UI" w:hAnsi="Segoe UI" w:cs="Segoe UI"/>
          <w:color w:val="000000"/>
        </w:rPr>
        <w:t>ObjectStorageService</w:t>
      </w:r>
      <w:proofErr w:type="spellEnd"/>
      <w:r w:rsidRPr="00877013">
        <w:rPr>
          <w:rFonts w:ascii="Segoe UI" w:hAnsi="Segoe UI" w:cs="Segoe UI"/>
          <w:color w:val="000000"/>
        </w:rPr>
        <w:t>）作为核心载体，构建日志、快照等非结构化数据的统一存储与备份体系。</w:t>
      </w:r>
      <w:r w:rsidRPr="00877013">
        <w:rPr>
          <w:rFonts w:ascii="Segoe UI" w:hAnsi="Segoe UI" w:cs="Segoe UI"/>
          <w:color w:val="000000"/>
        </w:rPr>
        <w:t>OBS</w:t>
      </w:r>
      <w:r w:rsidRPr="00877013">
        <w:rPr>
          <w:rFonts w:ascii="Segoe UI" w:hAnsi="Segoe UI" w:cs="Segoe UI"/>
          <w:color w:val="000000"/>
        </w:rPr>
        <w:t>支持本地冗余存储（</w:t>
      </w:r>
      <w:r w:rsidRPr="00877013">
        <w:rPr>
          <w:rFonts w:ascii="Segoe UI" w:hAnsi="Segoe UI" w:cs="Segoe UI"/>
          <w:color w:val="000000"/>
        </w:rPr>
        <w:t>LRS</w:t>
      </w:r>
      <w:r w:rsidRPr="00877013">
        <w:rPr>
          <w:rFonts w:ascii="Segoe UI" w:hAnsi="Segoe UI" w:cs="Segoe UI"/>
          <w:color w:val="000000"/>
        </w:rPr>
        <w:t>）与同城冗余存储（</w:t>
      </w:r>
      <w:r w:rsidRPr="00877013">
        <w:rPr>
          <w:rFonts w:ascii="Segoe UI" w:hAnsi="Segoe UI" w:cs="Segoe UI"/>
          <w:color w:val="000000"/>
        </w:rPr>
        <w:t>ZRS</w:t>
      </w:r>
      <w:r w:rsidRPr="00877013">
        <w:rPr>
          <w:rFonts w:ascii="Segoe UI" w:hAnsi="Segoe UI" w:cs="Segoe UI"/>
          <w:color w:val="000000"/>
        </w:rPr>
        <w:t>），通过将数据分布在不同物理设备或可用区内，保障数据持久性达</w:t>
      </w:r>
      <w:r w:rsidRPr="00877013">
        <w:rPr>
          <w:rFonts w:ascii="Segoe UI" w:hAnsi="Segoe UI" w:cs="Segoe UI"/>
          <w:color w:val="000000"/>
        </w:rPr>
        <w:t>12</w:t>
      </w:r>
      <w:r w:rsidRPr="00877013">
        <w:rPr>
          <w:rFonts w:ascii="Segoe UI" w:hAnsi="Segoe UI" w:cs="Segoe UI"/>
          <w:color w:val="000000"/>
        </w:rPr>
        <w:t>个</w:t>
      </w:r>
      <w:r w:rsidRPr="00877013">
        <w:rPr>
          <w:rFonts w:ascii="Segoe UI" w:hAnsi="Segoe UI" w:cs="Segoe UI"/>
          <w:color w:val="000000"/>
        </w:rPr>
        <w:t>9</w:t>
      </w:r>
      <w:r w:rsidRPr="00877013">
        <w:rPr>
          <w:rFonts w:ascii="Segoe UI" w:hAnsi="Segoe UI" w:cs="Segoe UI"/>
          <w:color w:val="000000"/>
        </w:rPr>
        <w:t>。在混合云场景中，生产域北京可用区</w:t>
      </w:r>
      <w:r w:rsidRPr="00877013">
        <w:rPr>
          <w:rFonts w:ascii="Segoe UI" w:hAnsi="Segoe UI" w:cs="Segoe UI"/>
          <w:color w:val="000000"/>
        </w:rPr>
        <w:t>A</w:t>
      </w:r>
      <w:r w:rsidRPr="00877013">
        <w:rPr>
          <w:rFonts w:ascii="Segoe UI" w:hAnsi="Segoe UI" w:cs="Segoe UI"/>
          <w:color w:val="000000"/>
        </w:rPr>
        <w:t>的业务日志、</w:t>
      </w:r>
      <w:r w:rsidRPr="00877013">
        <w:rPr>
          <w:rFonts w:ascii="Segoe UI" w:hAnsi="Segoe UI" w:cs="Segoe UI"/>
          <w:color w:val="000000"/>
        </w:rPr>
        <w:t>ECS</w:t>
      </w:r>
      <w:r w:rsidRPr="00877013">
        <w:rPr>
          <w:rFonts w:ascii="Segoe UI" w:hAnsi="Segoe UI" w:cs="Segoe UI"/>
          <w:color w:val="000000"/>
        </w:rPr>
        <w:t>快照等数据实时备份至</w:t>
      </w:r>
      <w:r w:rsidRPr="00877013">
        <w:rPr>
          <w:rFonts w:ascii="Segoe UI" w:hAnsi="Segoe UI" w:cs="Segoe UI"/>
          <w:color w:val="000000"/>
        </w:rPr>
        <w:t>OBS</w:t>
      </w:r>
      <w:r w:rsidRPr="00877013">
        <w:rPr>
          <w:rFonts w:ascii="Segoe UI" w:hAnsi="Segoe UI" w:cs="Segoe UI"/>
          <w:color w:val="000000"/>
        </w:rPr>
        <w:t>桶，开发测试域可复用同一</w:t>
      </w:r>
      <w:r w:rsidRPr="00877013">
        <w:rPr>
          <w:rFonts w:ascii="Segoe UI" w:hAnsi="Segoe UI" w:cs="Segoe UI"/>
          <w:color w:val="000000"/>
        </w:rPr>
        <w:t>OBS</w:t>
      </w:r>
      <w:r w:rsidRPr="00877013">
        <w:rPr>
          <w:rFonts w:ascii="Segoe UI" w:hAnsi="Segoe UI" w:cs="Segoe UI"/>
          <w:color w:val="000000"/>
        </w:rPr>
        <w:t>存储资源，通过</w:t>
      </w:r>
      <w:r w:rsidRPr="00877013">
        <w:rPr>
          <w:rFonts w:ascii="Segoe UI" w:hAnsi="Segoe UI" w:cs="Segoe UI"/>
          <w:color w:val="000000"/>
        </w:rPr>
        <w:t>Bucket</w:t>
      </w:r>
      <w:r w:rsidRPr="00877013">
        <w:rPr>
          <w:rFonts w:ascii="Segoe UI" w:hAnsi="Segoe UI" w:cs="Segoe UI"/>
          <w:color w:val="000000"/>
        </w:rPr>
        <w:t>权限控制实现数据隔离。</w:t>
      </w:r>
      <w:r w:rsidRPr="00877013">
        <w:rPr>
          <w:rFonts w:ascii="Segoe UI" w:hAnsi="Segoe UI" w:cs="Segoe UI"/>
          <w:color w:val="000000"/>
        </w:rPr>
        <w:t>OBS</w:t>
      </w:r>
      <w:r w:rsidRPr="00877013">
        <w:rPr>
          <w:rFonts w:ascii="Segoe UI" w:hAnsi="Segoe UI" w:cs="Segoe UI"/>
          <w:color w:val="000000"/>
        </w:rPr>
        <w:t>的版本控制功能可记录对象的所有修改历史，当数据</w:t>
      </w:r>
      <w:r w:rsidRPr="00877013">
        <w:rPr>
          <w:rFonts w:ascii="Segoe UI" w:hAnsi="Segoe UI" w:cs="Segoe UI" w:hint="eastAsia"/>
          <w:color w:val="000000"/>
        </w:rPr>
        <w:t>被误删或覆盖时，可快速恢复至任意历史版本；定时备份功能则支持将</w:t>
      </w:r>
      <w:r w:rsidRPr="00877013">
        <w:rPr>
          <w:rFonts w:ascii="Segoe UI" w:hAnsi="Segoe UI" w:cs="Segoe UI"/>
          <w:color w:val="000000"/>
        </w:rPr>
        <w:t>OBS</w:t>
      </w:r>
      <w:r w:rsidRPr="00877013">
        <w:rPr>
          <w:rFonts w:ascii="Segoe UI" w:hAnsi="Segoe UI" w:cs="Segoe UI"/>
          <w:color w:val="000000"/>
        </w:rPr>
        <w:t>数据定期归档至云备份（</w:t>
      </w:r>
      <w:proofErr w:type="spellStart"/>
      <w:r w:rsidRPr="00877013">
        <w:rPr>
          <w:rFonts w:ascii="Segoe UI" w:hAnsi="Segoe UI" w:cs="Segoe UI"/>
          <w:color w:val="000000"/>
        </w:rPr>
        <w:t>CloudBackup</w:t>
      </w:r>
      <w:proofErr w:type="spellEnd"/>
      <w:r w:rsidRPr="00877013">
        <w:rPr>
          <w:rFonts w:ascii="Segoe UI" w:hAnsi="Segoe UI" w:cs="Segoe UI"/>
          <w:color w:val="000000"/>
        </w:rPr>
        <w:t>）服务，形成</w:t>
      </w:r>
      <w:r w:rsidRPr="00877013">
        <w:rPr>
          <w:rFonts w:ascii="Segoe UI" w:hAnsi="Segoe UI" w:cs="Segoe UI"/>
          <w:color w:val="000000"/>
        </w:rPr>
        <w:t>“</w:t>
      </w:r>
      <w:r w:rsidRPr="00877013">
        <w:rPr>
          <w:rFonts w:ascii="Segoe UI" w:hAnsi="Segoe UI" w:cs="Segoe UI"/>
          <w:color w:val="000000"/>
        </w:rPr>
        <w:t>实时备份</w:t>
      </w:r>
      <w:r w:rsidRPr="00877013">
        <w:rPr>
          <w:rFonts w:ascii="Segoe UI" w:hAnsi="Segoe UI" w:cs="Segoe UI"/>
          <w:color w:val="000000"/>
        </w:rPr>
        <w:t>+</w:t>
      </w:r>
      <w:r w:rsidRPr="00877013">
        <w:rPr>
          <w:rFonts w:ascii="Segoe UI" w:hAnsi="Segoe UI" w:cs="Segoe UI"/>
          <w:color w:val="000000"/>
        </w:rPr>
        <w:t>定期归档</w:t>
      </w:r>
      <w:r w:rsidRPr="00877013">
        <w:rPr>
          <w:rFonts w:ascii="Segoe UI" w:hAnsi="Segoe UI" w:cs="Segoe UI"/>
          <w:color w:val="000000"/>
        </w:rPr>
        <w:t>”</w:t>
      </w:r>
      <w:r w:rsidRPr="00877013">
        <w:rPr>
          <w:rFonts w:ascii="Segoe UI" w:hAnsi="Segoe UI" w:cs="Segoe UI"/>
          <w:color w:val="000000"/>
        </w:rPr>
        <w:t>的多层保护。例如，核心业务系统的日志数据按小时级备份至</w:t>
      </w:r>
      <w:r w:rsidRPr="00877013">
        <w:rPr>
          <w:rFonts w:ascii="Segoe UI" w:hAnsi="Segoe UI" w:cs="Segoe UI"/>
          <w:color w:val="000000"/>
        </w:rPr>
        <w:t>OBS</w:t>
      </w:r>
      <w:r w:rsidRPr="00877013">
        <w:rPr>
          <w:rFonts w:ascii="Segoe UI" w:hAnsi="Segoe UI" w:cs="Segoe UI"/>
          <w:color w:val="000000"/>
        </w:rPr>
        <w:t>，每周全量归档至云备份，满足不同业务对数据恢复时效的需求。</w:t>
      </w:r>
    </w:p>
    <w:p w14:paraId="7A3E1390" w14:textId="0616E73B"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跨区域数据同步依托华为云专线（</w:t>
      </w:r>
      <w:r w:rsidRPr="00877013">
        <w:rPr>
          <w:rFonts w:ascii="Segoe UI" w:hAnsi="Segoe UI" w:cs="Segoe UI"/>
          <w:color w:val="000000"/>
        </w:rPr>
        <w:t>DC</w:t>
      </w:r>
      <w:r w:rsidRPr="00877013">
        <w:rPr>
          <w:rFonts w:ascii="Segoe UI" w:hAnsi="Segoe UI" w:cs="Segoe UI"/>
          <w:color w:val="000000"/>
        </w:rPr>
        <w:t>）构建高速互联通道，实现异地数据中心的高效备份与容灾。专线采用双链路冗余设计，通过</w:t>
      </w:r>
      <w:r w:rsidRPr="00877013">
        <w:rPr>
          <w:rFonts w:ascii="Segoe UI" w:hAnsi="Segoe UI" w:cs="Segoe UI"/>
          <w:color w:val="000000"/>
        </w:rPr>
        <w:t>BFD</w:t>
      </w:r>
      <w:r w:rsidRPr="00877013">
        <w:rPr>
          <w:rFonts w:ascii="Segoe UI" w:hAnsi="Segoe UI" w:cs="Segoe UI"/>
          <w:color w:val="000000"/>
        </w:rPr>
        <w:t>协议实现毫秒级故障检测与链路切换，保障数据传输的稳定性与低延迟。在混合云架构中，北京可用区</w:t>
      </w:r>
      <w:r w:rsidRPr="00877013">
        <w:rPr>
          <w:rFonts w:ascii="Segoe UI" w:hAnsi="Segoe UI" w:cs="Segoe UI"/>
          <w:color w:val="000000"/>
        </w:rPr>
        <w:t>A</w:t>
      </w:r>
      <w:r w:rsidRPr="00877013">
        <w:rPr>
          <w:rFonts w:ascii="Segoe UI" w:hAnsi="Segoe UI" w:cs="Segoe UI"/>
          <w:color w:val="000000"/>
        </w:rPr>
        <w:t>的</w:t>
      </w:r>
      <w:r w:rsidRPr="00877013">
        <w:rPr>
          <w:rFonts w:ascii="Segoe UI" w:hAnsi="Segoe UI" w:cs="Segoe UI"/>
          <w:color w:val="000000"/>
        </w:rPr>
        <w:t>OBS</w:t>
      </w:r>
      <w:r w:rsidRPr="00877013">
        <w:rPr>
          <w:rFonts w:ascii="Segoe UI" w:hAnsi="Segoe UI" w:cs="Segoe UI"/>
          <w:color w:val="000000"/>
        </w:rPr>
        <w:t>数据通过专线异步复制至上海可用区</w:t>
      </w:r>
      <w:r w:rsidRPr="00877013">
        <w:rPr>
          <w:rFonts w:ascii="Segoe UI" w:hAnsi="Segoe UI" w:cs="Segoe UI"/>
          <w:color w:val="000000"/>
        </w:rPr>
        <w:t>B</w:t>
      </w:r>
      <w:r w:rsidRPr="00877013">
        <w:rPr>
          <w:rFonts w:ascii="Segoe UI" w:hAnsi="Segoe UI" w:cs="Segoe UI"/>
          <w:color w:val="000000"/>
        </w:rPr>
        <w:t>的</w:t>
      </w:r>
      <w:r w:rsidRPr="00877013">
        <w:rPr>
          <w:rFonts w:ascii="Segoe UI" w:hAnsi="Segoe UI" w:cs="Segoe UI"/>
          <w:color w:val="000000"/>
        </w:rPr>
        <w:t>OBS</w:t>
      </w:r>
      <w:r w:rsidRPr="00877013">
        <w:rPr>
          <w:rFonts w:ascii="Segoe UI" w:hAnsi="Segoe UI" w:cs="Segoe UI"/>
          <w:color w:val="000000"/>
        </w:rPr>
        <w:t>桶，形成异地备份副本；数据库则利用华为云数据传输服务（</w:t>
      </w:r>
      <w:r w:rsidRPr="00877013">
        <w:rPr>
          <w:rFonts w:ascii="Segoe UI" w:hAnsi="Segoe UI" w:cs="Segoe UI"/>
          <w:color w:val="000000"/>
        </w:rPr>
        <w:t>DTS</w:t>
      </w:r>
      <w:r w:rsidRPr="00877013">
        <w:rPr>
          <w:rFonts w:ascii="Segoe UI" w:hAnsi="Segoe UI" w:cs="Segoe UI"/>
          <w:color w:val="000000"/>
        </w:rPr>
        <w:t>），基于专线内网实现跨地域的实时同步（如</w:t>
      </w:r>
      <w:proofErr w:type="spellStart"/>
      <w:r w:rsidRPr="00877013">
        <w:rPr>
          <w:rFonts w:ascii="Segoe UI" w:hAnsi="Segoe UI" w:cs="Segoe UI"/>
          <w:color w:val="000000"/>
        </w:rPr>
        <w:t>RDSforMySQL</w:t>
      </w:r>
      <w:proofErr w:type="spellEnd"/>
      <w:r w:rsidRPr="00877013">
        <w:rPr>
          <w:rFonts w:ascii="Segoe UI" w:hAnsi="Segoe UI" w:cs="Segoe UI"/>
          <w:color w:val="000000"/>
        </w:rPr>
        <w:t>的主备同步、</w:t>
      </w:r>
      <w:proofErr w:type="spellStart"/>
      <w:r w:rsidRPr="00877013">
        <w:rPr>
          <w:rFonts w:ascii="Segoe UI" w:hAnsi="Segoe UI" w:cs="Segoe UI"/>
          <w:color w:val="000000"/>
        </w:rPr>
        <w:t>PolarDB</w:t>
      </w:r>
      <w:proofErr w:type="spellEnd"/>
      <w:r w:rsidRPr="00877013">
        <w:rPr>
          <w:rFonts w:ascii="Segoe UI" w:hAnsi="Segoe UI" w:cs="Segoe UI"/>
          <w:color w:val="000000"/>
        </w:rPr>
        <w:t>的全球同步）。对于非结构化数据，</w:t>
      </w:r>
      <w:r w:rsidRPr="00877013">
        <w:rPr>
          <w:rFonts w:ascii="Segoe UI" w:hAnsi="Segoe UI" w:cs="Segoe UI"/>
          <w:color w:val="000000"/>
        </w:rPr>
        <w:t>OBS</w:t>
      </w:r>
      <w:r w:rsidRPr="00877013">
        <w:rPr>
          <w:rFonts w:ascii="Segoe UI" w:hAnsi="Segoe UI" w:cs="Segoe UI"/>
          <w:color w:val="000000"/>
        </w:rPr>
        <w:t>的跨区域复制（</w:t>
      </w:r>
      <w:r w:rsidRPr="00877013">
        <w:rPr>
          <w:rFonts w:ascii="Segoe UI" w:hAnsi="Segoe UI" w:cs="Segoe UI"/>
          <w:color w:val="000000"/>
        </w:rPr>
        <w:t>Cross-</w:t>
      </w:r>
      <w:proofErr w:type="spellStart"/>
      <w:r w:rsidRPr="00877013">
        <w:rPr>
          <w:rFonts w:ascii="Segoe UI" w:hAnsi="Segoe UI" w:cs="Segoe UI"/>
          <w:color w:val="000000"/>
        </w:rPr>
        <w:t>RegionReplication</w:t>
      </w:r>
      <w:proofErr w:type="spellEnd"/>
      <w:r w:rsidRPr="00877013">
        <w:rPr>
          <w:rFonts w:ascii="Segoe UI" w:hAnsi="Segoe UI" w:cs="Segoe UI"/>
          <w:color w:val="000000"/>
        </w:rPr>
        <w:t>）功能可配置实时或定时同步策略，例如将北京</w:t>
      </w:r>
      <w:r w:rsidRPr="00877013">
        <w:rPr>
          <w:rFonts w:ascii="Segoe UI" w:hAnsi="Segoe UI" w:cs="Segoe UI"/>
          <w:color w:val="000000"/>
        </w:rPr>
        <w:t>Region</w:t>
      </w:r>
      <w:r w:rsidRPr="00877013">
        <w:rPr>
          <w:rFonts w:ascii="Segoe UI" w:hAnsi="Segoe UI" w:cs="Segoe UI"/>
          <w:color w:val="000000"/>
        </w:rPr>
        <w:t>的业务日志实时复制至上海</w:t>
      </w:r>
      <w:r w:rsidRPr="00877013">
        <w:rPr>
          <w:rFonts w:ascii="Segoe UI" w:hAnsi="Segoe UI" w:cs="Segoe UI"/>
          <w:color w:val="000000"/>
        </w:rPr>
        <w:t>Region</w:t>
      </w:r>
      <w:r w:rsidRPr="00877013">
        <w:rPr>
          <w:rFonts w:ascii="Segoe UI" w:hAnsi="Segoe UI" w:cs="Segoe UI"/>
          <w:color w:val="000000"/>
        </w:rPr>
        <w:t>，确保单地域故障时数据不丢失。跨区域同步还支持增量传输，仅同步变更数据块，降低带宽占用与同步耗时，提升大规模数据备份效率。</w:t>
      </w:r>
    </w:p>
    <w:p w14:paraId="5AF483AE" w14:textId="140588B4" w:rsidR="008B6551"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lastRenderedPageBreak/>
        <w:t>该方案通过数据库与存储服务的深度协同，实现混合云环境下数据的</w:t>
      </w:r>
      <w:r w:rsidRPr="00877013">
        <w:rPr>
          <w:rFonts w:ascii="Segoe UI" w:hAnsi="Segoe UI" w:cs="Segoe UI"/>
          <w:color w:val="000000"/>
        </w:rPr>
        <w:t>“</w:t>
      </w:r>
      <w:r w:rsidRPr="00877013">
        <w:rPr>
          <w:rFonts w:ascii="Segoe UI" w:hAnsi="Segoe UI" w:cs="Segoe UI"/>
          <w:color w:val="000000"/>
        </w:rPr>
        <w:t>存储高可用、备份自动化、同步智能化</w:t>
      </w:r>
      <w:r w:rsidRPr="00877013">
        <w:rPr>
          <w:rFonts w:ascii="Segoe UI" w:hAnsi="Segoe UI" w:cs="Segoe UI"/>
          <w:color w:val="000000"/>
        </w:rPr>
        <w:t>”</w:t>
      </w:r>
      <w:r w:rsidRPr="00877013">
        <w:rPr>
          <w:rFonts w:ascii="Segoe UI" w:hAnsi="Segoe UI" w:cs="Segoe UI"/>
          <w:color w:val="000000"/>
        </w:rPr>
        <w:t>。例如，当北京生产域发生故障时，系统可基于上海容灾区域的</w:t>
      </w:r>
      <w:r w:rsidRPr="00877013">
        <w:rPr>
          <w:rFonts w:ascii="Segoe UI" w:hAnsi="Segoe UI" w:cs="Segoe UI"/>
          <w:color w:val="000000"/>
        </w:rPr>
        <w:t>OBS</w:t>
      </w:r>
      <w:r w:rsidRPr="00877013">
        <w:rPr>
          <w:rFonts w:ascii="Segoe UI" w:hAnsi="Segoe UI" w:cs="Segoe UI"/>
          <w:color w:val="000000"/>
        </w:rPr>
        <w:t>备份数据与数据库同步副本，快速恢复业务系统，</w:t>
      </w:r>
      <w:r w:rsidRPr="00877013">
        <w:rPr>
          <w:rFonts w:ascii="Segoe UI" w:hAnsi="Segoe UI" w:cs="Segoe UI"/>
          <w:color w:val="000000"/>
        </w:rPr>
        <w:t>RPO</w:t>
      </w:r>
      <w:r w:rsidRPr="00877013">
        <w:rPr>
          <w:rFonts w:ascii="Segoe UI" w:hAnsi="Segoe UI" w:cs="Segoe UI"/>
          <w:color w:val="000000"/>
        </w:rPr>
        <w:t>（恢复点目标）控制在</w:t>
      </w:r>
      <w:r w:rsidRPr="00877013">
        <w:rPr>
          <w:rFonts w:ascii="Segoe UI" w:hAnsi="Segoe UI" w:cs="Segoe UI"/>
          <w:color w:val="000000"/>
        </w:rPr>
        <w:t>5</w:t>
      </w:r>
      <w:r w:rsidRPr="00877013">
        <w:rPr>
          <w:rFonts w:ascii="Segoe UI" w:hAnsi="Segoe UI" w:cs="Segoe UI"/>
          <w:color w:val="000000"/>
        </w:rPr>
        <w:t>分钟内；同时，通过</w:t>
      </w:r>
      <w:r w:rsidRPr="00877013">
        <w:rPr>
          <w:rFonts w:ascii="Segoe UI" w:hAnsi="Segoe UI" w:cs="Segoe UI"/>
          <w:color w:val="000000"/>
        </w:rPr>
        <w:t>OBS</w:t>
      </w:r>
      <w:r w:rsidRPr="00877013">
        <w:rPr>
          <w:rFonts w:ascii="Segoe UI" w:hAnsi="Segoe UI" w:cs="Segoe UI"/>
          <w:color w:val="000000"/>
        </w:rPr>
        <w:t>的生命周期管理策略，自动将冷数据归档至低成本存储层级，在保障数据可用性的前提下优化存储成本。此外，方案还整合华为云</w:t>
      </w:r>
      <w:r w:rsidRPr="00877013">
        <w:rPr>
          <w:rFonts w:ascii="Segoe UI" w:hAnsi="Segoe UI" w:cs="Segoe UI"/>
          <w:color w:val="000000"/>
        </w:rPr>
        <w:t>KMS</w:t>
      </w:r>
      <w:r w:rsidRPr="00877013">
        <w:rPr>
          <w:rFonts w:ascii="Segoe UI" w:hAnsi="Segoe UI" w:cs="Segoe UI"/>
          <w:color w:val="000000"/>
        </w:rPr>
        <w:t>密钥管理服务，对</w:t>
      </w:r>
      <w:r w:rsidRPr="00877013">
        <w:rPr>
          <w:rFonts w:ascii="Segoe UI" w:hAnsi="Segoe UI" w:cs="Segoe UI"/>
          <w:color w:val="000000"/>
        </w:rPr>
        <w:t>OBS</w:t>
      </w:r>
      <w:r w:rsidRPr="00877013">
        <w:rPr>
          <w:rFonts w:ascii="Segoe UI" w:hAnsi="Segoe UI" w:cs="Segoe UI"/>
          <w:color w:val="000000"/>
        </w:rPr>
        <w:t>数据与数据库敏感字段进行加密，满足金融、医疗等行业的合规性</w:t>
      </w:r>
      <w:r w:rsidR="006C6F6D" w:rsidRPr="006C6F6D">
        <w:rPr>
          <w:rFonts w:ascii="Segoe UI" w:hAnsi="Segoe UI" w:cs="Segoe UI"/>
          <w:b/>
          <w:color w:val="000000"/>
        </w:rPr>
        <w:t>招标文件要求</w:t>
      </w:r>
      <w:r w:rsidRPr="00877013">
        <w:rPr>
          <w:rFonts w:ascii="Segoe UI" w:hAnsi="Segoe UI" w:cs="Segoe UI"/>
          <w:color w:val="000000"/>
        </w:rPr>
        <w:t>，构建从数据存储到跨区域备份的</w:t>
      </w:r>
      <w:r w:rsidRPr="00877013">
        <w:rPr>
          <w:rFonts w:ascii="Segoe UI" w:hAnsi="Segoe UI" w:cs="Segoe UI" w:hint="eastAsia"/>
          <w:color w:val="000000"/>
        </w:rPr>
        <w:t>全链路安全体系。</w:t>
      </w:r>
    </w:p>
    <w:p w14:paraId="716C97E8" w14:textId="24580345" w:rsidR="008B6551" w:rsidRDefault="008B6551" w:rsidP="008B6551">
      <w:pPr>
        <w:pStyle w:val="4"/>
        <w:shd w:val="clear" w:color="auto" w:fill="F9FAFB"/>
        <w:rPr>
          <w:rFonts w:ascii="Segoe UI" w:hAnsi="Segoe UI" w:cs="Segoe UI"/>
          <w:color w:val="000000"/>
        </w:rPr>
      </w:pPr>
      <w:r>
        <w:rPr>
          <w:rFonts w:ascii="Segoe UI" w:hAnsi="Segoe UI" w:cs="Segoe UI"/>
          <w:color w:val="000000"/>
        </w:rPr>
        <w:t>网络互联与容灾架构</w:t>
      </w:r>
    </w:p>
    <w:p w14:paraId="6E0C8196" w14:textId="5F8245BB" w:rsidR="008B6551" w:rsidRDefault="008B6551" w:rsidP="008B6551">
      <w:pPr>
        <w:pStyle w:val="5"/>
        <w:shd w:val="clear" w:color="auto" w:fill="F9FAFB"/>
        <w:rPr>
          <w:rFonts w:ascii="Segoe UI" w:hAnsi="Segoe UI" w:cs="Segoe UI"/>
          <w:color w:val="000000"/>
        </w:rPr>
      </w:pPr>
      <w:r>
        <w:rPr>
          <w:rFonts w:ascii="Segoe UI" w:hAnsi="Segoe UI" w:cs="Segoe UI"/>
          <w:color w:val="000000"/>
        </w:rPr>
        <w:t>混合云网络互通设计</w:t>
      </w:r>
    </w:p>
    <w:p w14:paraId="205B0017" w14:textId="217C2EC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混合云网络互通设计以</w:t>
      </w:r>
      <w:r w:rsidRPr="00325F1E">
        <w:rPr>
          <w:rFonts w:ascii="Segoe UI" w:hAnsi="Segoe UI" w:cs="Segoe UI"/>
          <w:color w:val="000000"/>
        </w:rPr>
        <w:t>“</w:t>
      </w:r>
      <w:r w:rsidRPr="00325F1E">
        <w:rPr>
          <w:rFonts w:ascii="Segoe UI" w:hAnsi="Segoe UI" w:cs="Segoe UI"/>
          <w:color w:val="000000"/>
        </w:rPr>
        <w:t>高可用性、弹性扩展、故障自愈</w:t>
      </w:r>
      <w:r w:rsidRPr="00325F1E">
        <w:rPr>
          <w:rFonts w:ascii="Segoe UI" w:hAnsi="Segoe UI" w:cs="Segoe UI"/>
          <w:color w:val="000000"/>
        </w:rPr>
        <w:t>”</w:t>
      </w:r>
      <w:r w:rsidRPr="00325F1E">
        <w:rPr>
          <w:rFonts w:ascii="Segoe UI" w:hAnsi="Segoe UI" w:cs="Segoe UI"/>
          <w:color w:val="000000"/>
        </w:rPr>
        <w:t>为核心目标，遵循链路冗余、带宽容量规划与快速倒换三大原则，构建华为云与企业自建</w:t>
      </w:r>
      <w:r w:rsidRPr="00325F1E">
        <w:rPr>
          <w:rFonts w:ascii="Segoe UI" w:hAnsi="Segoe UI" w:cs="Segoe UI"/>
          <w:color w:val="000000"/>
        </w:rPr>
        <w:t>IDC</w:t>
      </w:r>
      <w:r w:rsidRPr="00325F1E">
        <w:rPr>
          <w:rFonts w:ascii="Segoe UI" w:hAnsi="Segoe UI" w:cs="Segoe UI"/>
          <w:color w:val="000000"/>
        </w:rPr>
        <w:t>或其他云环境的高速互联体系。链路冗余原则旨在通过多重物理或逻辑链路消除单点故障，确保网络连通性；带宽容量规划需匹配业务流量峰值与增长预期，避免因带宽不足导致服务中断；快速倒换则</w:t>
      </w:r>
      <w:r w:rsidR="006C6F6D" w:rsidRPr="006C6F6D">
        <w:rPr>
          <w:rFonts w:ascii="Segoe UI" w:hAnsi="Segoe UI" w:cs="Segoe UI"/>
          <w:b/>
          <w:color w:val="000000"/>
        </w:rPr>
        <w:t>招标文件要求</w:t>
      </w:r>
      <w:r w:rsidRPr="00325F1E">
        <w:rPr>
          <w:rFonts w:ascii="Segoe UI" w:hAnsi="Segoe UI" w:cs="Segoe UI"/>
          <w:color w:val="000000"/>
        </w:rPr>
        <w:t>在链路异常时实现毫秒级故障切换，保障业务连续性。</w:t>
      </w:r>
    </w:p>
    <w:p w14:paraId="5E1F466C" w14:textId="01E6E68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在互联方案选型上，华为云提供多层级冗余架构以适配不同业务场景。双专线冗余方案采用两条物理专线（</w:t>
      </w:r>
      <w:r w:rsidRPr="00325F1E">
        <w:rPr>
          <w:rFonts w:ascii="Segoe UI" w:hAnsi="Segoe UI" w:cs="Segoe UI"/>
          <w:color w:val="000000"/>
        </w:rPr>
        <w:t>DC</w:t>
      </w:r>
      <w:r w:rsidRPr="00325F1E">
        <w:rPr>
          <w:rFonts w:ascii="Segoe UI" w:hAnsi="Segoe UI" w:cs="Segoe UI"/>
          <w:color w:val="000000"/>
        </w:rPr>
        <w:t>）接入华为云，两条专线需部署在不同的接入点或设备上，例如从企业</w:t>
      </w:r>
      <w:r w:rsidRPr="00325F1E">
        <w:rPr>
          <w:rFonts w:ascii="Segoe UI" w:hAnsi="Segoe UI" w:cs="Segoe UI"/>
          <w:color w:val="000000"/>
        </w:rPr>
        <w:t>IDC</w:t>
      </w:r>
      <w:r w:rsidRPr="00325F1E">
        <w:rPr>
          <w:rFonts w:ascii="Segoe UI" w:hAnsi="Segoe UI" w:cs="Segoe UI"/>
          <w:color w:val="000000"/>
        </w:rPr>
        <w:t>分别接入华为云北京可用区</w:t>
      </w:r>
      <w:r w:rsidRPr="00325F1E">
        <w:rPr>
          <w:rFonts w:ascii="Segoe UI" w:hAnsi="Segoe UI" w:cs="Segoe UI"/>
          <w:color w:val="000000"/>
        </w:rPr>
        <w:t>A</w:t>
      </w:r>
      <w:r w:rsidRPr="00325F1E">
        <w:rPr>
          <w:rFonts w:ascii="Segoe UI" w:hAnsi="Segoe UI" w:cs="Segoe UI"/>
          <w:color w:val="000000"/>
        </w:rPr>
        <w:t>的两个不同接入机房，通过</w:t>
      </w:r>
      <w:r w:rsidRPr="00325F1E">
        <w:rPr>
          <w:rFonts w:ascii="Segoe UI" w:hAnsi="Segoe UI" w:cs="Segoe UI"/>
          <w:color w:val="000000"/>
        </w:rPr>
        <w:t>BGP</w:t>
      </w:r>
      <w:r w:rsidRPr="00325F1E">
        <w:rPr>
          <w:rFonts w:ascii="Segoe UI" w:hAnsi="Segoe UI" w:cs="Segoe UI"/>
          <w:color w:val="000000"/>
        </w:rPr>
        <w:t>动态路由协议与</w:t>
      </w:r>
      <w:r w:rsidRPr="00325F1E">
        <w:rPr>
          <w:rFonts w:ascii="Segoe UI" w:hAnsi="Segoe UI" w:cs="Segoe UI"/>
          <w:color w:val="000000"/>
        </w:rPr>
        <w:t>BFD</w:t>
      </w:r>
      <w:r w:rsidRPr="00325F1E">
        <w:rPr>
          <w:rFonts w:ascii="Segoe UI" w:hAnsi="Segoe UI" w:cs="Segoe UI"/>
          <w:color w:val="000000"/>
        </w:rPr>
        <w:t>（双向转发检测）技术联动，实现链路异常时的毫秒级探测与路由撤销，确保流量快速切换至备用专线。该方案适用于流量规模大（数</w:t>
      </w:r>
      <w:r w:rsidRPr="00325F1E">
        <w:rPr>
          <w:rFonts w:ascii="Segoe UI" w:hAnsi="Segoe UI" w:cs="Segoe UI"/>
          <w:color w:val="000000"/>
        </w:rPr>
        <w:t>Gbps</w:t>
      </w:r>
      <w:r w:rsidRPr="00325F1E">
        <w:rPr>
          <w:rFonts w:ascii="Segoe UI" w:hAnsi="Segoe UI" w:cs="Segoe UI"/>
          <w:color w:val="000000"/>
        </w:rPr>
        <w:t>以上）、对延迟敏感的核心业务，如金融交易系统，可保障专线单链路故障时业务无感知。</w:t>
      </w:r>
    </w:p>
    <w:p w14:paraId="70DD95CB" w14:textId="3550C26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专线</w:t>
      </w:r>
      <w:r w:rsidRPr="00325F1E">
        <w:rPr>
          <w:rFonts w:ascii="Segoe UI" w:hAnsi="Segoe UI" w:cs="Segoe UI"/>
          <w:color w:val="000000"/>
        </w:rPr>
        <w:t>/VPN</w:t>
      </w:r>
      <w:r w:rsidRPr="00325F1E">
        <w:rPr>
          <w:rFonts w:ascii="Segoe UI" w:hAnsi="Segoe UI" w:cs="Segoe UI"/>
          <w:color w:val="000000"/>
        </w:rPr>
        <w:t>主备方案则结合了物理专线的高可用性与</w:t>
      </w:r>
      <w:proofErr w:type="spellStart"/>
      <w:r w:rsidRPr="00325F1E">
        <w:rPr>
          <w:rFonts w:ascii="Segoe UI" w:hAnsi="Segoe UI" w:cs="Segoe UI"/>
          <w:color w:val="000000"/>
        </w:rPr>
        <w:t>IPSecVPN</w:t>
      </w:r>
      <w:proofErr w:type="spellEnd"/>
      <w:r w:rsidRPr="00325F1E">
        <w:rPr>
          <w:rFonts w:ascii="Segoe UI" w:hAnsi="Segoe UI" w:cs="Segoe UI"/>
          <w:color w:val="000000"/>
        </w:rPr>
        <w:t>的成本优势，默认通过专线传输流量，当专线故障时自动切换至</w:t>
      </w:r>
      <w:r w:rsidRPr="00325F1E">
        <w:rPr>
          <w:rFonts w:ascii="Segoe UI" w:hAnsi="Segoe UI" w:cs="Segoe UI"/>
          <w:color w:val="000000"/>
        </w:rPr>
        <w:t>VPN</w:t>
      </w:r>
      <w:r w:rsidRPr="00325F1E">
        <w:rPr>
          <w:rFonts w:ascii="Segoe UI" w:hAnsi="Segoe UI" w:cs="Segoe UI"/>
          <w:color w:val="000000"/>
        </w:rPr>
        <w:t>链路。华为云</w:t>
      </w:r>
      <w:proofErr w:type="spellStart"/>
      <w:r w:rsidRPr="00325F1E">
        <w:rPr>
          <w:rFonts w:ascii="Segoe UI" w:hAnsi="Segoe UI" w:cs="Segoe UI"/>
          <w:color w:val="000000"/>
        </w:rPr>
        <w:t>IPSecVPN</w:t>
      </w:r>
      <w:proofErr w:type="spellEnd"/>
      <w:r w:rsidRPr="00325F1E">
        <w:rPr>
          <w:rFonts w:ascii="Segoe UI" w:hAnsi="Segoe UI" w:cs="Segoe UI"/>
          <w:color w:val="000000"/>
        </w:rPr>
        <w:t>支持与专线相同的</w:t>
      </w:r>
      <w:r w:rsidRPr="00325F1E">
        <w:rPr>
          <w:rFonts w:ascii="Segoe UI" w:hAnsi="Segoe UI" w:cs="Segoe UI"/>
          <w:color w:val="000000"/>
        </w:rPr>
        <w:t>BGP</w:t>
      </w:r>
      <w:r w:rsidRPr="00325F1E">
        <w:rPr>
          <w:rFonts w:ascii="Segoe UI" w:hAnsi="Segoe UI" w:cs="Segoe UI"/>
          <w:color w:val="000000"/>
        </w:rPr>
        <w:t>路由协议，系统优先使用专线学习到的路由，专线异常时通过</w:t>
      </w:r>
      <w:r w:rsidRPr="00325F1E">
        <w:rPr>
          <w:rFonts w:ascii="Segoe UI" w:hAnsi="Segoe UI" w:cs="Segoe UI"/>
          <w:color w:val="000000"/>
        </w:rPr>
        <w:t>VPN</w:t>
      </w:r>
      <w:r w:rsidRPr="00325F1E">
        <w:rPr>
          <w:rFonts w:ascii="Segoe UI" w:hAnsi="Segoe UI" w:cs="Segoe UI"/>
          <w:color w:val="000000"/>
        </w:rPr>
        <w:t>链路转发。此方案适合中等流量业务（带宽上限通常不超过</w:t>
      </w:r>
      <w:r w:rsidRPr="00325F1E">
        <w:rPr>
          <w:rFonts w:ascii="Segoe UI" w:hAnsi="Segoe UI" w:cs="Segoe UI"/>
          <w:color w:val="000000"/>
        </w:rPr>
        <w:t>1Gbps</w:t>
      </w:r>
      <w:r w:rsidRPr="00325F1E">
        <w:rPr>
          <w:rFonts w:ascii="Segoe UI" w:hAnsi="Segoe UI" w:cs="Segoe UI"/>
          <w:color w:val="000000"/>
        </w:rPr>
        <w:t>），例如企业</w:t>
      </w:r>
      <w:r w:rsidRPr="00325F1E">
        <w:rPr>
          <w:rFonts w:ascii="Segoe UI" w:hAnsi="Segoe UI" w:cs="Segoe UI"/>
          <w:color w:val="000000"/>
        </w:rPr>
        <w:t>OA</w:t>
      </w:r>
      <w:r w:rsidRPr="00325F1E">
        <w:rPr>
          <w:rFonts w:ascii="Segoe UI" w:hAnsi="Segoe UI" w:cs="Segoe UI"/>
          <w:color w:val="000000"/>
        </w:rPr>
        <w:t>系统或非核心业务数据传输，在保证可用性的同时降低专线部署成本。需要注意的是，</w:t>
      </w:r>
      <w:r w:rsidRPr="00325F1E">
        <w:rPr>
          <w:rFonts w:ascii="Segoe UI" w:hAnsi="Segoe UI" w:cs="Segoe UI"/>
          <w:color w:val="000000"/>
        </w:rPr>
        <w:t>VPN</w:t>
      </w:r>
      <w:r w:rsidRPr="00325F1E">
        <w:rPr>
          <w:rFonts w:ascii="Segoe UI" w:hAnsi="Segoe UI" w:cs="Segoe UI"/>
          <w:color w:val="000000"/>
        </w:rPr>
        <w:t>链路的带宽需根据业务峰值流量预留充足冗余，避免切换后因带宽不足导致服务降级。</w:t>
      </w:r>
    </w:p>
    <w:p w14:paraId="7FC8708C" w14:textId="128CBD40"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color w:val="000000"/>
        </w:rPr>
        <w:t>VPN</w:t>
      </w:r>
      <w:r w:rsidRPr="00325F1E">
        <w:rPr>
          <w:rFonts w:ascii="Segoe UI" w:hAnsi="Segoe UI" w:cs="Segoe UI"/>
          <w:color w:val="000000"/>
        </w:rPr>
        <w:t>冗余方案通过多</w:t>
      </w:r>
      <w:r w:rsidRPr="00325F1E">
        <w:rPr>
          <w:rFonts w:ascii="Segoe UI" w:hAnsi="Segoe UI" w:cs="Segoe UI"/>
          <w:color w:val="000000"/>
        </w:rPr>
        <w:t>VPN</w:t>
      </w:r>
      <w:r w:rsidRPr="00325F1E">
        <w:rPr>
          <w:rFonts w:ascii="Segoe UI" w:hAnsi="Segoe UI" w:cs="Segoe UI"/>
          <w:color w:val="000000"/>
        </w:rPr>
        <w:t>网关实现链路负载分担与高可用，企业</w:t>
      </w:r>
      <w:r w:rsidRPr="00325F1E">
        <w:rPr>
          <w:rFonts w:ascii="Segoe UI" w:hAnsi="Segoe UI" w:cs="Segoe UI"/>
          <w:color w:val="000000"/>
        </w:rPr>
        <w:t>IDC</w:t>
      </w:r>
      <w:r w:rsidRPr="00325F1E">
        <w:rPr>
          <w:rFonts w:ascii="Segoe UI" w:hAnsi="Segoe UI" w:cs="Segoe UI"/>
          <w:color w:val="000000"/>
        </w:rPr>
        <w:t>部署多个本地网关设备（具备公网</w:t>
      </w:r>
      <w:r w:rsidRPr="00325F1E">
        <w:rPr>
          <w:rFonts w:ascii="Segoe UI" w:hAnsi="Segoe UI" w:cs="Segoe UI"/>
          <w:color w:val="000000"/>
        </w:rPr>
        <w:t>IP</w:t>
      </w:r>
      <w:r w:rsidRPr="00325F1E">
        <w:rPr>
          <w:rFonts w:ascii="Segoe UI" w:hAnsi="Segoe UI" w:cs="Segoe UI"/>
          <w:color w:val="000000"/>
        </w:rPr>
        <w:t>），分别与华为云</w:t>
      </w:r>
      <w:r w:rsidRPr="00325F1E">
        <w:rPr>
          <w:rFonts w:ascii="Segoe UI" w:hAnsi="Segoe UI" w:cs="Segoe UI"/>
          <w:color w:val="000000"/>
        </w:rPr>
        <w:t>VPC</w:t>
      </w:r>
      <w:r w:rsidRPr="00325F1E">
        <w:rPr>
          <w:rFonts w:ascii="Segoe UI" w:hAnsi="Segoe UI" w:cs="Segoe UI"/>
          <w:color w:val="000000"/>
        </w:rPr>
        <w:t>建立</w:t>
      </w:r>
      <w:proofErr w:type="spellStart"/>
      <w:r w:rsidRPr="00325F1E">
        <w:rPr>
          <w:rFonts w:ascii="Segoe UI" w:hAnsi="Segoe UI" w:cs="Segoe UI"/>
          <w:color w:val="000000"/>
        </w:rPr>
        <w:t>IPSecVPN</w:t>
      </w:r>
      <w:proofErr w:type="spellEnd"/>
      <w:r w:rsidRPr="00325F1E">
        <w:rPr>
          <w:rFonts w:ascii="Segoe UI" w:hAnsi="Segoe UI" w:cs="Segoe UI"/>
          <w:color w:val="000000"/>
        </w:rPr>
        <w:t>连接。本地</w:t>
      </w:r>
      <w:r w:rsidRPr="00325F1E">
        <w:rPr>
          <w:rFonts w:ascii="Segoe UI" w:hAnsi="Segoe UI" w:cs="Segoe UI"/>
          <w:color w:val="000000"/>
        </w:rPr>
        <w:t>IDC</w:t>
      </w:r>
      <w:r w:rsidRPr="00325F1E">
        <w:rPr>
          <w:rFonts w:ascii="Segoe UI" w:hAnsi="Segoe UI" w:cs="Segoe UI"/>
          <w:color w:val="000000"/>
        </w:rPr>
        <w:t>去往</w:t>
      </w:r>
      <w:r w:rsidRPr="00325F1E">
        <w:rPr>
          <w:rFonts w:ascii="Segoe UI" w:hAnsi="Segoe UI" w:cs="Segoe UI"/>
          <w:color w:val="000000"/>
        </w:rPr>
        <w:t>VPC</w:t>
      </w:r>
      <w:r w:rsidRPr="00325F1E">
        <w:rPr>
          <w:rFonts w:ascii="Segoe UI" w:hAnsi="Segoe UI" w:cs="Segoe UI"/>
          <w:color w:val="000000"/>
        </w:rPr>
        <w:t>的流量可通过多个</w:t>
      </w:r>
      <w:r w:rsidRPr="00325F1E">
        <w:rPr>
          <w:rFonts w:ascii="Segoe UI" w:hAnsi="Segoe UI" w:cs="Segoe UI"/>
          <w:color w:val="000000"/>
        </w:rPr>
        <w:t>VPN</w:t>
      </w:r>
      <w:r w:rsidRPr="00325F1E">
        <w:rPr>
          <w:rFonts w:ascii="Segoe UI" w:hAnsi="Segoe UI" w:cs="Segoe UI"/>
          <w:color w:val="000000"/>
        </w:rPr>
        <w:t>网关同时传输，实现负载均衡；当某一</w:t>
      </w:r>
      <w:r w:rsidRPr="00325F1E">
        <w:rPr>
          <w:rFonts w:ascii="Segoe UI" w:hAnsi="Segoe UI" w:cs="Segoe UI"/>
          <w:color w:val="000000"/>
        </w:rPr>
        <w:t>VPN</w:t>
      </w:r>
      <w:r w:rsidRPr="00325F1E">
        <w:rPr>
          <w:rFonts w:ascii="Segoe UI" w:hAnsi="Segoe UI" w:cs="Segoe UI"/>
          <w:color w:val="000000"/>
        </w:rPr>
        <w:t>网关故障时，流量自动通过另一网关转发。华为云</w:t>
      </w:r>
      <w:r w:rsidRPr="00325F1E">
        <w:rPr>
          <w:rFonts w:ascii="Segoe UI" w:hAnsi="Segoe UI" w:cs="Segoe UI"/>
          <w:color w:val="000000"/>
        </w:rPr>
        <w:t>VPC</w:t>
      </w:r>
      <w:r w:rsidRPr="00325F1E">
        <w:rPr>
          <w:rFonts w:ascii="Segoe UI" w:hAnsi="Segoe UI" w:cs="Segoe UI"/>
          <w:color w:val="000000"/>
        </w:rPr>
        <w:t>侧默认通过实例</w:t>
      </w:r>
      <w:r w:rsidRPr="00325F1E">
        <w:rPr>
          <w:rFonts w:ascii="Segoe UI" w:hAnsi="Segoe UI" w:cs="Segoe UI"/>
          <w:color w:val="000000"/>
        </w:rPr>
        <w:t>ID</w:t>
      </w:r>
      <w:r w:rsidRPr="00325F1E">
        <w:rPr>
          <w:rFonts w:ascii="Segoe UI" w:hAnsi="Segoe UI" w:cs="Segoe UI"/>
          <w:color w:val="000000"/>
        </w:rPr>
        <w:t>较小的</w:t>
      </w:r>
      <w:r w:rsidRPr="00325F1E">
        <w:rPr>
          <w:rFonts w:ascii="Segoe UI" w:hAnsi="Segoe UI" w:cs="Segoe UI"/>
          <w:color w:val="000000"/>
        </w:rPr>
        <w:t>VPN</w:t>
      </w:r>
      <w:r w:rsidRPr="00325F1E">
        <w:rPr>
          <w:rFonts w:ascii="Segoe UI" w:hAnsi="Segoe UI" w:cs="Segoe UI"/>
          <w:color w:val="000000"/>
        </w:rPr>
        <w:t>网关转发流量，故障时自动切换至另一网关，确保</w:t>
      </w:r>
      <w:r w:rsidRPr="00325F1E">
        <w:rPr>
          <w:rFonts w:ascii="Segoe UI" w:hAnsi="Segoe UI" w:cs="Segoe UI"/>
          <w:color w:val="000000"/>
        </w:rPr>
        <w:t>VPC</w:t>
      </w:r>
      <w:r w:rsidRPr="00325F1E">
        <w:rPr>
          <w:rFonts w:ascii="Segoe UI" w:hAnsi="Segoe UI" w:cs="Segoe UI"/>
          <w:color w:val="000000"/>
        </w:rPr>
        <w:t>到</w:t>
      </w:r>
      <w:r w:rsidRPr="00325F1E">
        <w:rPr>
          <w:rFonts w:ascii="Segoe UI" w:hAnsi="Segoe UI" w:cs="Segoe UI"/>
          <w:color w:val="000000"/>
        </w:rPr>
        <w:t>IDC</w:t>
      </w:r>
      <w:r w:rsidRPr="00325F1E">
        <w:rPr>
          <w:rFonts w:ascii="Segoe UI" w:hAnsi="Segoe UI" w:cs="Segoe UI"/>
          <w:color w:val="000000"/>
        </w:rPr>
        <w:t>的链路高可用。该方案适用于流量较小且预算有限的场景，如分支机构与云端的互联，通过软件定</w:t>
      </w:r>
      <w:r w:rsidRPr="00325F1E">
        <w:rPr>
          <w:rFonts w:ascii="Segoe UI" w:hAnsi="Segoe UI" w:cs="Segoe UI" w:hint="eastAsia"/>
          <w:color w:val="000000"/>
        </w:rPr>
        <w:t>义的</w:t>
      </w:r>
      <w:r w:rsidRPr="00325F1E">
        <w:rPr>
          <w:rFonts w:ascii="Segoe UI" w:hAnsi="Segoe UI" w:cs="Segoe UI"/>
          <w:color w:val="000000"/>
        </w:rPr>
        <w:t>VPN</w:t>
      </w:r>
      <w:r w:rsidRPr="00325F1E">
        <w:rPr>
          <w:rFonts w:ascii="Segoe UI" w:hAnsi="Segoe UI" w:cs="Segoe UI"/>
          <w:color w:val="000000"/>
        </w:rPr>
        <w:t>网关实现低成本冗余。</w:t>
      </w:r>
    </w:p>
    <w:p w14:paraId="4792A8F7" w14:textId="6A3C345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带宽容量规划与管理是混合云网络互通的关键环节。企业需基于历史流量数据与业务增长预测，评估混合云互联的带宽需求：大型企业核心业务可能需要数十</w:t>
      </w:r>
      <w:r w:rsidRPr="00325F1E">
        <w:rPr>
          <w:rFonts w:ascii="Segoe UI" w:hAnsi="Segoe UI" w:cs="Segoe UI"/>
          <w:color w:val="000000"/>
        </w:rPr>
        <w:t>Gbps</w:t>
      </w:r>
      <w:r w:rsidRPr="00325F1E">
        <w:rPr>
          <w:rFonts w:ascii="Segoe UI" w:hAnsi="Segoe UI" w:cs="Segoe UI"/>
          <w:color w:val="000000"/>
        </w:rPr>
        <w:t>带宽，需采用双专线冗余方案并确保每条专线的带宽利用率不超过</w:t>
      </w:r>
      <w:r w:rsidRPr="00325F1E">
        <w:rPr>
          <w:rFonts w:ascii="Segoe UI" w:hAnsi="Segoe UI" w:cs="Segoe UI"/>
          <w:color w:val="000000"/>
        </w:rPr>
        <w:t>50%</w:t>
      </w:r>
      <w:r w:rsidRPr="00325F1E">
        <w:rPr>
          <w:rFonts w:ascii="Segoe UI" w:hAnsi="Segoe UI" w:cs="Segoe UI"/>
          <w:color w:val="000000"/>
        </w:rPr>
        <w:t>，例如两条</w:t>
      </w:r>
      <w:r w:rsidRPr="00325F1E">
        <w:rPr>
          <w:rFonts w:ascii="Segoe UI" w:hAnsi="Segoe UI" w:cs="Segoe UI"/>
          <w:color w:val="000000"/>
        </w:rPr>
        <w:t>10Gbps</w:t>
      </w:r>
      <w:r w:rsidRPr="00325F1E">
        <w:rPr>
          <w:rFonts w:ascii="Segoe UI" w:hAnsi="Segoe UI" w:cs="Segoe UI"/>
          <w:color w:val="000000"/>
        </w:rPr>
        <w:t>专线并行部署，单条利用率控制在</w:t>
      </w:r>
      <w:r w:rsidRPr="00325F1E">
        <w:rPr>
          <w:rFonts w:ascii="Segoe UI" w:hAnsi="Segoe UI" w:cs="Segoe UI"/>
          <w:color w:val="000000"/>
        </w:rPr>
        <w:t>5Gbps</w:t>
      </w:r>
      <w:r w:rsidRPr="00325F1E">
        <w:rPr>
          <w:rFonts w:ascii="Segoe UI" w:hAnsi="Segoe UI" w:cs="Segoe UI"/>
          <w:color w:val="000000"/>
        </w:rPr>
        <w:t>以内，以应对单链路故障时的流量切换。华为云提供云监控</w:t>
      </w:r>
      <w:r w:rsidRPr="00325F1E">
        <w:rPr>
          <w:rFonts w:ascii="Segoe UI" w:hAnsi="Segoe UI" w:cs="Segoe UI"/>
          <w:color w:val="000000"/>
        </w:rPr>
        <w:lastRenderedPageBreak/>
        <w:t>服务（</w:t>
      </w:r>
      <w:r w:rsidRPr="00325F1E">
        <w:rPr>
          <w:rFonts w:ascii="Segoe UI" w:hAnsi="Segoe UI" w:cs="Segoe UI"/>
          <w:color w:val="000000"/>
        </w:rPr>
        <w:t>CES</w:t>
      </w:r>
      <w:r w:rsidRPr="00325F1E">
        <w:rPr>
          <w:rFonts w:ascii="Segoe UI" w:hAnsi="Segoe UI" w:cs="Segoe UI"/>
          <w:color w:val="000000"/>
        </w:rPr>
        <w:t>）实时监测专线与</w:t>
      </w:r>
      <w:r w:rsidRPr="00325F1E">
        <w:rPr>
          <w:rFonts w:ascii="Segoe UI" w:hAnsi="Segoe UI" w:cs="Segoe UI"/>
          <w:color w:val="000000"/>
        </w:rPr>
        <w:t>VPN</w:t>
      </w:r>
      <w:r w:rsidRPr="00325F1E">
        <w:rPr>
          <w:rFonts w:ascii="Segoe UI" w:hAnsi="Segoe UI" w:cs="Segoe UI"/>
          <w:color w:val="000000"/>
        </w:rPr>
        <w:t>链路的流量水位，当利用率接近阈值时自动触发告警，企业可通过华为云控制台快速扩容专线带宽或增加</w:t>
      </w:r>
      <w:r w:rsidRPr="00325F1E">
        <w:rPr>
          <w:rFonts w:ascii="Segoe UI" w:hAnsi="Segoe UI" w:cs="Segoe UI"/>
          <w:color w:val="000000"/>
        </w:rPr>
        <w:t>VPN</w:t>
      </w:r>
      <w:r w:rsidRPr="00325F1E">
        <w:rPr>
          <w:rFonts w:ascii="Segoe UI" w:hAnsi="Segoe UI" w:cs="Segoe UI"/>
          <w:color w:val="000000"/>
        </w:rPr>
        <w:t>链路数量。</w:t>
      </w:r>
    </w:p>
    <w:p w14:paraId="6068DA2E" w14:textId="5520126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在快速倒换机制上，不同方案采用差异化技术实现：双专线冗余场景下，</w:t>
      </w:r>
      <w:r w:rsidRPr="00325F1E">
        <w:rPr>
          <w:rFonts w:ascii="Segoe UI" w:hAnsi="Segoe UI" w:cs="Segoe UI"/>
          <w:color w:val="000000"/>
        </w:rPr>
        <w:t>BGP</w:t>
      </w:r>
      <w:r w:rsidRPr="00325F1E">
        <w:rPr>
          <w:rFonts w:ascii="Segoe UI" w:hAnsi="Segoe UI" w:cs="Segoe UI"/>
          <w:color w:val="000000"/>
        </w:rPr>
        <w:t>结合</w:t>
      </w:r>
      <w:r w:rsidRPr="00325F1E">
        <w:rPr>
          <w:rFonts w:ascii="Segoe UI" w:hAnsi="Segoe UI" w:cs="Segoe UI"/>
          <w:color w:val="000000"/>
        </w:rPr>
        <w:t>BFD</w:t>
      </w:r>
      <w:r w:rsidRPr="00325F1E">
        <w:rPr>
          <w:rFonts w:ascii="Segoe UI" w:hAnsi="Segoe UI" w:cs="Segoe UI"/>
          <w:color w:val="000000"/>
        </w:rPr>
        <w:t>可在</w:t>
      </w:r>
      <w:r w:rsidRPr="00325F1E">
        <w:rPr>
          <w:rFonts w:ascii="Segoe UI" w:hAnsi="Segoe UI" w:cs="Segoe UI"/>
          <w:color w:val="000000"/>
        </w:rPr>
        <w:t>50ms</w:t>
      </w:r>
      <w:r w:rsidRPr="00325F1E">
        <w:rPr>
          <w:rFonts w:ascii="Segoe UI" w:hAnsi="Segoe UI" w:cs="Segoe UI"/>
          <w:color w:val="000000"/>
        </w:rPr>
        <w:t>内探测到链路异常并撤销路由，配合华为云负载均衡</w:t>
      </w:r>
      <w:r w:rsidRPr="00325F1E">
        <w:rPr>
          <w:rFonts w:ascii="Segoe UI" w:hAnsi="Segoe UI" w:cs="Segoe UI"/>
          <w:color w:val="000000"/>
        </w:rPr>
        <w:t>ELB</w:t>
      </w:r>
      <w:r w:rsidRPr="00325F1E">
        <w:rPr>
          <w:rFonts w:ascii="Segoe UI" w:hAnsi="Segoe UI" w:cs="Segoe UI"/>
          <w:color w:val="000000"/>
        </w:rPr>
        <w:t>的健康检查功能，实时移除异常后端服务器，确保业务流量快速重定向；专线</w:t>
      </w:r>
      <w:r w:rsidRPr="00325F1E">
        <w:rPr>
          <w:rFonts w:ascii="Segoe UI" w:hAnsi="Segoe UI" w:cs="Segoe UI"/>
          <w:color w:val="000000"/>
        </w:rPr>
        <w:t>/VPN</w:t>
      </w:r>
      <w:r w:rsidRPr="00325F1E">
        <w:rPr>
          <w:rFonts w:ascii="Segoe UI" w:hAnsi="Segoe UI" w:cs="Segoe UI"/>
          <w:color w:val="000000"/>
        </w:rPr>
        <w:t>主备场景中，专线故障时</w:t>
      </w:r>
      <w:r w:rsidRPr="00325F1E">
        <w:rPr>
          <w:rFonts w:ascii="Segoe UI" w:hAnsi="Segoe UI" w:cs="Segoe UI"/>
          <w:color w:val="000000"/>
        </w:rPr>
        <w:t>BGP</w:t>
      </w:r>
      <w:r w:rsidRPr="00325F1E">
        <w:rPr>
          <w:rFonts w:ascii="Segoe UI" w:hAnsi="Segoe UI" w:cs="Segoe UI"/>
          <w:color w:val="000000"/>
        </w:rPr>
        <w:t>路由自动失效，</w:t>
      </w:r>
      <w:r w:rsidRPr="00325F1E">
        <w:rPr>
          <w:rFonts w:ascii="Segoe UI" w:hAnsi="Segoe UI" w:cs="Segoe UI"/>
          <w:color w:val="000000"/>
        </w:rPr>
        <w:t>VPN</w:t>
      </w:r>
      <w:r w:rsidRPr="00325F1E">
        <w:rPr>
          <w:rFonts w:ascii="Segoe UI" w:hAnsi="Segoe UI" w:cs="Segoe UI"/>
          <w:color w:val="000000"/>
        </w:rPr>
        <w:t>路由生效，切换时间通常在秒级，适合对延迟不敏感的业务；</w:t>
      </w:r>
      <w:r w:rsidRPr="00325F1E">
        <w:rPr>
          <w:rFonts w:ascii="Segoe UI" w:hAnsi="Segoe UI" w:cs="Segoe UI"/>
          <w:color w:val="000000"/>
        </w:rPr>
        <w:t>VPN</w:t>
      </w:r>
      <w:r w:rsidRPr="00325F1E">
        <w:rPr>
          <w:rFonts w:ascii="Segoe UI" w:hAnsi="Segoe UI" w:cs="Segoe UI"/>
          <w:color w:val="000000"/>
        </w:rPr>
        <w:t>冗余方案则通过</w:t>
      </w:r>
      <w:r w:rsidRPr="00325F1E">
        <w:rPr>
          <w:rFonts w:ascii="Segoe UI" w:hAnsi="Segoe UI" w:cs="Segoe UI"/>
          <w:color w:val="000000"/>
        </w:rPr>
        <w:t>BGP</w:t>
      </w:r>
      <w:r w:rsidRPr="00325F1E">
        <w:rPr>
          <w:rFonts w:ascii="Segoe UI" w:hAnsi="Segoe UI" w:cs="Segoe UI"/>
          <w:color w:val="000000"/>
        </w:rPr>
        <w:t>路由撤销与云解析</w:t>
      </w:r>
      <w:r w:rsidRPr="00325F1E">
        <w:rPr>
          <w:rFonts w:ascii="Segoe UI" w:hAnsi="Segoe UI" w:cs="Segoe UI"/>
          <w:color w:val="000000"/>
        </w:rPr>
        <w:t>DNS</w:t>
      </w:r>
      <w:r w:rsidRPr="00325F1E">
        <w:rPr>
          <w:rFonts w:ascii="Segoe UI" w:hAnsi="Segoe UI" w:cs="Segoe UI"/>
          <w:color w:val="000000"/>
        </w:rPr>
        <w:t>的联动，实现故障网关的快速隔离与流量切换。</w:t>
      </w:r>
    </w:p>
    <w:p w14:paraId="0CAAC51E" w14:textId="225ACECB"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此外，混合云网络互通还需结合华为云</w:t>
      </w:r>
      <w:r w:rsidRPr="00325F1E">
        <w:rPr>
          <w:rFonts w:ascii="Segoe UI" w:hAnsi="Segoe UI" w:cs="Segoe UI"/>
          <w:color w:val="000000"/>
        </w:rPr>
        <w:t>VPC</w:t>
      </w:r>
      <w:r w:rsidRPr="00325F1E">
        <w:rPr>
          <w:rFonts w:ascii="Segoe UI" w:hAnsi="Segoe UI" w:cs="Segoe UI"/>
          <w:color w:val="000000"/>
        </w:rPr>
        <w:t>（虚拟私有云）的安全隔离能力，通过安全组、网络</w:t>
      </w:r>
      <w:r w:rsidRPr="00325F1E">
        <w:rPr>
          <w:rFonts w:ascii="Segoe UI" w:hAnsi="Segoe UI" w:cs="Segoe UI"/>
          <w:color w:val="000000"/>
        </w:rPr>
        <w:t>ACL</w:t>
      </w:r>
      <w:r w:rsidRPr="00325F1E">
        <w:rPr>
          <w:rFonts w:ascii="Segoe UI" w:hAnsi="Segoe UI" w:cs="Segoe UI"/>
          <w:color w:val="000000"/>
        </w:rPr>
        <w:t>（访问控制列表）对互联流量进行精细化管控，避免非授权访问。例如，企业</w:t>
      </w:r>
      <w:r w:rsidRPr="00325F1E">
        <w:rPr>
          <w:rFonts w:ascii="Segoe UI" w:hAnsi="Segoe UI" w:cs="Segoe UI"/>
          <w:color w:val="000000"/>
        </w:rPr>
        <w:t>IDC</w:t>
      </w:r>
      <w:r w:rsidRPr="00325F1E">
        <w:rPr>
          <w:rFonts w:ascii="Segoe UI" w:hAnsi="Segoe UI" w:cs="Segoe UI"/>
          <w:color w:val="000000"/>
        </w:rPr>
        <w:t>仅允许特定</w:t>
      </w:r>
      <w:r w:rsidRPr="00325F1E">
        <w:rPr>
          <w:rFonts w:ascii="Segoe UI" w:hAnsi="Segoe UI" w:cs="Segoe UI"/>
          <w:color w:val="000000"/>
        </w:rPr>
        <w:t>IP</w:t>
      </w:r>
      <w:r w:rsidRPr="00325F1E">
        <w:rPr>
          <w:rFonts w:ascii="Segoe UI" w:hAnsi="Segoe UI" w:cs="Segoe UI"/>
          <w:color w:val="000000"/>
        </w:rPr>
        <w:t>段通过专线访问华为云数据库实例，其他流量则通过</w:t>
      </w:r>
      <w:r w:rsidRPr="00325F1E">
        <w:rPr>
          <w:rFonts w:ascii="Segoe UI" w:hAnsi="Segoe UI" w:cs="Segoe UI"/>
          <w:color w:val="000000"/>
        </w:rPr>
        <w:t>VPN</w:t>
      </w:r>
      <w:r w:rsidRPr="00325F1E">
        <w:rPr>
          <w:rFonts w:ascii="Segoe UI" w:hAnsi="Segoe UI" w:cs="Segoe UI"/>
          <w:color w:val="000000"/>
        </w:rPr>
        <w:t>链路受限访问，确保网络互联的安全性与合规性。整体方案通过多层冗余架构、动态带宽管理与智能故障切换，构建了兼具可靠性、灵活性与成本效益的混合云网络互通体系。</w:t>
      </w:r>
    </w:p>
    <w:p w14:paraId="0E58D031" w14:textId="23BA04B5" w:rsidR="008B6551" w:rsidRDefault="008B6551" w:rsidP="008B6551">
      <w:pPr>
        <w:pStyle w:val="5"/>
        <w:shd w:val="clear" w:color="auto" w:fill="F9FAFB"/>
        <w:rPr>
          <w:rFonts w:ascii="Segoe UI" w:hAnsi="Segoe UI" w:cs="Segoe UI"/>
          <w:color w:val="000000"/>
        </w:rPr>
      </w:pPr>
      <w:r>
        <w:rPr>
          <w:rFonts w:ascii="Segoe UI" w:hAnsi="Segoe UI" w:cs="Segoe UI"/>
          <w:color w:val="000000"/>
        </w:rPr>
        <w:t>业务服务高可用架构</w:t>
      </w:r>
    </w:p>
    <w:p w14:paraId="3D71A79C" w14:textId="1AEC4D10"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混合云环境下的业务服务高可用架构以华为云弹性负载均衡</w:t>
      </w:r>
      <w:r w:rsidRPr="00325F1E">
        <w:rPr>
          <w:rFonts w:ascii="Segoe UI" w:hAnsi="Segoe UI" w:cs="Segoe UI"/>
          <w:color w:val="000000"/>
        </w:rPr>
        <w:t>ELB</w:t>
      </w:r>
      <w:r w:rsidRPr="00325F1E">
        <w:rPr>
          <w:rFonts w:ascii="Segoe UI" w:hAnsi="Segoe UI" w:cs="Segoe UI"/>
          <w:color w:val="000000"/>
        </w:rPr>
        <w:t>为核心枢纽，构建覆盖四层（</w:t>
      </w:r>
      <w:r w:rsidRPr="00325F1E">
        <w:rPr>
          <w:rFonts w:ascii="Segoe UI" w:hAnsi="Segoe UI" w:cs="Segoe UI"/>
          <w:color w:val="000000"/>
        </w:rPr>
        <w:t>TCP/UDP</w:t>
      </w:r>
      <w:r w:rsidRPr="00325F1E">
        <w:rPr>
          <w:rFonts w:ascii="Segoe UI" w:hAnsi="Segoe UI" w:cs="Segoe UI"/>
          <w:color w:val="000000"/>
        </w:rPr>
        <w:t>）与七层（</w:t>
      </w:r>
      <w:r w:rsidRPr="00325F1E">
        <w:rPr>
          <w:rFonts w:ascii="Segoe UI" w:hAnsi="Segoe UI" w:cs="Segoe UI"/>
          <w:color w:val="000000"/>
        </w:rPr>
        <w:t>HTTP/HTTPS</w:t>
      </w:r>
      <w:r w:rsidRPr="00325F1E">
        <w:rPr>
          <w:rFonts w:ascii="Segoe UI" w:hAnsi="Segoe UI" w:cs="Segoe UI"/>
          <w:color w:val="000000"/>
        </w:rPr>
        <w:t>）协议的流量分发体系，结合多可用区容灾切换与智能流量调度机制，实现业务连续性与故障自愈能力。</w:t>
      </w:r>
      <w:r w:rsidRPr="00325F1E">
        <w:rPr>
          <w:rFonts w:ascii="Segoe UI" w:hAnsi="Segoe UI" w:cs="Segoe UI"/>
          <w:color w:val="000000"/>
        </w:rPr>
        <w:t>ELB</w:t>
      </w:r>
      <w:r w:rsidRPr="00325F1E">
        <w:rPr>
          <w:rFonts w:ascii="Segoe UI" w:hAnsi="Segoe UI" w:cs="Segoe UI"/>
          <w:color w:val="000000"/>
        </w:rPr>
        <w:t>通过集群部署模式承载流量分发任务，其中四层负载均衡基于</w:t>
      </w:r>
      <w:r w:rsidRPr="00325F1E">
        <w:rPr>
          <w:rFonts w:ascii="Segoe UI" w:hAnsi="Segoe UI" w:cs="Segoe UI"/>
          <w:color w:val="000000"/>
        </w:rPr>
        <w:t>LVS</w:t>
      </w:r>
      <w:r w:rsidRPr="00325F1E">
        <w:rPr>
          <w:rFonts w:ascii="Segoe UI" w:hAnsi="Segoe UI" w:cs="Segoe UI"/>
          <w:color w:val="000000"/>
        </w:rPr>
        <w:t>（</w:t>
      </w:r>
      <w:proofErr w:type="spellStart"/>
      <w:r w:rsidRPr="00325F1E">
        <w:rPr>
          <w:rFonts w:ascii="Segoe UI" w:hAnsi="Segoe UI" w:cs="Segoe UI"/>
          <w:color w:val="000000"/>
        </w:rPr>
        <w:t>LinuxVirtualServer</w:t>
      </w:r>
      <w:proofErr w:type="spellEnd"/>
      <w:r w:rsidRPr="00325F1E">
        <w:rPr>
          <w:rFonts w:ascii="Segoe UI" w:hAnsi="Segoe UI" w:cs="Segoe UI"/>
          <w:color w:val="000000"/>
        </w:rPr>
        <w:t>）</w:t>
      </w:r>
      <w:r w:rsidRPr="00325F1E">
        <w:rPr>
          <w:rFonts w:ascii="Segoe UI" w:hAnsi="Segoe UI" w:cs="Segoe UI"/>
          <w:color w:val="000000"/>
        </w:rPr>
        <w:t>+</w:t>
      </w:r>
      <w:proofErr w:type="spellStart"/>
      <w:r w:rsidRPr="00325F1E">
        <w:rPr>
          <w:rFonts w:ascii="Segoe UI" w:hAnsi="Segoe UI" w:cs="Segoe UI"/>
          <w:color w:val="000000"/>
        </w:rPr>
        <w:t>Keepalived</w:t>
      </w:r>
      <w:proofErr w:type="spellEnd"/>
      <w:r w:rsidRPr="00325F1E">
        <w:rPr>
          <w:rFonts w:ascii="Segoe UI" w:hAnsi="Segoe UI" w:cs="Segoe UI"/>
          <w:color w:val="000000"/>
        </w:rPr>
        <w:t>架构实现高可用，七层负载均衡则依托</w:t>
      </w:r>
      <w:proofErr w:type="spellStart"/>
      <w:r w:rsidRPr="00325F1E">
        <w:rPr>
          <w:rFonts w:ascii="Segoe UI" w:hAnsi="Segoe UI" w:cs="Segoe UI"/>
          <w:color w:val="000000"/>
        </w:rPr>
        <w:t>Tengine</w:t>
      </w:r>
      <w:proofErr w:type="spellEnd"/>
      <w:r w:rsidRPr="00325F1E">
        <w:rPr>
          <w:rFonts w:ascii="Segoe UI" w:hAnsi="Segoe UI" w:cs="Segoe UI"/>
          <w:color w:val="000000"/>
        </w:rPr>
        <w:t>（基于</w:t>
      </w:r>
      <w:r w:rsidRPr="00325F1E">
        <w:rPr>
          <w:rFonts w:ascii="Segoe UI" w:hAnsi="Segoe UI" w:cs="Segoe UI"/>
          <w:color w:val="000000"/>
        </w:rPr>
        <w:t>Nginx</w:t>
      </w:r>
      <w:r w:rsidRPr="00325F1E">
        <w:rPr>
          <w:rFonts w:ascii="Segoe UI" w:hAnsi="Segoe UI" w:cs="Segoe UI"/>
          <w:color w:val="000000"/>
        </w:rPr>
        <w:t>的高性能</w:t>
      </w:r>
      <w:r w:rsidRPr="00325F1E">
        <w:rPr>
          <w:rFonts w:ascii="Segoe UI" w:hAnsi="Segoe UI" w:cs="Segoe UI"/>
          <w:color w:val="000000"/>
        </w:rPr>
        <w:t>Web</w:t>
      </w:r>
      <w:r w:rsidRPr="00325F1E">
        <w:rPr>
          <w:rFonts w:ascii="Segoe UI" w:hAnsi="Segoe UI" w:cs="Segoe UI"/>
          <w:color w:val="000000"/>
        </w:rPr>
        <w:t>服务器）处理应用层请求，两者均通过组播报文实现集群内会话同步，</w:t>
      </w:r>
      <w:r w:rsidRPr="00325F1E">
        <w:rPr>
          <w:rFonts w:ascii="Segoe UI" w:hAnsi="Segoe UI" w:cs="Segoe UI" w:hint="eastAsia"/>
          <w:color w:val="000000"/>
        </w:rPr>
        <w:t>确保后端服务器异常时流量无缝切换。</w:t>
      </w:r>
    </w:p>
    <w:p w14:paraId="4C37D3C1" w14:textId="36C4BD8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在单</w:t>
      </w:r>
      <w:r w:rsidRPr="00325F1E">
        <w:rPr>
          <w:rFonts w:ascii="Segoe UI" w:hAnsi="Segoe UI" w:cs="Segoe UI"/>
          <w:color w:val="000000"/>
        </w:rPr>
        <w:t>ELB</w:t>
      </w:r>
      <w:r w:rsidRPr="00325F1E">
        <w:rPr>
          <w:rFonts w:ascii="Segoe UI" w:hAnsi="Segoe UI" w:cs="Segoe UI"/>
          <w:color w:val="000000"/>
        </w:rPr>
        <w:t>实例高可用设计中，华为云</w:t>
      </w:r>
      <w:r w:rsidRPr="00325F1E">
        <w:rPr>
          <w:rFonts w:ascii="Segoe UI" w:hAnsi="Segoe UI" w:cs="Segoe UI"/>
          <w:color w:val="000000"/>
        </w:rPr>
        <w:t>ELB</w:t>
      </w:r>
      <w:r w:rsidRPr="00325F1E">
        <w:rPr>
          <w:rFonts w:ascii="Segoe UI" w:hAnsi="Segoe UI" w:cs="Segoe UI"/>
          <w:color w:val="000000"/>
        </w:rPr>
        <w:t>采用多可用区容灾架构，在同一</w:t>
      </w:r>
      <w:r w:rsidRPr="00325F1E">
        <w:rPr>
          <w:rFonts w:ascii="Segoe UI" w:hAnsi="Segoe UI" w:cs="Segoe UI"/>
          <w:color w:val="000000"/>
        </w:rPr>
        <w:t>Region</w:t>
      </w:r>
      <w:r w:rsidRPr="00325F1E">
        <w:rPr>
          <w:rFonts w:ascii="Segoe UI" w:hAnsi="Segoe UI" w:cs="Segoe UI"/>
          <w:color w:val="000000"/>
        </w:rPr>
        <w:t>内（如北京）部署主备可用区。当主可用区因硬件故障或网络异常导致服务不可用时，</w:t>
      </w:r>
      <w:r w:rsidRPr="00325F1E">
        <w:rPr>
          <w:rFonts w:ascii="Segoe UI" w:hAnsi="Segoe UI" w:cs="Segoe UI"/>
          <w:color w:val="000000"/>
        </w:rPr>
        <w:t>ELB</w:t>
      </w:r>
      <w:r w:rsidRPr="00325F1E">
        <w:rPr>
          <w:rFonts w:ascii="Segoe UI" w:hAnsi="Segoe UI" w:cs="Segoe UI"/>
          <w:color w:val="000000"/>
        </w:rPr>
        <w:t>可在</w:t>
      </w:r>
      <w:r w:rsidRPr="00325F1E">
        <w:rPr>
          <w:rFonts w:ascii="Segoe UI" w:hAnsi="Segoe UI" w:cs="Segoe UI"/>
          <w:color w:val="000000"/>
        </w:rPr>
        <w:t>30</w:t>
      </w:r>
      <w:r w:rsidRPr="00325F1E">
        <w:rPr>
          <w:rFonts w:ascii="Segoe UI" w:hAnsi="Segoe UI" w:cs="Segoe UI"/>
          <w:color w:val="000000"/>
        </w:rPr>
        <w:t>秒内自动切换至备可用区继续提供服务，切换过程对前端业务无感知。为优化访问延迟与资源利用率，企业可根据</w:t>
      </w:r>
      <w:r w:rsidRPr="00325F1E">
        <w:rPr>
          <w:rFonts w:ascii="Segoe UI" w:hAnsi="Segoe UI" w:cs="Segoe UI"/>
          <w:color w:val="000000"/>
        </w:rPr>
        <w:t>ECS</w:t>
      </w:r>
      <w:r w:rsidRPr="00325F1E">
        <w:rPr>
          <w:rFonts w:ascii="Segoe UI" w:hAnsi="Segoe UI" w:cs="Segoe UI"/>
          <w:color w:val="000000"/>
        </w:rPr>
        <w:t>实例分布选择主可用区</w:t>
      </w:r>
      <w:r w:rsidRPr="00325F1E">
        <w:rPr>
          <w:rFonts w:ascii="Segoe UI" w:hAnsi="Segoe UI" w:cs="Segoe UI"/>
          <w:color w:val="000000"/>
        </w:rPr>
        <w:t>——</w:t>
      </w:r>
      <w:r w:rsidRPr="00325F1E">
        <w:rPr>
          <w:rFonts w:ascii="Segoe UI" w:hAnsi="Segoe UI" w:cs="Segoe UI"/>
          <w:color w:val="000000"/>
        </w:rPr>
        <w:t>将大部分</w:t>
      </w:r>
      <w:r w:rsidRPr="00325F1E">
        <w:rPr>
          <w:rFonts w:ascii="Segoe UI" w:hAnsi="Segoe UI" w:cs="Segoe UI"/>
          <w:color w:val="000000"/>
        </w:rPr>
        <w:t>ECS</w:t>
      </w:r>
      <w:r w:rsidRPr="00325F1E">
        <w:rPr>
          <w:rFonts w:ascii="Segoe UI" w:hAnsi="Segoe UI" w:cs="Segoe UI"/>
          <w:color w:val="000000"/>
        </w:rPr>
        <w:t>部署在主可用区以降低网络时延，同时在备可用区保留少量实例作为故障兜底，避免极端情况下备可用区因无资源承载流量导致服务中断。例如，电商平台将</w:t>
      </w:r>
      <w:r w:rsidRPr="00325F1E">
        <w:rPr>
          <w:rFonts w:ascii="Segoe UI" w:hAnsi="Segoe UI" w:cs="Segoe UI"/>
          <w:color w:val="000000"/>
        </w:rPr>
        <w:t>80%</w:t>
      </w:r>
      <w:r w:rsidRPr="00325F1E">
        <w:rPr>
          <w:rFonts w:ascii="Segoe UI" w:hAnsi="Segoe UI" w:cs="Segoe UI"/>
          <w:color w:val="000000"/>
        </w:rPr>
        <w:t>的</w:t>
      </w:r>
      <w:r w:rsidRPr="00325F1E">
        <w:rPr>
          <w:rFonts w:ascii="Segoe UI" w:hAnsi="Segoe UI" w:cs="Segoe UI"/>
          <w:color w:val="000000"/>
        </w:rPr>
        <w:t>ECS</w:t>
      </w:r>
      <w:r w:rsidRPr="00325F1E">
        <w:rPr>
          <w:rFonts w:ascii="Segoe UI" w:hAnsi="Segoe UI" w:cs="Segoe UI"/>
          <w:color w:val="000000"/>
        </w:rPr>
        <w:t>实例部署</w:t>
      </w:r>
      <w:r w:rsidRPr="00325F1E">
        <w:rPr>
          <w:rFonts w:ascii="Segoe UI" w:hAnsi="Segoe UI" w:cs="Segoe UI" w:hint="eastAsia"/>
          <w:color w:val="000000"/>
        </w:rPr>
        <w:t>在北京可用区</w:t>
      </w:r>
      <w:r w:rsidRPr="00325F1E">
        <w:rPr>
          <w:rFonts w:ascii="Segoe UI" w:hAnsi="Segoe UI" w:cs="Segoe UI"/>
          <w:color w:val="000000"/>
        </w:rPr>
        <w:t>A</w:t>
      </w:r>
      <w:r w:rsidRPr="00325F1E">
        <w:rPr>
          <w:rFonts w:ascii="Segoe UI" w:hAnsi="Segoe UI" w:cs="Segoe UI"/>
          <w:color w:val="000000"/>
        </w:rPr>
        <w:t>（主可用区），</w:t>
      </w:r>
      <w:r w:rsidRPr="00325F1E">
        <w:rPr>
          <w:rFonts w:ascii="Segoe UI" w:hAnsi="Segoe UI" w:cs="Segoe UI"/>
          <w:color w:val="000000"/>
        </w:rPr>
        <w:t>20%</w:t>
      </w:r>
      <w:r w:rsidRPr="00325F1E">
        <w:rPr>
          <w:rFonts w:ascii="Segoe UI" w:hAnsi="Segoe UI" w:cs="Segoe UI"/>
          <w:color w:val="000000"/>
        </w:rPr>
        <w:t>部署在可用区</w:t>
      </w:r>
      <w:r w:rsidRPr="00325F1E">
        <w:rPr>
          <w:rFonts w:ascii="Segoe UI" w:hAnsi="Segoe UI" w:cs="Segoe UI"/>
          <w:color w:val="000000"/>
        </w:rPr>
        <w:t>B</w:t>
      </w:r>
      <w:r w:rsidRPr="00325F1E">
        <w:rPr>
          <w:rFonts w:ascii="Segoe UI" w:hAnsi="Segoe UI" w:cs="Segoe UI"/>
          <w:color w:val="000000"/>
        </w:rPr>
        <w:t>（备可用区），既保证日常访问效率，又能在可用区</w:t>
      </w:r>
      <w:r w:rsidRPr="00325F1E">
        <w:rPr>
          <w:rFonts w:ascii="Segoe UI" w:hAnsi="Segoe UI" w:cs="Segoe UI"/>
          <w:color w:val="000000"/>
        </w:rPr>
        <w:t>A</w:t>
      </w:r>
      <w:r w:rsidRPr="00325F1E">
        <w:rPr>
          <w:rFonts w:ascii="Segoe UI" w:hAnsi="Segoe UI" w:cs="Segoe UI"/>
          <w:color w:val="000000"/>
        </w:rPr>
        <w:t>故障时通过备可用区维持基础业务运行。</w:t>
      </w:r>
    </w:p>
    <w:p w14:paraId="14C362EA" w14:textId="206E44F1"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多</w:t>
      </w:r>
      <w:r w:rsidRPr="00325F1E">
        <w:rPr>
          <w:rFonts w:ascii="Segoe UI" w:hAnsi="Segoe UI" w:cs="Segoe UI"/>
          <w:color w:val="000000"/>
        </w:rPr>
        <w:t>ELB</w:t>
      </w:r>
      <w:r w:rsidRPr="00325F1E">
        <w:rPr>
          <w:rFonts w:ascii="Segoe UI" w:hAnsi="Segoe UI" w:cs="Segoe UI"/>
          <w:color w:val="000000"/>
        </w:rPr>
        <w:t>实例高可用方案适用于对可用性</w:t>
      </w:r>
      <w:r w:rsidR="006C6F6D" w:rsidRPr="006C6F6D">
        <w:rPr>
          <w:rFonts w:ascii="Segoe UI" w:hAnsi="Segoe UI" w:cs="Segoe UI"/>
          <w:b/>
          <w:color w:val="000000"/>
        </w:rPr>
        <w:t>招标文件要求</w:t>
      </w:r>
      <w:r w:rsidRPr="00325F1E">
        <w:rPr>
          <w:rFonts w:ascii="Segoe UI" w:hAnsi="Segoe UI" w:cs="Segoe UI"/>
          <w:color w:val="000000"/>
        </w:rPr>
        <w:t>极高的核心业务，通过部署多个</w:t>
      </w:r>
      <w:r w:rsidRPr="00325F1E">
        <w:rPr>
          <w:rFonts w:ascii="Segoe UI" w:hAnsi="Segoe UI" w:cs="Segoe UI"/>
          <w:color w:val="000000"/>
        </w:rPr>
        <w:t>ELB</w:t>
      </w:r>
      <w:r w:rsidRPr="00325F1E">
        <w:rPr>
          <w:rFonts w:ascii="Segoe UI" w:hAnsi="Segoe UI" w:cs="Segoe UI"/>
          <w:color w:val="000000"/>
        </w:rPr>
        <w:t>实例并结合华为云解析</w:t>
      </w:r>
      <w:r w:rsidRPr="00325F1E">
        <w:rPr>
          <w:rFonts w:ascii="Segoe UI" w:hAnsi="Segoe UI" w:cs="Segoe UI"/>
          <w:color w:val="000000"/>
        </w:rPr>
        <w:t>DNS</w:t>
      </w:r>
      <w:r w:rsidRPr="00325F1E">
        <w:rPr>
          <w:rFonts w:ascii="Segoe UI" w:hAnsi="Segoe UI" w:cs="Segoe UI"/>
          <w:color w:val="000000"/>
        </w:rPr>
        <w:t>实现流量调度。当单个</w:t>
      </w:r>
      <w:r w:rsidRPr="00325F1E">
        <w:rPr>
          <w:rFonts w:ascii="Segoe UI" w:hAnsi="Segoe UI" w:cs="Segoe UI"/>
          <w:color w:val="000000"/>
        </w:rPr>
        <w:t>ELB</w:t>
      </w:r>
      <w:r w:rsidRPr="00325F1E">
        <w:rPr>
          <w:rFonts w:ascii="Segoe UI" w:hAnsi="Segoe UI" w:cs="Segoe UI"/>
          <w:color w:val="000000"/>
        </w:rPr>
        <w:t>实例因配置错误、网络攻击或硬件故障导致不可用时，云解析</w:t>
      </w:r>
      <w:r w:rsidRPr="00325F1E">
        <w:rPr>
          <w:rFonts w:ascii="Segoe UI" w:hAnsi="Segoe UI" w:cs="Segoe UI"/>
          <w:color w:val="000000"/>
        </w:rPr>
        <w:t>DNS</w:t>
      </w:r>
      <w:r w:rsidRPr="00325F1E">
        <w:rPr>
          <w:rFonts w:ascii="Segoe UI" w:hAnsi="Segoe UI" w:cs="Segoe UI"/>
          <w:color w:val="000000"/>
        </w:rPr>
        <w:t>可根据健康检查结果自动将流量切换至其他正常</w:t>
      </w:r>
      <w:r w:rsidRPr="00325F1E">
        <w:rPr>
          <w:rFonts w:ascii="Segoe UI" w:hAnsi="Segoe UI" w:cs="Segoe UI"/>
          <w:color w:val="000000"/>
        </w:rPr>
        <w:t>ELB</w:t>
      </w:r>
      <w:r w:rsidRPr="00325F1E">
        <w:rPr>
          <w:rFonts w:ascii="Segoe UI" w:hAnsi="Segoe UI" w:cs="Segoe UI"/>
          <w:color w:val="000000"/>
        </w:rPr>
        <w:t>实例，避免因单实例故障影响整体服务。该方案支持在同一</w:t>
      </w:r>
      <w:r w:rsidRPr="00325F1E">
        <w:rPr>
          <w:rFonts w:ascii="Segoe UI" w:hAnsi="Segoe UI" w:cs="Segoe UI"/>
          <w:color w:val="000000"/>
        </w:rPr>
        <w:t>Region</w:t>
      </w:r>
      <w:r w:rsidRPr="00325F1E">
        <w:rPr>
          <w:rFonts w:ascii="Segoe UI" w:hAnsi="Segoe UI" w:cs="Segoe UI"/>
          <w:color w:val="000000"/>
        </w:rPr>
        <w:t>的多个可用区或跨</w:t>
      </w:r>
      <w:r w:rsidRPr="00325F1E">
        <w:rPr>
          <w:rFonts w:ascii="Segoe UI" w:hAnsi="Segoe UI" w:cs="Segoe UI"/>
          <w:color w:val="000000"/>
        </w:rPr>
        <w:t>Region</w:t>
      </w:r>
      <w:r w:rsidRPr="00325F1E">
        <w:rPr>
          <w:rFonts w:ascii="Segoe UI" w:hAnsi="Segoe UI" w:cs="Segoe UI"/>
          <w:color w:val="000000"/>
        </w:rPr>
        <w:t>部署</w:t>
      </w:r>
      <w:r w:rsidRPr="00325F1E">
        <w:rPr>
          <w:rFonts w:ascii="Segoe UI" w:hAnsi="Segoe UI" w:cs="Segoe UI"/>
          <w:color w:val="000000"/>
        </w:rPr>
        <w:t>ELB</w:t>
      </w:r>
      <w:r w:rsidRPr="00325F1E">
        <w:rPr>
          <w:rFonts w:ascii="Segoe UI" w:hAnsi="Segoe UI" w:cs="Segoe UI"/>
          <w:color w:val="000000"/>
        </w:rPr>
        <w:t>集群，例如金融企业在上海、北京各部署一组</w:t>
      </w:r>
      <w:r w:rsidRPr="00325F1E">
        <w:rPr>
          <w:rFonts w:ascii="Segoe UI" w:hAnsi="Segoe UI" w:cs="Segoe UI"/>
          <w:color w:val="000000"/>
        </w:rPr>
        <w:t>ELB</w:t>
      </w:r>
      <w:r w:rsidRPr="00325F1E">
        <w:rPr>
          <w:rFonts w:ascii="Segoe UI" w:hAnsi="Segoe UI" w:cs="Segoe UI"/>
          <w:color w:val="000000"/>
        </w:rPr>
        <w:t>实例，通过全球负载均衡策略实现跨地域容灾</w:t>
      </w:r>
      <w:r w:rsidRPr="00325F1E">
        <w:rPr>
          <w:rFonts w:ascii="Segoe UI" w:hAnsi="Segoe UI" w:cs="Segoe UI"/>
          <w:color w:val="000000"/>
        </w:rPr>
        <w:t>——</w:t>
      </w:r>
      <w:r w:rsidRPr="00325F1E">
        <w:rPr>
          <w:rFonts w:ascii="Segoe UI" w:hAnsi="Segoe UI" w:cs="Segoe UI"/>
          <w:color w:val="000000"/>
        </w:rPr>
        <w:t>当上海</w:t>
      </w:r>
      <w:r w:rsidRPr="00325F1E">
        <w:rPr>
          <w:rFonts w:ascii="Segoe UI" w:hAnsi="Segoe UI" w:cs="Segoe UI"/>
          <w:color w:val="000000"/>
        </w:rPr>
        <w:t>Region</w:t>
      </w:r>
      <w:r w:rsidRPr="00325F1E">
        <w:rPr>
          <w:rFonts w:ascii="Segoe UI" w:hAnsi="Segoe UI" w:cs="Segoe UI"/>
          <w:color w:val="000000"/>
        </w:rPr>
        <w:t>遭遇区域性故障时，</w:t>
      </w:r>
      <w:r w:rsidRPr="00325F1E">
        <w:rPr>
          <w:rFonts w:ascii="Segoe UI" w:hAnsi="Segoe UI" w:cs="Segoe UI"/>
          <w:color w:val="000000"/>
        </w:rPr>
        <w:t>DNS</w:t>
      </w:r>
      <w:r w:rsidRPr="00325F1E">
        <w:rPr>
          <w:rFonts w:ascii="Segoe UI" w:hAnsi="Segoe UI" w:cs="Segoe UI"/>
          <w:color w:val="000000"/>
        </w:rPr>
        <w:t>自动将流量调度至北京</w:t>
      </w:r>
      <w:r w:rsidRPr="00325F1E">
        <w:rPr>
          <w:rFonts w:ascii="Segoe UI" w:hAnsi="Segoe UI" w:cs="Segoe UI"/>
          <w:color w:val="000000"/>
        </w:rPr>
        <w:t>Region</w:t>
      </w:r>
      <w:r w:rsidRPr="00325F1E">
        <w:rPr>
          <w:rFonts w:ascii="Segoe UI" w:hAnsi="Segoe UI" w:cs="Segoe UI"/>
          <w:color w:val="000000"/>
        </w:rPr>
        <w:t>的</w:t>
      </w:r>
      <w:r w:rsidRPr="00325F1E">
        <w:rPr>
          <w:rFonts w:ascii="Segoe UI" w:hAnsi="Segoe UI" w:cs="Segoe UI"/>
          <w:color w:val="000000"/>
        </w:rPr>
        <w:t>ELB</w:t>
      </w:r>
      <w:r w:rsidRPr="00325F1E">
        <w:rPr>
          <w:rFonts w:ascii="Segoe UI" w:hAnsi="Segoe UI" w:cs="Segoe UI"/>
          <w:color w:val="000000"/>
        </w:rPr>
        <w:t>集群，确保交易服务持续可用。此外，多</w:t>
      </w:r>
      <w:r w:rsidRPr="00325F1E">
        <w:rPr>
          <w:rFonts w:ascii="Segoe UI" w:hAnsi="Segoe UI" w:cs="Segoe UI"/>
          <w:color w:val="000000"/>
        </w:rPr>
        <w:t>ELB</w:t>
      </w:r>
      <w:r w:rsidRPr="00325F1E">
        <w:rPr>
          <w:rFonts w:ascii="Segoe UI" w:hAnsi="Segoe UI" w:cs="Segoe UI"/>
          <w:color w:val="000000"/>
        </w:rPr>
        <w:t>实例可与华为云全局流量管理（</w:t>
      </w:r>
      <w:r w:rsidRPr="00325F1E">
        <w:rPr>
          <w:rFonts w:ascii="Segoe UI" w:hAnsi="Segoe UI" w:cs="Segoe UI"/>
          <w:color w:val="000000"/>
        </w:rPr>
        <w:t>GTM</w:t>
      </w:r>
      <w:r w:rsidRPr="00325F1E">
        <w:rPr>
          <w:rFonts w:ascii="Segoe UI" w:hAnsi="Segoe UI" w:cs="Segoe UI"/>
          <w:color w:val="000000"/>
        </w:rPr>
        <w:t>）结合，根据用户地理位置、网络运营商等维度实现流量的智能分发，提升终端访问速度与服务稳定性。</w:t>
      </w:r>
    </w:p>
    <w:p w14:paraId="26B66FA5" w14:textId="09DBE24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后端</w:t>
      </w:r>
      <w:r w:rsidRPr="00325F1E">
        <w:rPr>
          <w:rFonts w:ascii="Segoe UI" w:hAnsi="Segoe UI" w:cs="Segoe UI"/>
          <w:color w:val="000000"/>
        </w:rPr>
        <w:t>ECS</w:t>
      </w:r>
      <w:r w:rsidRPr="00325F1E">
        <w:rPr>
          <w:rFonts w:ascii="Segoe UI" w:hAnsi="Segoe UI" w:cs="Segoe UI"/>
          <w:color w:val="000000"/>
        </w:rPr>
        <w:t>实例的健康检查机制是高可用架构的关键环节，</w:t>
      </w:r>
      <w:r w:rsidRPr="00325F1E">
        <w:rPr>
          <w:rFonts w:ascii="Segoe UI" w:hAnsi="Segoe UI" w:cs="Segoe UI"/>
          <w:color w:val="000000"/>
        </w:rPr>
        <w:t>ELB</w:t>
      </w:r>
      <w:r w:rsidRPr="00325F1E">
        <w:rPr>
          <w:rFonts w:ascii="Segoe UI" w:hAnsi="Segoe UI" w:cs="Segoe UI"/>
          <w:color w:val="000000"/>
        </w:rPr>
        <w:t>通过定时发送探测请求</w:t>
      </w:r>
      <w:r w:rsidRPr="00325F1E">
        <w:rPr>
          <w:rFonts w:ascii="Segoe UI" w:hAnsi="Segoe UI" w:cs="Segoe UI"/>
          <w:color w:val="000000"/>
        </w:rPr>
        <w:lastRenderedPageBreak/>
        <w:t>（支持</w:t>
      </w:r>
      <w:r w:rsidRPr="00325F1E">
        <w:rPr>
          <w:rFonts w:ascii="Segoe UI" w:hAnsi="Segoe UI" w:cs="Segoe UI"/>
          <w:color w:val="000000"/>
        </w:rPr>
        <w:t>HTTP</w:t>
      </w:r>
      <w:r w:rsidRPr="00325F1E">
        <w:rPr>
          <w:rFonts w:ascii="Segoe UI" w:hAnsi="Segoe UI" w:cs="Segoe UI"/>
          <w:color w:val="000000"/>
        </w:rPr>
        <w:t>、</w:t>
      </w:r>
      <w:r w:rsidRPr="00325F1E">
        <w:rPr>
          <w:rFonts w:ascii="Segoe UI" w:hAnsi="Segoe UI" w:cs="Segoe UI"/>
          <w:color w:val="000000"/>
        </w:rPr>
        <w:t>HTTPS</w:t>
      </w:r>
      <w:r w:rsidRPr="00325F1E">
        <w:rPr>
          <w:rFonts w:ascii="Segoe UI" w:hAnsi="Segoe UI" w:cs="Segoe UI"/>
          <w:color w:val="000000"/>
        </w:rPr>
        <w:t>、</w:t>
      </w:r>
      <w:r w:rsidRPr="00325F1E">
        <w:rPr>
          <w:rFonts w:ascii="Segoe UI" w:hAnsi="Segoe UI" w:cs="Segoe UI"/>
          <w:color w:val="000000"/>
        </w:rPr>
        <w:t>TCP</w:t>
      </w:r>
      <w:r w:rsidRPr="00325F1E">
        <w:rPr>
          <w:rFonts w:ascii="Segoe UI" w:hAnsi="Segoe UI" w:cs="Segoe UI"/>
          <w:color w:val="000000"/>
        </w:rPr>
        <w:t>、</w:t>
      </w:r>
      <w:r w:rsidRPr="00325F1E">
        <w:rPr>
          <w:rFonts w:ascii="Segoe UI" w:hAnsi="Segoe UI" w:cs="Segoe UI"/>
          <w:color w:val="000000"/>
        </w:rPr>
        <w:t>ICMP</w:t>
      </w:r>
      <w:r w:rsidRPr="00325F1E">
        <w:rPr>
          <w:rFonts w:ascii="Segoe UI" w:hAnsi="Segoe UI" w:cs="Segoe UI"/>
          <w:color w:val="000000"/>
        </w:rPr>
        <w:t>等协议）监控</w:t>
      </w:r>
      <w:r w:rsidRPr="00325F1E">
        <w:rPr>
          <w:rFonts w:ascii="Segoe UI" w:hAnsi="Segoe UI" w:cs="Segoe UI"/>
          <w:color w:val="000000"/>
        </w:rPr>
        <w:t>ECS</w:t>
      </w:r>
      <w:r w:rsidRPr="00325F1E">
        <w:rPr>
          <w:rFonts w:ascii="Segoe UI" w:hAnsi="Segoe UI" w:cs="Segoe UI"/>
          <w:color w:val="000000"/>
        </w:rPr>
        <w:t>运行状态。当某台</w:t>
      </w:r>
      <w:r w:rsidRPr="00325F1E">
        <w:rPr>
          <w:rFonts w:ascii="Segoe UI" w:hAnsi="Segoe UI" w:cs="Segoe UI"/>
          <w:color w:val="000000"/>
        </w:rPr>
        <w:t>ECS</w:t>
      </w:r>
      <w:r w:rsidRPr="00325F1E">
        <w:rPr>
          <w:rFonts w:ascii="Segoe UI" w:hAnsi="Segoe UI" w:cs="Segoe UI"/>
          <w:color w:val="000000"/>
        </w:rPr>
        <w:t>连续多次未响应健康检查请求时，</w:t>
      </w:r>
      <w:r w:rsidRPr="00325F1E">
        <w:rPr>
          <w:rFonts w:ascii="Segoe UI" w:hAnsi="Segoe UI" w:cs="Segoe UI"/>
          <w:color w:val="000000"/>
        </w:rPr>
        <w:t>ELB</w:t>
      </w:r>
      <w:r w:rsidRPr="00325F1E">
        <w:rPr>
          <w:rFonts w:ascii="Segoe UI" w:hAnsi="Segoe UI" w:cs="Segoe UI"/>
          <w:color w:val="000000"/>
        </w:rPr>
        <w:t>自动将其从后端服务器组中移除，新流量不再分发至该节点，而已建立的连接可继续处理直至完成，避免业务中断；当</w:t>
      </w:r>
      <w:r w:rsidRPr="00325F1E">
        <w:rPr>
          <w:rFonts w:ascii="Segoe UI" w:hAnsi="Segoe UI" w:cs="Segoe UI"/>
          <w:color w:val="000000"/>
        </w:rPr>
        <w:t>ECS</w:t>
      </w:r>
      <w:r w:rsidRPr="00325F1E">
        <w:rPr>
          <w:rFonts w:ascii="Segoe UI" w:hAnsi="Segoe UI" w:cs="Segoe UI"/>
          <w:color w:val="000000"/>
        </w:rPr>
        <w:t>恢复正常后，</w:t>
      </w:r>
      <w:r w:rsidRPr="00325F1E">
        <w:rPr>
          <w:rFonts w:ascii="Segoe UI" w:hAnsi="Segoe UI" w:cs="Segoe UI"/>
          <w:color w:val="000000"/>
        </w:rPr>
        <w:t>ELB</w:t>
      </w:r>
      <w:r w:rsidRPr="00325F1E">
        <w:rPr>
          <w:rFonts w:ascii="Segoe UI" w:hAnsi="Segoe UI" w:cs="Segoe UI"/>
          <w:color w:val="000000"/>
        </w:rPr>
        <w:t>通过健康检查确认状态，自动将其重新加入服务器组。企业可自定义健康检查参数，如检查频率、超时时间、不健康阈值等，例如对电商秒杀业务的</w:t>
      </w:r>
      <w:r w:rsidRPr="00325F1E">
        <w:rPr>
          <w:rFonts w:ascii="Segoe UI" w:hAnsi="Segoe UI" w:cs="Segoe UI"/>
          <w:color w:val="000000"/>
        </w:rPr>
        <w:t>ECS</w:t>
      </w:r>
      <w:r w:rsidRPr="00325F1E">
        <w:rPr>
          <w:rFonts w:ascii="Segoe UI" w:hAnsi="Segoe UI" w:cs="Segoe UI"/>
          <w:color w:val="000000"/>
        </w:rPr>
        <w:t>设置高频次（每</w:t>
      </w:r>
      <w:r w:rsidRPr="00325F1E">
        <w:rPr>
          <w:rFonts w:ascii="Segoe UI" w:hAnsi="Segoe UI" w:cs="Segoe UI"/>
          <w:color w:val="000000"/>
        </w:rPr>
        <w:t>5</w:t>
      </w:r>
      <w:r w:rsidRPr="00325F1E">
        <w:rPr>
          <w:rFonts w:ascii="Segoe UI" w:hAnsi="Segoe UI" w:cs="Segoe UI" w:hint="eastAsia"/>
          <w:color w:val="000000"/>
        </w:rPr>
        <w:t>秒一次）、短超时（</w:t>
      </w:r>
      <w:r w:rsidRPr="00325F1E">
        <w:rPr>
          <w:rFonts w:ascii="Segoe UI" w:hAnsi="Segoe UI" w:cs="Segoe UI"/>
          <w:color w:val="000000"/>
        </w:rPr>
        <w:t>3</w:t>
      </w:r>
      <w:r w:rsidRPr="00325F1E">
        <w:rPr>
          <w:rFonts w:ascii="Segoe UI" w:hAnsi="Segoe UI" w:cs="Segoe UI"/>
          <w:color w:val="000000"/>
        </w:rPr>
        <w:t>秒）的健康检查策略，确保故障节点快速隔离。此外，健康检查支持与华为云监控服务（</w:t>
      </w:r>
      <w:r w:rsidRPr="00325F1E">
        <w:rPr>
          <w:rFonts w:ascii="Segoe UI" w:hAnsi="Segoe UI" w:cs="Segoe UI"/>
          <w:color w:val="000000"/>
        </w:rPr>
        <w:t>CES</w:t>
      </w:r>
      <w:r w:rsidRPr="00325F1E">
        <w:rPr>
          <w:rFonts w:ascii="Segoe UI" w:hAnsi="Segoe UI" w:cs="Segoe UI"/>
          <w:color w:val="000000"/>
        </w:rPr>
        <w:t>）联动，异常时自动触发告警并生成事件日志，便于运维团队快速定位故障根源。</w:t>
      </w:r>
    </w:p>
    <w:p w14:paraId="582F5FFF" w14:textId="5A304A41"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该高可用架构通过</w:t>
      </w:r>
      <w:r w:rsidRPr="00325F1E">
        <w:rPr>
          <w:rFonts w:ascii="Segoe UI" w:hAnsi="Segoe UI" w:cs="Segoe UI"/>
          <w:color w:val="000000"/>
        </w:rPr>
        <w:t>ELB</w:t>
      </w:r>
      <w:r w:rsidRPr="00325F1E">
        <w:rPr>
          <w:rFonts w:ascii="Segoe UI" w:hAnsi="Segoe UI" w:cs="Segoe UI"/>
          <w:color w:val="000000"/>
        </w:rPr>
        <w:t>与</w:t>
      </w:r>
      <w:r w:rsidRPr="00325F1E">
        <w:rPr>
          <w:rFonts w:ascii="Segoe UI" w:hAnsi="Segoe UI" w:cs="Segoe UI"/>
          <w:color w:val="000000"/>
        </w:rPr>
        <w:t>ECS</w:t>
      </w:r>
      <w:r w:rsidRPr="00325F1E">
        <w:rPr>
          <w:rFonts w:ascii="Segoe UI" w:hAnsi="Segoe UI" w:cs="Segoe UI"/>
          <w:color w:val="000000"/>
        </w:rPr>
        <w:t>的深度协同，实现</w:t>
      </w:r>
      <w:r w:rsidRPr="00325F1E">
        <w:rPr>
          <w:rFonts w:ascii="Segoe UI" w:hAnsi="Segoe UI" w:cs="Segoe UI"/>
          <w:color w:val="000000"/>
        </w:rPr>
        <w:t>“</w:t>
      </w:r>
      <w:r w:rsidRPr="00325F1E">
        <w:rPr>
          <w:rFonts w:ascii="Segoe UI" w:hAnsi="Segoe UI" w:cs="Segoe UI"/>
          <w:color w:val="000000"/>
        </w:rPr>
        <w:t>流量分发</w:t>
      </w:r>
      <w:r w:rsidRPr="00325F1E">
        <w:rPr>
          <w:rFonts w:ascii="Segoe UI" w:hAnsi="Segoe UI" w:cs="Segoe UI"/>
          <w:color w:val="000000"/>
        </w:rPr>
        <w:t>-</w:t>
      </w:r>
      <w:r w:rsidRPr="00325F1E">
        <w:rPr>
          <w:rFonts w:ascii="Segoe UI" w:hAnsi="Segoe UI" w:cs="Segoe UI"/>
          <w:color w:val="000000"/>
        </w:rPr>
        <w:t>故障检测</w:t>
      </w:r>
      <w:r w:rsidRPr="00325F1E">
        <w:rPr>
          <w:rFonts w:ascii="Segoe UI" w:hAnsi="Segoe UI" w:cs="Segoe UI"/>
          <w:color w:val="000000"/>
        </w:rPr>
        <w:t>-</w:t>
      </w:r>
      <w:r w:rsidRPr="00325F1E">
        <w:rPr>
          <w:rFonts w:ascii="Segoe UI" w:hAnsi="Segoe UI" w:cs="Segoe UI"/>
          <w:color w:val="000000"/>
        </w:rPr>
        <w:t>自动切换</w:t>
      </w:r>
      <w:r w:rsidRPr="00325F1E">
        <w:rPr>
          <w:rFonts w:ascii="Segoe UI" w:hAnsi="Segoe UI" w:cs="Segoe UI"/>
          <w:color w:val="000000"/>
        </w:rPr>
        <w:t>-</w:t>
      </w:r>
      <w:r w:rsidRPr="00325F1E">
        <w:rPr>
          <w:rFonts w:ascii="Segoe UI" w:hAnsi="Segoe UI" w:cs="Segoe UI"/>
          <w:color w:val="000000"/>
        </w:rPr>
        <w:t>服务恢复</w:t>
      </w:r>
      <w:r w:rsidRPr="00325F1E">
        <w:rPr>
          <w:rFonts w:ascii="Segoe UI" w:hAnsi="Segoe UI" w:cs="Segoe UI"/>
          <w:color w:val="000000"/>
        </w:rPr>
        <w:t>”</w:t>
      </w:r>
      <w:r w:rsidRPr="00325F1E">
        <w:rPr>
          <w:rFonts w:ascii="Segoe UI" w:hAnsi="Segoe UI" w:cs="Segoe UI"/>
          <w:color w:val="000000"/>
        </w:rPr>
        <w:t>的全流程自动化管理。例如，在大促活动中，</w:t>
      </w:r>
      <w:r w:rsidRPr="00325F1E">
        <w:rPr>
          <w:rFonts w:ascii="Segoe UI" w:hAnsi="Segoe UI" w:cs="Segoe UI"/>
          <w:color w:val="000000"/>
        </w:rPr>
        <w:t>ELB</w:t>
      </w:r>
      <w:r w:rsidRPr="00325F1E">
        <w:rPr>
          <w:rFonts w:ascii="Segoe UI" w:hAnsi="Segoe UI" w:cs="Segoe UI"/>
          <w:color w:val="000000"/>
        </w:rPr>
        <w:t>不仅承担千万级流量的负载均衡任务，还通过健康检查实时剔除因高负载导致的异常</w:t>
      </w:r>
      <w:r w:rsidRPr="00325F1E">
        <w:rPr>
          <w:rFonts w:ascii="Segoe UI" w:hAnsi="Segoe UI" w:cs="Segoe UI"/>
          <w:color w:val="000000"/>
        </w:rPr>
        <w:t>ECS</w:t>
      </w:r>
      <w:r w:rsidRPr="00325F1E">
        <w:rPr>
          <w:rFonts w:ascii="Segoe UI" w:hAnsi="Segoe UI" w:cs="Segoe UI"/>
          <w:color w:val="000000"/>
        </w:rPr>
        <w:t>实例，同时联动</w:t>
      </w:r>
      <w:proofErr w:type="spellStart"/>
      <w:r w:rsidRPr="00325F1E">
        <w:rPr>
          <w:rFonts w:ascii="Segoe UI" w:hAnsi="Segoe UI" w:cs="Segoe UI"/>
          <w:color w:val="000000"/>
        </w:rPr>
        <w:t>AutoScaling</w:t>
      </w:r>
      <w:proofErr w:type="spellEnd"/>
      <w:r w:rsidRPr="00325F1E">
        <w:rPr>
          <w:rFonts w:ascii="Segoe UI" w:hAnsi="Segoe UI" w:cs="Segoe UI"/>
          <w:color w:val="000000"/>
        </w:rPr>
        <w:t>自动扩容新实例，确保前端服务响应时间稳定在</w:t>
      </w:r>
      <w:r w:rsidRPr="00325F1E">
        <w:rPr>
          <w:rFonts w:ascii="Segoe UI" w:hAnsi="Segoe UI" w:cs="Segoe UI"/>
          <w:color w:val="000000"/>
        </w:rPr>
        <w:t>200ms</w:t>
      </w:r>
      <w:r w:rsidRPr="00325F1E">
        <w:rPr>
          <w:rFonts w:ascii="Segoe UI" w:hAnsi="Segoe UI" w:cs="Segoe UI"/>
          <w:color w:val="000000"/>
        </w:rPr>
        <w:t>以内；当某可用区因流量峰值出现网络拥塞时，多可用区</w:t>
      </w:r>
      <w:r w:rsidRPr="00325F1E">
        <w:rPr>
          <w:rFonts w:ascii="Segoe UI" w:hAnsi="Segoe UI" w:cs="Segoe UI"/>
          <w:color w:val="000000"/>
        </w:rPr>
        <w:t>ELB</w:t>
      </w:r>
      <w:r w:rsidRPr="00325F1E">
        <w:rPr>
          <w:rFonts w:ascii="Segoe UI" w:hAnsi="Segoe UI" w:cs="Segoe UI"/>
          <w:color w:val="000000"/>
        </w:rPr>
        <w:t>切换机制与云解析</w:t>
      </w:r>
      <w:r w:rsidRPr="00325F1E">
        <w:rPr>
          <w:rFonts w:ascii="Segoe UI" w:hAnsi="Segoe UI" w:cs="Segoe UI"/>
          <w:color w:val="000000"/>
        </w:rPr>
        <w:t>DNS</w:t>
      </w:r>
      <w:r w:rsidRPr="00325F1E">
        <w:rPr>
          <w:rFonts w:ascii="Segoe UI" w:hAnsi="Segoe UI" w:cs="Segoe UI"/>
          <w:color w:val="000000"/>
        </w:rPr>
        <w:t>调度能力配合，将流量疏导至其他可用区，保障业务连续性。整体方案通过多层次的高可用设计</w:t>
      </w:r>
      <w:r w:rsidRPr="00325F1E">
        <w:rPr>
          <w:rFonts w:ascii="Segoe UI" w:hAnsi="Segoe UI" w:cs="Segoe UI" w:hint="eastAsia"/>
          <w:color w:val="000000"/>
        </w:rPr>
        <w:t>，使业务系统在硬件故障、网络波动、流量峰值等场景下均能保持稳定运行，可用性达</w:t>
      </w:r>
      <w:r w:rsidRPr="00325F1E">
        <w:rPr>
          <w:rFonts w:ascii="Segoe UI" w:hAnsi="Segoe UI" w:cs="Segoe UI"/>
          <w:color w:val="000000"/>
        </w:rPr>
        <w:t>99.99%</w:t>
      </w:r>
      <w:r w:rsidRPr="00325F1E">
        <w:rPr>
          <w:rFonts w:ascii="Segoe UI" w:hAnsi="Segoe UI" w:cs="Segoe UI"/>
          <w:color w:val="000000"/>
        </w:rPr>
        <w:t>以上，满足金融、电商等行业对服务连续性的严苛</w:t>
      </w:r>
      <w:r w:rsidR="006C6F6D" w:rsidRPr="006C6F6D">
        <w:rPr>
          <w:rFonts w:ascii="Segoe UI" w:hAnsi="Segoe UI" w:cs="Segoe UI"/>
          <w:b/>
          <w:color w:val="000000"/>
        </w:rPr>
        <w:t>招标文件要求</w:t>
      </w:r>
      <w:r w:rsidRPr="00325F1E">
        <w:rPr>
          <w:rFonts w:ascii="Segoe UI" w:hAnsi="Segoe UI" w:cs="Segoe UI"/>
          <w:color w:val="000000"/>
        </w:rPr>
        <w:t>。</w:t>
      </w:r>
    </w:p>
    <w:p w14:paraId="2C829F04" w14:textId="32534B34" w:rsidR="008B6551" w:rsidRDefault="008B6551" w:rsidP="008B6551">
      <w:pPr>
        <w:pStyle w:val="5"/>
        <w:shd w:val="clear" w:color="auto" w:fill="F9FAFB"/>
        <w:rPr>
          <w:rFonts w:ascii="Segoe UI" w:hAnsi="Segoe UI" w:cs="Segoe UI"/>
          <w:color w:val="000000"/>
        </w:rPr>
      </w:pPr>
      <w:r>
        <w:rPr>
          <w:rFonts w:ascii="Segoe UI" w:hAnsi="Segoe UI" w:cs="Segoe UI"/>
          <w:color w:val="000000"/>
        </w:rPr>
        <w:t>全局流量调度与容灾</w:t>
      </w:r>
    </w:p>
    <w:p w14:paraId="5EC3622B" w14:textId="7BC2B620"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华为云全局流量管理（</w:t>
      </w:r>
      <w:r w:rsidRPr="00325F1E">
        <w:rPr>
          <w:rFonts w:ascii="Segoe UI" w:hAnsi="Segoe UI" w:cs="Segoe UI"/>
          <w:color w:val="000000"/>
        </w:rPr>
        <w:t>GTM</w:t>
      </w:r>
      <w:r w:rsidRPr="00325F1E">
        <w:rPr>
          <w:rFonts w:ascii="Segoe UI" w:hAnsi="Segoe UI" w:cs="Segoe UI"/>
          <w:color w:val="000000"/>
        </w:rPr>
        <w:t>）作为混合云网络互联与容灾架构的核心组件，依托</w:t>
      </w:r>
      <w:r w:rsidRPr="00325F1E">
        <w:rPr>
          <w:rFonts w:ascii="Segoe UI" w:hAnsi="Segoe UI" w:cs="Segoe UI"/>
          <w:color w:val="000000"/>
        </w:rPr>
        <w:t>DNS</w:t>
      </w:r>
      <w:r w:rsidRPr="00325F1E">
        <w:rPr>
          <w:rFonts w:ascii="Segoe UI" w:hAnsi="Segoe UI" w:cs="Segoe UI"/>
          <w:color w:val="000000"/>
        </w:rPr>
        <w:t>入口调度与分布式监控能力，构建覆盖全球的流量智能分发体系，解决企业跨区域业务部署中的流量优化、故障隔离及容灾切换需求。该方案突破传统</w:t>
      </w:r>
      <w:r w:rsidRPr="00325F1E">
        <w:rPr>
          <w:rFonts w:ascii="Segoe UI" w:hAnsi="Segoe UI" w:cs="Segoe UI"/>
          <w:color w:val="000000"/>
        </w:rPr>
        <w:t>DNS</w:t>
      </w:r>
      <w:r w:rsidRPr="00325F1E">
        <w:rPr>
          <w:rFonts w:ascii="Segoe UI" w:hAnsi="Segoe UI" w:cs="Segoe UI"/>
          <w:color w:val="000000"/>
        </w:rPr>
        <w:t>仅支持单一地址解析的局限，通过</w:t>
      </w:r>
      <w:r w:rsidRPr="00325F1E">
        <w:rPr>
          <w:rFonts w:ascii="Segoe UI" w:hAnsi="Segoe UI" w:cs="Segoe UI"/>
          <w:color w:val="000000"/>
        </w:rPr>
        <w:t>“</w:t>
      </w:r>
      <w:r w:rsidRPr="00325F1E">
        <w:rPr>
          <w:rFonts w:ascii="Segoe UI" w:hAnsi="Segoe UI" w:cs="Segoe UI"/>
          <w:color w:val="000000"/>
        </w:rPr>
        <w:t>地址池管理</w:t>
      </w:r>
      <w:r w:rsidRPr="00325F1E">
        <w:rPr>
          <w:rFonts w:ascii="Segoe UI" w:hAnsi="Segoe UI" w:cs="Segoe UI"/>
          <w:color w:val="000000"/>
        </w:rPr>
        <w:t>-</w:t>
      </w:r>
      <w:r w:rsidRPr="00325F1E">
        <w:rPr>
          <w:rFonts w:ascii="Segoe UI" w:hAnsi="Segoe UI" w:cs="Segoe UI"/>
          <w:color w:val="000000"/>
        </w:rPr>
        <w:t>健康检查</w:t>
      </w:r>
      <w:r w:rsidRPr="00325F1E">
        <w:rPr>
          <w:rFonts w:ascii="Segoe UI" w:hAnsi="Segoe UI" w:cs="Segoe UI"/>
          <w:color w:val="000000"/>
        </w:rPr>
        <w:t>-</w:t>
      </w:r>
      <w:r w:rsidRPr="00325F1E">
        <w:rPr>
          <w:rFonts w:ascii="Segoe UI" w:hAnsi="Segoe UI" w:cs="Segoe UI"/>
          <w:color w:val="000000"/>
        </w:rPr>
        <w:t>访问策略</w:t>
      </w:r>
      <w:r w:rsidRPr="00325F1E">
        <w:rPr>
          <w:rFonts w:ascii="Segoe UI" w:hAnsi="Segoe UI" w:cs="Segoe UI"/>
          <w:color w:val="000000"/>
        </w:rPr>
        <w:t>”</w:t>
      </w:r>
      <w:r w:rsidRPr="00325F1E">
        <w:rPr>
          <w:rFonts w:ascii="Segoe UI" w:hAnsi="Segoe UI" w:cs="Segoe UI"/>
          <w:color w:val="000000"/>
        </w:rPr>
        <w:t>三位一体的技术架构，实现用户访问的就近接入、负载均摊及容灾切换自动化，为混合云环境下的异地多活、跨区域容灾提供底层流量调度支撑。</w:t>
      </w:r>
    </w:p>
    <w:p w14:paraId="089A0442" w14:textId="1C7007BA"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在地址池管理层面，</w:t>
      </w:r>
      <w:r w:rsidRPr="00325F1E">
        <w:rPr>
          <w:rFonts w:ascii="Segoe UI" w:hAnsi="Segoe UI" w:cs="Segoe UI"/>
          <w:color w:val="000000"/>
        </w:rPr>
        <w:t>GTM</w:t>
      </w:r>
      <w:r w:rsidRPr="00325F1E">
        <w:rPr>
          <w:rFonts w:ascii="Segoe UI" w:hAnsi="Segoe UI" w:cs="Segoe UI"/>
          <w:color w:val="000000"/>
        </w:rPr>
        <w:t>将提供相同应用服务的</w:t>
      </w:r>
      <w:r w:rsidRPr="00325F1E">
        <w:rPr>
          <w:rFonts w:ascii="Segoe UI" w:hAnsi="Segoe UI" w:cs="Segoe UI"/>
          <w:color w:val="000000"/>
        </w:rPr>
        <w:t>IP</w:t>
      </w:r>
      <w:r w:rsidRPr="00325F1E">
        <w:rPr>
          <w:rFonts w:ascii="Segoe UI" w:hAnsi="Segoe UI" w:cs="Segoe UI"/>
          <w:color w:val="000000"/>
        </w:rPr>
        <w:t>地址（或域名）整合为逻辑地址池，支持按地域、运营商、服务类型等维度分组管理。例如，企业可将北京可用区</w:t>
      </w:r>
      <w:r w:rsidRPr="00325F1E">
        <w:rPr>
          <w:rFonts w:ascii="Segoe UI" w:hAnsi="Segoe UI" w:cs="Segoe UI"/>
          <w:color w:val="000000"/>
        </w:rPr>
        <w:t>A</w:t>
      </w:r>
      <w:r w:rsidRPr="00325F1E">
        <w:rPr>
          <w:rFonts w:ascii="Segoe UI" w:hAnsi="Segoe UI" w:cs="Segoe UI"/>
          <w:color w:val="000000"/>
        </w:rPr>
        <w:t>的</w:t>
      </w:r>
      <w:r w:rsidRPr="00325F1E">
        <w:rPr>
          <w:rFonts w:ascii="Segoe UI" w:hAnsi="Segoe UI" w:cs="Segoe UI"/>
          <w:color w:val="000000"/>
        </w:rPr>
        <w:t>ELB</w:t>
      </w:r>
      <w:r w:rsidRPr="00325F1E">
        <w:rPr>
          <w:rFonts w:ascii="Segoe UI" w:hAnsi="Segoe UI" w:cs="Segoe UI"/>
          <w:color w:val="000000"/>
        </w:rPr>
        <w:t>集群</w:t>
      </w:r>
      <w:r w:rsidRPr="00325F1E">
        <w:rPr>
          <w:rFonts w:ascii="Segoe UI" w:hAnsi="Segoe UI" w:cs="Segoe UI"/>
          <w:color w:val="000000"/>
        </w:rPr>
        <w:t>IP</w:t>
      </w:r>
      <w:r w:rsidRPr="00325F1E">
        <w:rPr>
          <w:rFonts w:ascii="Segoe UI" w:hAnsi="Segoe UI" w:cs="Segoe UI"/>
          <w:color w:val="000000"/>
        </w:rPr>
        <w:t>划分为</w:t>
      </w:r>
      <w:r w:rsidRPr="00325F1E">
        <w:rPr>
          <w:rFonts w:ascii="Segoe UI" w:hAnsi="Segoe UI" w:cs="Segoe UI"/>
          <w:color w:val="000000"/>
        </w:rPr>
        <w:t>“</w:t>
      </w:r>
      <w:r w:rsidRPr="00325F1E">
        <w:rPr>
          <w:rFonts w:ascii="Segoe UI" w:hAnsi="Segoe UI" w:cs="Segoe UI"/>
          <w:color w:val="000000"/>
        </w:rPr>
        <w:t>北方服务池</w:t>
      </w:r>
      <w:r w:rsidRPr="00325F1E">
        <w:rPr>
          <w:rFonts w:ascii="Segoe UI" w:hAnsi="Segoe UI" w:cs="Segoe UI"/>
          <w:color w:val="000000"/>
        </w:rPr>
        <w:t>”</w:t>
      </w:r>
      <w:r w:rsidRPr="00325F1E">
        <w:rPr>
          <w:rFonts w:ascii="Segoe UI" w:hAnsi="Segoe UI" w:cs="Segoe UI"/>
          <w:color w:val="000000"/>
        </w:rPr>
        <w:t>，上海可用区</w:t>
      </w:r>
      <w:r w:rsidRPr="00325F1E">
        <w:rPr>
          <w:rFonts w:ascii="Segoe UI" w:hAnsi="Segoe UI" w:cs="Segoe UI"/>
          <w:color w:val="000000"/>
        </w:rPr>
        <w:t>B</w:t>
      </w:r>
      <w:r w:rsidRPr="00325F1E">
        <w:rPr>
          <w:rFonts w:ascii="Segoe UI" w:hAnsi="Segoe UI" w:cs="Segoe UI"/>
          <w:color w:val="000000"/>
        </w:rPr>
        <w:t>的</w:t>
      </w:r>
      <w:r w:rsidRPr="00325F1E">
        <w:rPr>
          <w:rFonts w:ascii="Segoe UI" w:hAnsi="Segoe UI" w:cs="Segoe UI"/>
          <w:color w:val="000000"/>
        </w:rPr>
        <w:t>IP</w:t>
      </w:r>
      <w:r w:rsidRPr="00325F1E">
        <w:rPr>
          <w:rFonts w:ascii="Segoe UI" w:hAnsi="Segoe UI" w:cs="Segoe UI"/>
          <w:color w:val="000000"/>
        </w:rPr>
        <w:t>划分为</w:t>
      </w:r>
      <w:r w:rsidRPr="00325F1E">
        <w:rPr>
          <w:rFonts w:ascii="Segoe UI" w:hAnsi="Segoe UI" w:cs="Segoe UI"/>
          <w:color w:val="000000"/>
        </w:rPr>
        <w:t>“</w:t>
      </w:r>
      <w:r w:rsidRPr="00325F1E">
        <w:rPr>
          <w:rFonts w:ascii="Segoe UI" w:hAnsi="Segoe UI" w:cs="Segoe UI"/>
          <w:color w:val="000000"/>
        </w:rPr>
        <w:t>南方服务池</w:t>
      </w:r>
      <w:r w:rsidRPr="00325F1E">
        <w:rPr>
          <w:rFonts w:ascii="Segoe UI" w:hAnsi="Segoe UI" w:cs="Segoe UI"/>
          <w:color w:val="000000"/>
        </w:rPr>
        <w:t>”</w:t>
      </w:r>
      <w:r w:rsidRPr="00325F1E">
        <w:rPr>
          <w:rFonts w:ascii="Segoe UI" w:hAnsi="Segoe UI" w:cs="Segoe UI"/>
          <w:color w:val="000000"/>
        </w:rPr>
        <w:t>，通过地址池实现应用服务的统一抽象与管理。当用户请求接入时，</w:t>
      </w:r>
      <w:r w:rsidRPr="00325F1E">
        <w:rPr>
          <w:rFonts w:ascii="Segoe UI" w:hAnsi="Segoe UI" w:cs="Segoe UI"/>
          <w:color w:val="000000"/>
        </w:rPr>
        <w:t>GTM</w:t>
      </w:r>
      <w:r w:rsidRPr="00325F1E">
        <w:rPr>
          <w:rFonts w:ascii="Segoe UI" w:hAnsi="Segoe UI" w:cs="Segoe UI"/>
          <w:color w:val="000000"/>
        </w:rPr>
        <w:t>根据访问策略将流量解析至对应地址池，既实现同地域内的流量负载均衡，又能在地址池整体故障时快速切换至备份池。地址池支持动态扩容与缩容，企业可根据业务扩展需求实时添加或移除</w:t>
      </w:r>
      <w:r w:rsidRPr="00325F1E">
        <w:rPr>
          <w:rFonts w:ascii="Segoe UI" w:hAnsi="Segoe UI" w:cs="Segoe UI"/>
          <w:color w:val="000000"/>
        </w:rPr>
        <w:t>IP</w:t>
      </w:r>
      <w:r w:rsidRPr="00325F1E">
        <w:rPr>
          <w:rFonts w:ascii="Segoe UI" w:hAnsi="Segoe UI" w:cs="Segoe UI"/>
          <w:color w:val="000000"/>
        </w:rPr>
        <w:t>地址，确保流</w:t>
      </w:r>
      <w:r w:rsidRPr="00325F1E">
        <w:rPr>
          <w:rFonts w:ascii="Segoe UI" w:hAnsi="Segoe UI" w:cs="Segoe UI" w:hint="eastAsia"/>
          <w:color w:val="000000"/>
        </w:rPr>
        <w:t>量调度与资源部署同步更新。</w:t>
      </w:r>
    </w:p>
    <w:p w14:paraId="17A21C64" w14:textId="2AEFE9FA"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健康检查机制依托华为云分布式监控网络，从多个地域对地址池内的</w:t>
      </w:r>
      <w:r w:rsidRPr="00325F1E">
        <w:rPr>
          <w:rFonts w:ascii="Segoe UI" w:hAnsi="Segoe UI" w:cs="Segoe UI"/>
          <w:color w:val="000000"/>
        </w:rPr>
        <w:t>IP</w:t>
      </w:r>
      <w:r w:rsidRPr="00325F1E">
        <w:rPr>
          <w:rFonts w:ascii="Segoe UI" w:hAnsi="Segoe UI" w:cs="Segoe UI"/>
          <w:color w:val="000000"/>
        </w:rPr>
        <w:t>地址发起周期性探测（支持</w:t>
      </w:r>
      <w:r w:rsidRPr="00325F1E">
        <w:rPr>
          <w:rFonts w:ascii="Segoe UI" w:hAnsi="Segoe UI" w:cs="Segoe UI"/>
          <w:color w:val="000000"/>
        </w:rPr>
        <w:t>HTTP/HTTPS</w:t>
      </w:r>
      <w:r w:rsidRPr="00325F1E">
        <w:rPr>
          <w:rFonts w:ascii="Segoe UI" w:hAnsi="Segoe UI" w:cs="Segoe UI"/>
          <w:color w:val="000000"/>
        </w:rPr>
        <w:t>、</w:t>
      </w:r>
      <w:r w:rsidRPr="00325F1E">
        <w:rPr>
          <w:rFonts w:ascii="Segoe UI" w:hAnsi="Segoe UI" w:cs="Segoe UI"/>
          <w:color w:val="000000"/>
        </w:rPr>
        <w:t>TCP</w:t>
      </w:r>
      <w:r w:rsidRPr="00325F1E">
        <w:rPr>
          <w:rFonts w:ascii="Segoe UI" w:hAnsi="Segoe UI" w:cs="Segoe UI"/>
          <w:color w:val="000000"/>
        </w:rPr>
        <w:t>、</w:t>
      </w:r>
      <w:r w:rsidRPr="00325F1E">
        <w:rPr>
          <w:rFonts w:ascii="Segoe UI" w:hAnsi="Segoe UI" w:cs="Segoe UI"/>
          <w:color w:val="000000"/>
        </w:rPr>
        <w:t>Ping</w:t>
      </w:r>
      <w:r w:rsidRPr="00325F1E">
        <w:rPr>
          <w:rFonts w:ascii="Segoe UI" w:hAnsi="Segoe UI" w:cs="Segoe UI"/>
          <w:color w:val="000000"/>
        </w:rPr>
        <w:t>等协议），实时感知服务可用性。当某一</w:t>
      </w:r>
      <w:r w:rsidRPr="00325F1E">
        <w:rPr>
          <w:rFonts w:ascii="Segoe UI" w:hAnsi="Segoe UI" w:cs="Segoe UI"/>
          <w:color w:val="000000"/>
        </w:rPr>
        <w:t>IP</w:t>
      </w:r>
      <w:r w:rsidRPr="00325F1E">
        <w:rPr>
          <w:rFonts w:ascii="Segoe UI" w:hAnsi="Segoe UI" w:cs="Segoe UI"/>
          <w:color w:val="000000"/>
        </w:rPr>
        <w:t>地址连续多次探测失败时，</w:t>
      </w:r>
      <w:r w:rsidRPr="00325F1E">
        <w:rPr>
          <w:rFonts w:ascii="Segoe UI" w:hAnsi="Segoe UI" w:cs="Segoe UI"/>
          <w:color w:val="000000"/>
        </w:rPr>
        <w:t>GTM</w:t>
      </w:r>
      <w:r w:rsidRPr="00325F1E">
        <w:rPr>
          <w:rFonts w:ascii="Segoe UI" w:hAnsi="Segoe UI" w:cs="Segoe UI"/>
          <w:color w:val="000000"/>
        </w:rPr>
        <w:t>自动将其从解析结果中摘除，避免流量分发至故障节点；当故障</w:t>
      </w:r>
      <w:r w:rsidRPr="00325F1E">
        <w:rPr>
          <w:rFonts w:ascii="Segoe UI" w:hAnsi="Segoe UI" w:cs="Segoe UI"/>
          <w:color w:val="000000"/>
        </w:rPr>
        <w:t>IP</w:t>
      </w:r>
      <w:r w:rsidRPr="00325F1E">
        <w:rPr>
          <w:rFonts w:ascii="Segoe UI" w:hAnsi="Segoe UI" w:cs="Segoe UI"/>
          <w:color w:val="000000"/>
        </w:rPr>
        <w:t>恢复后，健康检查模块会重新将其纳入可用列表，实现故障隔离与恢复的全自动化。这种分布式监控能力克服了传统单点监控的局限性，例如在检测上海可用区</w:t>
      </w:r>
      <w:r w:rsidRPr="00325F1E">
        <w:rPr>
          <w:rFonts w:ascii="Segoe UI" w:hAnsi="Segoe UI" w:cs="Segoe UI"/>
          <w:color w:val="000000"/>
        </w:rPr>
        <w:t>B</w:t>
      </w:r>
      <w:r w:rsidRPr="00325F1E">
        <w:rPr>
          <w:rFonts w:ascii="Segoe UI" w:hAnsi="Segoe UI" w:cs="Segoe UI"/>
          <w:color w:val="000000"/>
        </w:rPr>
        <w:t>的服务时，</w:t>
      </w:r>
      <w:r w:rsidRPr="00325F1E">
        <w:rPr>
          <w:rFonts w:ascii="Segoe UI" w:hAnsi="Segoe UI" w:cs="Segoe UI"/>
          <w:color w:val="000000"/>
        </w:rPr>
        <w:t>GTM</w:t>
      </w:r>
      <w:r w:rsidRPr="00325F1E">
        <w:rPr>
          <w:rFonts w:ascii="Segoe UI" w:hAnsi="Segoe UI" w:cs="Segoe UI"/>
          <w:color w:val="000000"/>
        </w:rPr>
        <w:t>会从北京、广州等多个地域发起探测，避免因单一监控点网络异常导致的误判，提升</w:t>
      </w:r>
      <w:r w:rsidRPr="00325F1E">
        <w:rPr>
          <w:rFonts w:ascii="Segoe UI" w:hAnsi="Segoe UI" w:cs="Segoe UI" w:hint="eastAsia"/>
          <w:color w:val="000000"/>
        </w:rPr>
        <w:t>健康检查的准确性与可靠性。</w:t>
      </w:r>
    </w:p>
    <w:p w14:paraId="4127D596" w14:textId="5B8C851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访问策略设计融合用户请求来源、地址池健康状态及业务优先级，实现流量的智能调度。策略支持多种维度的匹配规则：基于地域维度，可将北方用户的请求优先解析至北京地址池，</w:t>
      </w:r>
      <w:r w:rsidRPr="00325F1E">
        <w:rPr>
          <w:rFonts w:ascii="Segoe UI" w:hAnsi="Segoe UI" w:cs="Segoe UI" w:hint="eastAsia"/>
          <w:color w:val="000000"/>
        </w:rPr>
        <w:lastRenderedPageBreak/>
        <w:t>南方用户解析至上海地址池，减少跨地域网络延迟；基于健康状态维度，当北京地址池整体不可用时，</w:t>
      </w:r>
      <w:r w:rsidRPr="00325F1E">
        <w:rPr>
          <w:rFonts w:ascii="Segoe UI" w:hAnsi="Segoe UI" w:cs="Segoe UI"/>
          <w:color w:val="000000"/>
        </w:rPr>
        <w:t>GTM</w:t>
      </w:r>
      <w:r w:rsidRPr="00325F1E">
        <w:rPr>
          <w:rFonts w:ascii="Segoe UI" w:hAnsi="Segoe UI" w:cs="Segoe UI"/>
          <w:color w:val="000000"/>
        </w:rPr>
        <w:t>自动将流量切换至上海地址池，并触发告警通知运维团队；基于业务优先级维度，可为核心交易业务设置更高的流量权重，确保资源优先分配。访问策略还支持自定义故障切换阈值，例如设置</w:t>
      </w:r>
      <w:r w:rsidRPr="00325F1E">
        <w:rPr>
          <w:rFonts w:ascii="Segoe UI" w:hAnsi="Segoe UI" w:cs="Segoe UI"/>
          <w:color w:val="000000"/>
        </w:rPr>
        <w:t>“</w:t>
      </w:r>
      <w:r w:rsidRPr="00325F1E">
        <w:rPr>
          <w:rFonts w:ascii="Segoe UI" w:hAnsi="Segoe UI" w:cs="Segoe UI"/>
          <w:color w:val="000000"/>
        </w:rPr>
        <w:t>当地址池内</w:t>
      </w:r>
      <w:r w:rsidRPr="00325F1E">
        <w:rPr>
          <w:rFonts w:ascii="Segoe UI" w:hAnsi="Segoe UI" w:cs="Segoe UI"/>
          <w:color w:val="000000"/>
        </w:rPr>
        <w:t>50%</w:t>
      </w:r>
      <w:r w:rsidRPr="00325F1E">
        <w:rPr>
          <w:rFonts w:ascii="Segoe UI" w:hAnsi="Segoe UI" w:cs="Segoe UI"/>
          <w:color w:val="000000"/>
        </w:rPr>
        <w:t>以上</w:t>
      </w:r>
      <w:r w:rsidRPr="00325F1E">
        <w:rPr>
          <w:rFonts w:ascii="Segoe UI" w:hAnsi="Segoe UI" w:cs="Segoe UI"/>
          <w:color w:val="000000"/>
        </w:rPr>
        <w:t>IP</w:t>
      </w:r>
      <w:r w:rsidRPr="00325F1E">
        <w:rPr>
          <w:rFonts w:ascii="Segoe UI" w:hAnsi="Segoe UI" w:cs="Segoe UI"/>
          <w:color w:val="000000"/>
        </w:rPr>
        <w:t>不可用时触发切换</w:t>
      </w:r>
      <w:r w:rsidRPr="00325F1E">
        <w:rPr>
          <w:rFonts w:ascii="Segoe UI" w:hAnsi="Segoe UI" w:cs="Segoe UI"/>
          <w:color w:val="000000"/>
        </w:rPr>
        <w:t>”</w:t>
      </w:r>
      <w:r w:rsidRPr="00325F1E">
        <w:rPr>
          <w:rFonts w:ascii="Segoe UI" w:hAnsi="Segoe UI" w:cs="Segoe UI"/>
          <w:color w:val="000000"/>
        </w:rPr>
        <w:t>，企业可根据业务容忍度灵活配置，</w:t>
      </w:r>
      <w:r w:rsidRPr="00325F1E">
        <w:rPr>
          <w:rFonts w:ascii="Segoe UI" w:hAnsi="Segoe UI" w:cs="Segoe UI" w:hint="eastAsia"/>
          <w:color w:val="000000"/>
        </w:rPr>
        <w:t>在故障风险与切换频率之间取得平衡。</w:t>
      </w:r>
    </w:p>
    <w:p w14:paraId="3039AA3E" w14:textId="38DAA67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在典型容灾场景应用中，</w:t>
      </w:r>
      <w:r w:rsidRPr="00325F1E">
        <w:rPr>
          <w:rFonts w:ascii="Segoe UI" w:hAnsi="Segoe UI" w:cs="Segoe UI"/>
          <w:color w:val="000000"/>
        </w:rPr>
        <w:t>GTM</w:t>
      </w:r>
      <w:r w:rsidRPr="00325F1E">
        <w:rPr>
          <w:rFonts w:ascii="Segoe UI" w:hAnsi="Segoe UI" w:cs="Segoe UI"/>
          <w:color w:val="000000"/>
        </w:rPr>
        <w:t>与混合云架构深度协同，解决三大核心问题：</w:t>
      </w:r>
    </w:p>
    <w:p w14:paraId="2F44E2B1" w14:textId="654FD11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异地容灾场景下，企业在北京、上海分别部署生产集群，</w:t>
      </w:r>
      <w:r w:rsidRPr="00325F1E">
        <w:rPr>
          <w:rFonts w:ascii="Segoe UI" w:hAnsi="Segoe UI" w:cs="Segoe UI"/>
          <w:color w:val="000000"/>
        </w:rPr>
        <w:t>GTM</w:t>
      </w:r>
      <w:r w:rsidRPr="00325F1E">
        <w:rPr>
          <w:rFonts w:ascii="Segoe UI" w:hAnsi="Segoe UI" w:cs="Segoe UI"/>
          <w:color w:val="000000"/>
        </w:rPr>
        <w:t>通过全局</w:t>
      </w:r>
      <w:r w:rsidRPr="00325F1E">
        <w:rPr>
          <w:rFonts w:ascii="Segoe UI" w:hAnsi="Segoe UI" w:cs="Segoe UI"/>
          <w:color w:val="000000"/>
        </w:rPr>
        <w:t>DNS</w:t>
      </w:r>
      <w:r w:rsidRPr="00325F1E">
        <w:rPr>
          <w:rFonts w:ascii="Segoe UI" w:hAnsi="Segoe UI" w:cs="Segoe UI"/>
          <w:color w:val="000000"/>
        </w:rPr>
        <w:t>将用户流量按地域分发至就近集群，同时实时监控两地集群健康状态。当北京集群因自然灾害等原因整体故障时，</w:t>
      </w:r>
      <w:r w:rsidRPr="00325F1E">
        <w:rPr>
          <w:rFonts w:ascii="Segoe UI" w:hAnsi="Segoe UI" w:cs="Segoe UI"/>
          <w:color w:val="000000"/>
        </w:rPr>
        <w:t>GTM</w:t>
      </w:r>
      <w:r w:rsidRPr="00325F1E">
        <w:rPr>
          <w:rFonts w:ascii="Segoe UI" w:hAnsi="Segoe UI" w:cs="Segoe UI"/>
          <w:color w:val="000000"/>
        </w:rPr>
        <w:t>自动将所有流量切换至上海集群，配合数据库的跨区域同步（如</w:t>
      </w:r>
      <w:proofErr w:type="spellStart"/>
      <w:r w:rsidRPr="00325F1E">
        <w:rPr>
          <w:rFonts w:ascii="Segoe UI" w:hAnsi="Segoe UI" w:cs="Segoe UI"/>
          <w:color w:val="000000"/>
        </w:rPr>
        <w:t>PolarDB</w:t>
      </w:r>
      <w:proofErr w:type="spellEnd"/>
      <w:r w:rsidRPr="00325F1E">
        <w:rPr>
          <w:rFonts w:ascii="Segoe UI" w:hAnsi="Segoe UI" w:cs="Segoe UI"/>
          <w:color w:val="000000"/>
        </w:rPr>
        <w:t>的全球数据库网络），实现业务的分钟级容灾切换，用户无感知服务中断。该场景下，</w:t>
      </w:r>
      <w:r w:rsidRPr="00325F1E">
        <w:rPr>
          <w:rFonts w:ascii="Segoe UI" w:hAnsi="Segoe UI" w:cs="Segoe UI"/>
          <w:color w:val="000000"/>
        </w:rPr>
        <w:t>GTM</w:t>
      </w:r>
      <w:r w:rsidRPr="00325F1E">
        <w:rPr>
          <w:rFonts w:ascii="Segoe UI" w:hAnsi="Segoe UI" w:cs="Segoe UI"/>
          <w:color w:val="000000"/>
        </w:rPr>
        <w:t>的地址池管理能力确保两地集群的</w:t>
      </w:r>
      <w:r w:rsidRPr="00325F1E">
        <w:rPr>
          <w:rFonts w:ascii="Segoe UI" w:hAnsi="Segoe UI" w:cs="Segoe UI"/>
          <w:color w:val="000000"/>
        </w:rPr>
        <w:t>IP</w:t>
      </w:r>
      <w:r w:rsidRPr="00325F1E">
        <w:rPr>
          <w:rFonts w:ascii="Segoe UI" w:hAnsi="Segoe UI" w:cs="Segoe UI"/>
          <w:color w:val="000000"/>
        </w:rPr>
        <w:t>地址统一管理，健康检查与访问策略则保障故障检测与切换的及时性。</w:t>
      </w:r>
    </w:p>
    <w:p w14:paraId="00B975CC" w14:textId="246D4B2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多活业务场景中，电商平台在多个</w:t>
      </w:r>
      <w:r w:rsidRPr="00325F1E">
        <w:rPr>
          <w:rFonts w:ascii="Segoe UI" w:hAnsi="Segoe UI" w:cs="Segoe UI"/>
          <w:color w:val="000000"/>
        </w:rPr>
        <w:t>Region</w:t>
      </w:r>
      <w:r w:rsidRPr="00325F1E">
        <w:rPr>
          <w:rFonts w:ascii="Segoe UI" w:hAnsi="Segoe UI" w:cs="Segoe UI"/>
          <w:color w:val="000000"/>
        </w:rPr>
        <w:t>部署相同业务集群，</w:t>
      </w:r>
      <w:r w:rsidRPr="00325F1E">
        <w:rPr>
          <w:rFonts w:ascii="Segoe UI" w:hAnsi="Segoe UI" w:cs="Segoe UI"/>
          <w:color w:val="000000"/>
        </w:rPr>
        <w:t>GTM</w:t>
      </w:r>
      <w:r w:rsidRPr="00325F1E">
        <w:rPr>
          <w:rFonts w:ascii="Segoe UI" w:hAnsi="Segoe UI" w:cs="Segoe UI"/>
          <w:color w:val="000000"/>
        </w:rPr>
        <w:t>根据实时流量负载与地域分布动态调整解析策略，实现</w:t>
      </w:r>
      <w:r w:rsidRPr="00325F1E">
        <w:rPr>
          <w:rFonts w:ascii="Segoe UI" w:hAnsi="Segoe UI" w:cs="Segoe UI"/>
          <w:color w:val="000000"/>
        </w:rPr>
        <w:t>“</w:t>
      </w:r>
      <w:r w:rsidRPr="00325F1E">
        <w:rPr>
          <w:rFonts w:ascii="Segoe UI" w:hAnsi="Segoe UI" w:cs="Segoe UI"/>
          <w:color w:val="000000"/>
        </w:rPr>
        <w:t>流量就近接入</w:t>
      </w:r>
      <w:r w:rsidRPr="00325F1E">
        <w:rPr>
          <w:rFonts w:ascii="Segoe UI" w:hAnsi="Segoe UI" w:cs="Segoe UI"/>
          <w:color w:val="000000"/>
        </w:rPr>
        <w:t>+</w:t>
      </w:r>
      <w:r w:rsidRPr="00325F1E">
        <w:rPr>
          <w:rFonts w:ascii="Segoe UI" w:hAnsi="Segoe UI" w:cs="Segoe UI"/>
          <w:color w:val="000000"/>
        </w:rPr>
        <w:t>跨区负载均衡</w:t>
      </w:r>
      <w:r w:rsidRPr="00325F1E">
        <w:rPr>
          <w:rFonts w:ascii="Segoe UI" w:hAnsi="Segoe UI" w:cs="Segoe UI"/>
          <w:color w:val="000000"/>
        </w:rPr>
        <w:t>”</w:t>
      </w:r>
      <w:r w:rsidRPr="00325F1E">
        <w:rPr>
          <w:rFonts w:ascii="Segoe UI" w:hAnsi="Segoe UI" w:cs="Segoe UI"/>
          <w:color w:val="000000"/>
        </w:rPr>
        <w:t>。例如，大促期间北方流量激增时，</w:t>
      </w:r>
      <w:r w:rsidRPr="00325F1E">
        <w:rPr>
          <w:rFonts w:ascii="Segoe UI" w:hAnsi="Segoe UI" w:cs="Segoe UI"/>
          <w:color w:val="000000"/>
        </w:rPr>
        <w:t>GTM</w:t>
      </w:r>
      <w:r w:rsidRPr="00325F1E">
        <w:rPr>
          <w:rFonts w:ascii="Segoe UI" w:hAnsi="Segoe UI" w:cs="Segoe UI"/>
          <w:color w:val="000000"/>
        </w:rPr>
        <w:t>将部分南方用户流量调度至北京集群，避免单一区域过载；同时通过健康检查实时剔除异常节点，确保大促期间服务稳定性。这种智能调度机制相比传统</w:t>
      </w:r>
      <w:r w:rsidRPr="00325F1E">
        <w:rPr>
          <w:rFonts w:ascii="Segoe UI" w:hAnsi="Segoe UI" w:cs="Segoe UI"/>
          <w:color w:val="000000"/>
        </w:rPr>
        <w:t>DNS</w:t>
      </w:r>
      <w:r w:rsidRPr="00325F1E">
        <w:rPr>
          <w:rFonts w:ascii="Segoe UI" w:hAnsi="Segoe UI" w:cs="Segoe UI"/>
          <w:color w:val="000000"/>
        </w:rPr>
        <w:t>解析，可将用户访问延迟降低</w:t>
      </w:r>
      <w:r w:rsidRPr="00325F1E">
        <w:rPr>
          <w:rFonts w:ascii="Segoe UI" w:hAnsi="Segoe UI" w:cs="Segoe UI"/>
          <w:color w:val="000000"/>
        </w:rPr>
        <w:t>30%</w:t>
      </w:r>
      <w:r w:rsidRPr="00325F1E">
        <w:rPr>
          <w:rFonts w:ascii="Segoe UI" w:hAnsi="Segoe UI" w:cs="Segoe UI"/>
          <w:color w:val="000000"/>
        </w:rPr>
        <w:t>以上，同时提升资源利用率</w:t>
      </w:r>
      <w:r w:rsidRPr="00325F1E">
        <w:rPr>
          <w:rFonts w:ascii="Segoe UI" w:hAnsi="Segoe UI" w:cs="Segoe UI"/>
          <w:color w:val="000000"/>
        </w:rPr>
        <w:t>20%</w:t>
      </w:r>
      <w:r w:rsidRPr="00325F1E">
        <w:rPr>
          <w:rFonts w:ascii="Segoe UI" w:hAnsi="Segoe UI" w:cs="Segoe UI"/>
          <w:color w:val="000000"/>
        </w:rPr>
        <w:t>。</w:t>
      </w:r>
    </w:p>
    <w:p w14:paraId="65E8D040" w14:textId="1DDA56E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故障隔离与恢复场景下，某金融企业的上海集群中个别服务器因漏洞攻击导致服务异常，</w:t>
      </w:r>
      <w:r w:rsidRPr="00325F1E">
        <w:rPr>
          <w:rFonts w:ascii="Segoe UI" w:hAnsi="Segoe UI" w:cs="Segoe UI"/>
          <w:color w:val="000000"/>
        </w:rPr>
        <w:t>GTM</w:t>
      </w:r>
      <w:r w:rsidRPr="00325F1E">
        <w:rPr>
          <w:rFonts w:ascii="Segoe UI" w:hAnsi="Segoe UI" w:cs="Segoe UI"/>
          <w:color w:val="000000"/>
        </w:rPr>
        <w:t>的健康检查模块迅速检测到异常</w:t>
      </w:r>
      <w:r w:rsidRPr="00325F1E">
        <w:rPr>
          <w:rFonts w:ascii="Segoe UI" w:hAnsi="Segoe UI" w:cs="Segoe UI"/>
          <w:color w:val="000000"/>
        </w:rPr>
        <w:t>IP</w:t>
      </w:r>
      <w:r w:rsidRPr="00325F1E">
        <w:rPr>
          <w:rFonts w:ascii="Segoe UI" w:hAnsi="Segoe UI" w:cs="Segoe UI"/>
          <w:color w:val="000000"/>
        </w:rPr>
        <w:t>并将其隔离，流量继续分发至其他正常服务器，避免攻击扩散影响整体集群。同时，</w:t>
      </w:r>
      <w:r w:rsidRPr="00325F1E">
        <w:rPr>
          <w:rFonts w:ascii="Segoe UI" w:hAnsi="Segoe UI" w:cs="Segoe UI"/>
          <w:color w:val="000000"/>
        </w:rPr>
        <w:t>GTM</w:t>
      </w:r>
      <w:r w:rsidRPr="00325F1E">
        <w:rPr>
          <w:rFonts w:ascii="Segoe UI" w:hAnsi="Segoe UI" w:cs="Segoe UI"/>
          <w:color w:val="000000"/>
        </w:rPr>
        <w:t>将故障信息同步至运维系统，触发自动修复流程，待服务器恢复后重新纳入地址池，整个过程无需人工干预，故障处理时间从传统的小时级缩短至分钟级。</w:t>
      </w:r>
    </w:p>
    <w:p w14:paraId="3B02145C" w14:textId="0736678C"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w:t>
      </w:r>
      <w:r w:rsidRPr="00325F1E">
        <w:rPr>
          <w:rFonts w:ascii="Segoe UI" w:hAnsi="Segoe UI" w:cs="Segoe UI"/>
          <w:color w:val="000000"/>
        </w:rPr>
        <w:t>GTM</w:t>
      </w:r>
      <w:r w:rsidRPr="00325F1E">
        <w:rPr>
          <w:rFonts w:ascii="Segoe UI" w:hAnsi="Segoe UI" w:cs="Segoe UI"/>
          <w:color w:val="000000"/>
        </w:rPr>
        <w:t>方案通过与</w:t>
      </w:r>
      <w:r w:rsidRPr="00325F1E">
        <w:rPr>
          <w:rFonts w:ascii="Segoe UI" w:hAnsi="Segoe UI" w:cs="Segoe UI"/>
          <w:color w:val="000000"/>
        </w:rPr>
        <w:t>ELB</w:t>
      </w:r>
      <w:r w:rsidRPr="00325F1E">
        <w:rPr>
          <w:rFonts w:ascii="Segoe UI" w:hAnsi="Segoe UI" w:cs="Segoe UI"/>
          <w:color w:val="000000"/>
        </w:rPr>
        <w:t>、专线、云解析</w:t>
      </w:r>
      <w:r w:rsidRPr="00325F1E">
        <w:rPr>
          <w:rFonts w:ascii="Segoe UI" w:hAnsi="Segoe UI" w:cs="Segoe UI"/>
          <w:color w:val="000000"/>
        </w:rPr>
        <w:t>DNS</w:t>
      </w:r>
      <w:r w:rsidRPr="00325F1E">
        <w:rPr>
          <w:rFonts w:ascii="Segoe UI" w:hAnsi="Segoe UI" w:cs="Segoe UI"/>
          <w:color w:val="000000"/>
        </w:rPr>
        <w:t>等组件的深度集成，构建了</w:t>
      </w:r>
      <w:r w:rsidRPr="00325F1E">
        <w:rPr>
          <w:rFonts w:ascii="Segoe UI" w:hAnsi="Segoe UI" w:cs="Segoe UI"/>
          <w:color w:val="000000"/>
        </w:rPr>
        <w:t>“</w:t>
      </w:r>
      <w:r w:rsidRPr="00325F1E">
        <w:rPr>
          <w:rFonts w:ascii="Segoe UI" w:hAnsi="Segoe UI" w:cs="Segoe UI"/>
          <w:color w:val="000000"/>
        </w:rPr>
        <w:t>全局流量调度</w:t>
      </w:r>
      <w:r w:rsidRPr="00325F1E">
        <w:rPr>
          <w:rFonts w:ascii="Segoe UI" w:hAnsi="Segoe UI" w:cs="Segoe UI"/>
          <w:color w:val="000000"/>
        </w:rPr>
        <w:t>-</w:t>
      </w:r>
      <w:r w:rsidRPr="00325F1E">
        <w:rPr>
          <w:rFonts w:ascii="Segoe UI" w:hAnsi="Segoe UI" w:cs="Segoe UI"/>
          <w:color w:val="000000"/>
        </w:rPr>
        <w:t>区域负载均衡</w:t>
      </w:r>
      <w:r w:rsidRPr="00325F1E">
        <w:rPr>
          <w:rFonts w:ascii="Segoe UI" w:hAnsi="Segoe UI" w:cs="Segoe UI"/>
          <w:color w:val="000000"/>
        </w:rPr>
        <w:t>-</w:t>
      </w:r>
      <w:r w:rsidRPr="00325F1E">
        <w:rPr>
          <w:rFonts w:ascii="Segoe UI" w:hAnsi="Segoe UI" w:cs="Segoe UI"/>
          <w:color w:val="000000"/>
        </w:rPr>
        <w:t>本地健康检查</w:t>
      </w:r>
      <w:r w:rsidRPr="00325F1E">
        <w:rPr>
          <w:rFonts w:ascii="Segoe UI" w:hAnsi="Segoe UI" w:cs="Segoe UI"/>
          <w:color w:val="000000"/>
        </w:rPr>
        <w:t>”</w:t>
      </w:r>
      <w:r w:rsidRPr="00325F1E">
        <w:rPr>
          <w:rFonts w:ascii="Segoe UI" w:hAnsi="Segoe UI" w:cs="Segoe UI"/>
          <w:color w:val="000000"/>
        </w:rPr>
        <w:t>的三级容灾体系，使混合云架构在应对地域级灾难、服务器故障、流量峰值等场景时，具备自动化的流量优化与容灾能力。该方案不仅提升了业务连续性（可用性达</w:t>
      </w:r>
      <w:r w:rsidRPr="00325F1E">
        <w:rPr>
          <w:rFonts w:ascii="Segoe UI" w:hAnsi="Segoe UI" w:cs="Segoe UI"/>
          <w:color w:val="000000"/>
        </w:rPr>
        <w:t>99.99%</w:t>
      </w:r>
      <w:r w:rsidRPr="00325F1E">
        <w:rPr>
          <w:rFonts w:ascii="Segoe UI" w:hAnsi="Segoe UI" w:cs="Segoe UI"/>
          <w:color w:val="000000"/>
        </w:rPr>
        <w:t>），还通过智能调度降低跨区域流量成本，为企业构建全球化、高可靠的混合云业务架构提供核心支撑。</w:t>
      </w:r>
    </w:p>
    <w:p w14:paraId="59D3DA99" w14:textId="4078CD40" w:rsidR="008B6551" w:rsidRDefault="008B6551" w:rsidP="001F4BFA">
      <w:pPr>
        <w:pStyle w:val="4"/>
        <w:shd w:val="clear" w:color="auto" w:fill="F9FAFB"/>
        <w:rPr>
          <w:rFonts w:ascii="Segoe UI" w:hAnsi="Segoe UI" w:cs="Segoe UI"/>
          <w:color w:val="000000"/>
        </w:rPr>
      </w:pPr>
      <w:r>
        <w:rPr>
          <w:rFonts w:ascii="Segoe UI" w:hAnsi="Segoe UI" w:cs="Segoe UI"/>
          <w:color w:val="000000"/>
        </w:rPr>
        <w:t>应用与数据容灾方案</w:t>
      </w:r>
    </w:p>
    <w:p w14:paraId="2F75FCDE" w14:textId="2C0056CB" w:rsidR="008B6551" w:rsidRDefault="008B6551" w:rsidP="001F4BFA">
      <w:pPr>
        <w:pStyle w:val="5"/>
        <w:shd w:val="clear" w:color="auto" w:fill="F9FAFB"/>
        <w:rPr>
          <w:rFonts w:ascii="Segoe UI" w:hAnsi="Segoe UI" w:cs="Segoe UI"/>
          <w:color w:val="000000"/>
        </w:rPr>
      </w:pPr>
      <w:r>
        <w:rPr>
          <w:rFonts w:ascii="Segoe UI" w:hAnsi="Segoe UI" w:cs="Segoe UI"/>
          <w:color w:val="000000"/>
        </w:rPr>
        <w:t>应用容灾架构设计</w:t>
      </w:r>
    </w:p>
    <w:p w14:paraId="4B978C22" w14:textId="2CB13528"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混合云环境下的应用容灾架构以华为云</w:t>
      </w:r>
      <w:r w:rsidRPr="00325F1E">
        <w:rPr>
          <w:rFonts w:ascii="Segoe UI" w:hAnsi="Segoe UI" w:cs="Segoe UI"/>
          <w:color w:val="000000"/>
        </w:rPr>
        <w:t>“</w:t>
      </w:r>
      <w:r w:rsidRPr="00325F1E">
        <w:rPr>
          <w:rFonts w:ascii="Segoe UI" w:hAnsi="Segoe UI" w:cs="Segoe UI"/>
          <w:color w:val="000000"/>
        </w:rPr>
        <w:t>单元化</w:t>
      </w:r>
      <w:r w:rsidRPr="00325F1E">
        <w:rPr>
          <w:rFonts w:ascii="Segoe UI" w:hAnsi="Segoe UI" w:cs="Segoe UI"/>
          <w:color w:val="000000"/>
        </w:rPr>
        <w:t>”</w:t>
      </w:r>
      <w:r w:rsidRPr="00325F1E">
        <w:rPr>
          <w:rFonts w:ascii="Segoe UI" w:hAnsi="Segoe UI" w:cs="Segoe UI"/>
          <w:color w:val="000000"/>
        </w:rPr>
        <w:t>部署方案为核心，构建跨地域、高可用的应用多活体系，解决超远距离场景下的网络延迟与数据一致性挑战。该架构通过将业务系统划分为逻辑独立的</w:t>
      </w:r>
      <w:r w:rsidRPr="00325F1E">
        <w:rPr>
          <w:rFonts w:ascii="Segoe UI" w:hAnsi="Segoe UI" w:cs="Segoe UI"/>
          <w:color w:val="000000"/>
        </w:rPr>
        <w:t>“</w:t>
      </w:r>
      <w:r w:rsidRPr="00325F1E">
        <w:rPr>
          <w:rFonts w:ascii="Segoe UI" w:hAnsi="Segoe UI" w:cs="Segoe UI"/>
          <w:color w:val="000000"/>
        </w:rPr>
        <w:t>单元</w:t>
      </w:r>
      <w:r w:rsidRPr="00325F1E">
        <w:rPr>
          <w:rFonts w:ascii="Segoe UI" w:hAnsi="Segoe UI" w:cs="Segoe UI"/>
          <w:color w:val="000000"/>
        </w:rPr>
        <w:t>”</w:t>
      </w:r>
      <w:r w:rsidRPr="00325F1E">
        <w:rPr>
          <w:rFonts w:ascii="Segoe UI" w:hAnsi="Segoe UI" w:cs="Segoe UI"/>
          <w:color w:val="000000"/>
        </w:rPr>
        <w:t>，实现数据分片与流量路由的精准控制，确保在单一单元故障时，业务流量可自动切换至其他单元，保障服务连续性。</w:t>
      </w:r>
    </w:p>
    <w:p w14:paraId="0FE7C9D9" w14:textId="33838078" w:rsidR="00325F1E" w:rsidRPr="00325F1E" w:rsidRDefault="00325F1E" w:rsidP="00325F1E">
      <w:pPr>
        <w:pStyle w:val="6"/>
        <w:rPr>
          <w:rFonts w:hint="eastAsia"/>
        </w:rPr>
      </w:pPr>
      <w:r w:rsidRPr="00325F1E">
        <w:rPr>
          <w:rFonts w:hint="eastAsia"/>
        </w:rPr>
        <w:lastRenderedPageBreak/>
        <w:t>异地多活架构：华为云</w:t>
      </w:r>
      <w:r w:rsidRPr="00325F1E">
        <w:t>“单元化”部署方案</w:t>
      </w:r>
    </w:p>
    <w:p w14:paraId="4A3746F9" w14:textId="56E44B2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“单元化”</w:t>
      </w:r>
      <w:r w:rsidRPr="00325F1E">
        <w:rPr>
          <w:rFonts w:ascii="Segoe UI" w:hAnsi="Segoe UI" w:cs="Segoe UI"/>
          <w:color w:val="000000"/>
        </w:rPr>
        <w:t>部署方案的核心在于对业务数据进行分片，通过自上而下的流量路由机制，使特定分片的数据在指定单元内完成读写，从架构层面解决跨地域数据一致性问题。单元分为中心单元与普通单元两类：中心单元仅部署一个，承载全局业务、核心业务与共享业务，其中全局业务需保证强一致性（如用户账户注册），需在中心单元完成读写；普通单元可部署多个（如北京、上海单元），仅承载核心业务与共享业务，核心业务按数据分片规则在本地单元读写（如电商订单分区处理），共享业务则作为核心业务高频依赖的读服务（如商品详情查询），数据由中心单元写入并同</w:t>
      </w:r>
      <w:r w:rsidRPr="00325F1E">
        <w:rPr>
          <w:rFonts w:ascii="Segoe UI" w:hAnsi="Segoe UI" w:cs="Segoe UI" w:hint="eastAsia"/>
          <w:color w:val="000000"/>
        </w:rPr>
        <w:t>步至普通单元。</w:t>
      </w:r>
    </w:p>
    <w:p w14:paraId="45AAA0B0" w14:textId="0750E90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以电商平台为例，中心单元部署于北京，管理全局用户数据与订单元数据，上海、广州的普通单元分别处理华东、华南地区的订单业务。当华东用户下单时，流量自动路由至上海单元，订单数据在本地单元完成读写，避免跨地域网络延迟；商品详情等共享业务数据由中心单元写入后，同步至上海单元供本地读取，确保数据最终一致性。这种架构既满足了业务的水平扩展需求，又通过单元隔离实现故障域缩小</w:t>
      </w:r>
      <w:r w:rsidRPr="00325F1E">
        <w:rPr>
          <w:rFonts w:ascii="Segoe UI" w:hAnsi="Segoe UI" w:cs="Segoe UI"/>
          <w:color w:val="000000"/>
        </w:rPr>
        <w:t>——</w:t>
      </w:r>
      <w:r w:rsidRPr="00325F1E">
        <w:rPr>
          <w:rFonts w:ascii="Segoe UI" w:hAnsi="Segoe UI" w:cs="Segoe UI"/>
          <w:color w:val="000000"/>
        </w:rPr>
        <w:t>当上海单元因网络故障不可用时，流量可通过全局流量管理（</w:t>
      </w:r>
      <w:r w:rsidRPr="00325F1E">
        <w:rPr>
          <w:rFonts w:ascii="Segoe UI" w:hAnsi="Segoe UI" w:cs="Segoe UI"/>
          <w:color w:val="000000"/>
        </w:rPr>
        <w:t>GTM</w:t>
      </w:r>
      <w:r w:rsidRPr="00325F1E">
        <w:rPr>
          <w:rFonts w:ascii="Segoe UI" w:hAnsi="Segoe UI" w:cs="Segoe UI"/>
          <w:color w:val="000000"/>
        </w:rPr>
        <w:t>）切换至广州单元，中心单元则持续保障全局业务的可用性。</w:t>
      </w:r>
    </w:p>
    <w:p w14:paraId="3DE35ECC" w14:textId="395E7563" w:rsidR="00325F1E" w:rsidRPr="00325F1E" w:rsidRDefault="00325F1E" w:rsidP="00325F1E">
      <w:pPr>
        <w:pStyle w:val="6"/>
        <w:rPr>
          <w:rFonts w:hint="eastAsia"/>
        </w:rPr>
      </w:pPr>
      <w:r w:rsidRPr="00325F1E">
        <w:rPr>
          <w:rFonts w:hint="eastAsia"/>
        </w:rPr>
        <w:t>应用多活技术组件协同架构</w:t>
      </w:r>
    </w:p>
    <w:p w14:paraId="56B8904D"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应用多活的技术实现依托华为云三大核心组件的深度协同，构建从流量接入、服务调用到数据同步的全链路容灾能力：</w:t>
      </w:r>
    </w:p>
    <w:p w14:paraId="0184ABCC" w14:textId="569A2CEE"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接入网关层采用华为云</w:t>
      </w:r>
      <w:r w:rsidRPr="00325F1E">
        <w:rPr>
          <w:rFonts w:ascii="Segoe UI" w:hAnsi="Segoe UI" w:cs="Segoe UI"/>
          <w:color w:val="000000"/>
        </w:rPr>
        <w:t>API</w:t>
      </w:r>
      <w:r w:rsidRPr="00325F1E">
        <w:rPr>
          <w:rFonts w:ascii="Segoe UI" w:hAnsi="Segoe UI" w:cs="Segoe UI"/>
          <w:color w:val="000000"/>
        </w:rPr>
        <w:t>网关作为流量入口，负责识别用户请求的地域属性与业务类型，按单元化规则分发至目标单元。</w:t>
      </w:r>
      <w:r w:rsidRPr="00325F1E">
        <w:rPr>
          <w:rFonts w:ascii="Segoe UI" w:hAnsi="Segoe UI" w:cs="Segoe UI"/>
          <w:color w:val="000000"/>
        </w:rPr>
        <w:t>API</w:t>
      </w:r>
      <w:r w:rsidRPr="00325F1E">
        <w:rPr>
          <w:rFonts w:ascii="Segoe UI" w:hAnsi="Segoe UI" w:cs="Segoe UI"/>
          <w:color w:val="000000"/>
        </w:rPr>
        <w:t>网关支持基于地理位置、用户</w:t>
      </w:r>
      <w:r w:rsidRPr="00325F1E">
        <w:rPr>
          <w:rFonts w:ascii="Segoe UI" w:hAnsi="Segoe UI" w:cs="Segoe UI"/>
          <w:color w:val="000000"/>
        </w:rPr>
        <w:t>ID</w:t>
      </w:r>
      <w:r w:rsidRPr="00325F1E">
        <w:rPr>
          <w:rFonts w:ascii="Segoe UI" w:hAnsi="Segoe UI" w:cs="Segoe UI"/>
          <w:color w:val="000000"/>
        </w:rPr>
        <w:t>哈希等策略的流量路由，例如将华东地区用户的请求固定路由至上海单元，确保同一用户的会话始终在同一单元内处理，避免跨单元调用延迟。同时，</w:t>
      </w:r>
      <w:r w:rsidRPr="00325F1E">
        <w:rPr>
          <w:rFonts w:ascii="Segoe UI" w:hAnsi="Segoe UI" w:cs="Segoe UI"/>
          <w:color w:val="000000"/>
        </w:rPr>
        <w:t>API</w:t>
      </w:r>
      <w:r w:rsidRPr="00325F1E">
        <w:rPr>
          <w:rFonts w:ascii="Segoe UI" w:hAnsi="Segoe UI" w:cs="Segoe UI"/>
          <w:color w:val="000000"/>
        </w:rPr>
        <w:t>网关集成熔断与限流机制，当目标单元负载过高时，自动拦截非核心流量，保障核心业务可用性。</w:t>
      </w:r>
    </w:p>
    <w:p w14:paraId="59BF7212" w14:textId="0AEDC23F"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微服务框架层以华为云</w:t>
      </w:r>
      <w:proofErr w:type="spellStart"/>
      <w:r w:rsidRPr="00325F1E">
        <w:rPr>
          <w:rFonts w:ascii="Segoe UI" w:hAnsi="Segoe UI" w:cs="Segoe UI"/>
          <w:color w:val="000000"/>
        </w:rPr>
        <w:t>ServiceComb</w:t>
      </w:r>
      <w:proofErr w:type="spellEnd"/>
      <w:r w:rsidRPr="00325F1E">
        <w:rPr>
          <w:rFonts w:ascii="Segoe UI" w:hAnsi="Segoe UI" w:cs="Segoe UI"/>
          <w:color w:val="000000"/>
        </w:rPr>
        <w:t>为核心，实现单元内与跨单元的服务调用管理。</w:t>
      </w:r>
      <w:proofErr w:type="spellStart"/>
      <w:r w:rsidRPr="00325F1E">
        <w:rPr>
          <w:rFonts w:ascii="Segoe UI" w:hAnsi="Segoe UI" w:cs="Segoe UI"/>
          <w:color w:val="000000"/>
        </w:rPr>
        <w:t>ServiceComb</w:t>
      </w:r>
      <w:proofErr w:type="spellEnd"/>
      <w:r w:rsidRPr="00325F1E">
        <w:rPr>
          <w:rFonts w:ascii="Segoe UI" w:hAnsi="Segoe UI" w:cs="Segoe UI"/>
          <w:color w:val="000000"/>
        </w:rPr>
        <w:t>支持基于单元标签的流量路由，微服务实例注册时携带所属单元标识（如</w:t>
      </w:r>
      <w:r w:rsidRPr="00325F1E">
        <w:rPr>
          <w:rFonts w:ascii="Segoe UI" w:hAnsi="Segoe UI" w:cs="Segoe UI"/>
          <w:color w:val="000000"/>
        </w:rPr>
        <w:t>“</w:t>
      </w:r>
      <w:r w:rsidRPr="00325F1E">
        <w:rPr>
          <w:rFonts w:ascii="Segoe UI" w:hAnsi="Segoe UI" w:cs="Segoe UI"/>
          <w:color w:val="000000"/>
        </w:rPr>
        <w:t>上海单元</w:t>
      </w:r>
      <w:r w:rsidRPr="00325F1E">
        <w:rPr>
          <w:rFonts w:ascii="Segoe UI" w:hAnsi="Segoe UI" w:cs="Segoe UI"/>
          <w:color w:val="000000"/>
        </w:rPr>
        <w:t>”</w:t>
      </w:r>
      <w:r w:rsidRPr="00325F1E">
        <w:rPr>
          <w:rFonts w:ascii="Segoe UI" w:hAnsi="Segoe UI" w:cs="Segoe UI"/>
          <w:color w:val="000000"/>
        </w:rPr>
        <w:t>），调用方发起请求时，</w:t>
      </w:r>
      <w:proofErr w:type="spellStart"/>
      <w:r w:rsidRPr="00325F1E">
        <w:rPr>
          <w:rFonts w:ascii="Segoe UI" w:hAnsi="Segoe UI" w:cs="Segoe UI"/>
          <w:color w:val="000000"/>
        </w:rPr>
        <w:t>ServiceComb</w:t>
      </w:r>
      <w:proofErr w:type="spellEnd"/>
      <w:r w:rsidRPr="00325F1E">
        <w:rPr>
          <w:rFonts w:ascii="Segoe UI" w:hAnsi="Segoe UI" w:cs="Segoe UI"/>
          <w:color w:val="000000"/>
        </w:rPr>
        <w:t>根据单元化规则优先选择同单元实例，仅在目标单元不可用时才跨单元调用。例如，上海单元的订单服务调用支付服务时，优先调用同单元的支付实例，若支付实例异常，则通过负载均衡切换至广州单元的支付实例，同时记录跨单元调用延迟，为后续容量规划提供数据支撑。此外，</w:t>
      </w:r>
      <w:proofErr w:type="spellStart"/>
      <w:r w:rsidRPr="00325F1E">
        <w:rPr>
          <w:rFonts w:ascii="Segoe UI" w:hAnsi="Segoe UI" w:cs="Segoe UI"/>
          <w:color w:val="000000"/>
        </w:rPr>
        <w:t>ServiceComb</w:t>
      </w:r>
      <w:proofErr w:type="spellEnd"/>
      <w:r w:rsidRPr="00325F1E">
        <w:rPr>
          <w:rFonts w:ascii="Segoe UI" w:hAnsi="Segoe UI" w:cs="Segoe UI"/>
          <w:color w:val="000000"/>
        </w:rPr>
        <w:t>的故</w:t>
      </w:r>
      <w:r w:rsidRPr="00325F1E">
        <w:rPr>
          <w:rFonts w:ascii="Segoe UI" w:hAnsi="Segoe UI" w:cs="Segoe UI" w:hint="eastAsia"/>
          <w:color w:val="000000"/>
        </w:rPr>
        <w:t>障隔离机制可自动隔离异常单元的服务实例，避免故障扩散。</w:t>
      </w:r>
    </w:p>
    <w:p w14:paraId="208808E4" w14:textId="3FE2E7F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消息中间件层依托华为云</w:t>
      </w:r>
      <w:r w:rsidRPr="00325F1E">
        <w:rPr>
          <w:rFonts w:ascii="Segoe UI" w:hAnsi="Segoe UI" w:cs="Segoe UI"/>
          <w:color w:val="000000"/>
        </w:rPr>
        <w:t>RabbitMQ</w:t>
      </w:r>
      <w:r w:rsidRPr="00325F1E">
        <w:rPr>
          <w:rFonts w:ascii="Segoe UI" w:hAnsi="Segoe UI" w:cs="Segoe UI"/>
          <w:color w:val="000000"/>
        </w:rPr>
        <w:t>实现跨单元数据异步同步，解决核心业务的最终一致性问题。</w:t>
      </w:r>
      <w:r w:rsidRPr="00325F1E">
        <w:rPr>
          <w:rFonts w:ascii="Segoe UI" w:hAnsi="Segoe UI" w:cs="Segoe UI"/>
          <w:color w:val="000000"/>
        </w:rPr>
        <w:t>RabbitMQ</w:t>
      </w:r>
      <w:r w:rsidRPr="00325F1E">
        <w:rPr>
          <w:rFonts w:ascii="Segoe UI" w:hAnsi="Segoe UI" w:cs="Segoe UI"/>
          <w:color w:val="000000"/>
        </w:rPr>
        <w:t>支持多地域集群部署，中心单元与普通单元的消息集群通过专线互联，核心业务的异步消息（如订单状态变更）由本地单元生产后，通过跨地域镜像队列同步至其他单元，确保单元故障时消息不丢失。例如，上海单元的订单创建消息发送至本地</w:t>
      </w:r>
      <w:r w:rsidRPr="00325F1E">
        <w:rPr>
          <w:rFonts w:ascii="Segoe UI" w:hAnsi="Segoe UI" w:cs="Segoe UI"/>
          <w:color w:val="000000"/>
        </w:rPr>
        <w:t>RabbitMQ</w:t>
      </w:r>
      <w:r w:rsidRPr="00325F1E">
        <w:rPr>
          <w:rFonts w:ascii="Segoe UI" w:hAnsi="Segoe UI" w:cs="Segoe UI"/>
          <w:color w:val="000000"/>
        </w:rPr>
        <w:t>集群后，通过镜像机制实时同步至北京中心单元与广州单元，当上海单元故障时，广州单元可基于同步的消息继续处理订单后续流程，保障业务流程连续性。</w:t>
      </w:r>
    </w:p>
    <w:p w14:paraId="1DC9C46F" w14:textId="7F6F564B" w:rsidR="00325F1E" w:rsidRPr="00325F1E" w:rsidRDefault="00325F1E" w:rsidP="00325F1E">
      <w:pPr>
        <w:pStyle w:val="6"/>
        <w:rPr>
          <w:rFonts w:hint="eastAsia"/>
        </w:rPr>
      </w:pPr>
      <w:r w:rsidRPr="00325F1E">
        <w:rPr>
          <w:rFonts w:hint="eastAsia"/>
        </w:rPr>
        <w:lastRenderedPageBreak/>
        <w:t>架构协同价值与容灾能力</w:t>
      </w:r>
    </w:p>
    <w:p w14:paraId="6081933D" w14:textId="60B1430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该应用容灾架构通过</w:t>
      </w:r>
      <w:r w:rsidRPr="00325F1E">
        <w:rPr>
          <w:rFonts w:ascii="Segoe UI" w:hAnsi="Segoe UI" w:cs="Segoe UI"/>
          <w:color w:val="000000"/>
        </w:rPr>
        <w:t>“</w:t>
      </w:r>
      <w:r w:rsidRPr="00325F1E">
        <w:rPr>
          <w:rFonts w:ascii="Segoe UI" w:hAnsi="Segoe UI" w:cs="Segoe UI"/>
          <w:color w:val="000000"/>
        </w:rPr>
        <w:t>单元化部署</w:t>
      </w:r>
      <w:r w:rsidRPr="00325F1E">
        <w:rPr>
          <w:rFonts w:ascii="Segoe UI" w:hAnsi="Segoe UI" w:cs="Segoe UI"/>
          <w:color w:val="000000"/>
        </w:rPr>
        <w:t>+</w:t>
      </w:r>
      <w:r w:rsidRPr="00325F1E">
        <w:rPr>
          <w:rFonts w:ascii="Segoe UI" w:hAnsi="Segoe UI" w:cs="Segoe UI"/>
          <w:color w:val="000000"/>
        </w:rPr>
        <w:t>技术组件协同</w:t>
      </w:r>
      <w:r w:rsidRPr="00325F1E">
        <w:rPr>
          <w:rFonts w:ascii="Segoe UI" w:hAnsi="Segoe UI" w:cs="Segoe UI"/>
          <w:color w:val="000000"/>
        </w:rPr>
        <w:t>”</w:t>
      </w:r>
      <w:r w:rsidRPr="00325F1E">
        <w:rPr>
          <w:rFonts w:ascii="Segoe UI" w:hAnsi="Segoe UI" w:cs="Segoe UI"/>
          <w:color w:val="000000"/>
        </w:rPr>
        <w:t>，实现三大核心能力：</w:t>
      </w:r>
    </w:p>
    <w:p w14:paraId="65FA7ED9" w14:textId="57B3FB63"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异地多活支撑：中心单元与普通单元的部署模式支持跨地域（</w:t>
      </w:r>
      <w:r w:rsidRPr="00325F1E">
        <w:rPr>
          <w:rFonts w:ascii="Segoe UI" w:hAnsi="Segoe UI" w:cs="Segoe UI"/>
          <w:color w:val="000000"/>
        </w:rPr>
        <w:t>500</w:t>
      </w:r>
      <w:r w:rsidRPr="00325F1E">
        <w:rPr>
          <w:rFonts w:ascii="Segoe UI" w:hAnsi="Segoe UI" w:cs="Segoe UI"/>
          <w:color w:val="000000"/>
        </w:rPr>
        <w:t>公里以上）的业务多活，通过数据分片与流量路由，将跨单元调用比例控制在</w:t>
      </w:r>
      <w:r w:rsidRPr="00325F1E">
        <w:rPr>
          <w:rFonts w:ascii="Segoe UI" w:hAnsi="Segoe UI" w:cs="Segoe UI"/>
          <w:color w:val="000000"/>
        </w:rPr>
        <w:t>5%</w:t>
      </w:r>
      <w:r w:rsidRPr="00325F1E">
        <w:rPr>
          <w:rFonts w:ascii="Segoe UI" w:hAnsi="Segoe UI" w:cs="Segoe UI"/>
          <w:color w:val="000000"/>
        </w:rPr>
        <w:t>以内，有效降低网络延迟对业务的影响；</w:t>
      </w:r>
    </w:p>
    <w:p w14:paraId="55E1360E" w14:textId="21FA98B5"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故障快速切换：当单一普通单元故障时，</w:t>
      </w:r>
      <w:r w:rsidRPr="00325F1E">
        <w:rPr>
          <w:rFonts w:ascii="Segoe UI" w:hAnsi="Segoe UI" w:cs="Segoe UI"/>
          <w:color w:val="000000"/>
        </w:rPr>
        <w:t>API</w:t>
      </w:r>
      <w:r w:rsidRPr="00325F1E">
        <w:rPr>
          <w:rFonts w:ascii="Segoe UI" w:hAnsi="Segoe UI" w:cs="Segoe UI"/>
          <w:color w:val="000000"/>
        </w:rPr>
        <w:t>网关与</w:t>
      </w:r>
      <w:proofErr w:type="spellStart"/>
      <w:r w:rsidRPr="00325F1E">
        <w:rPr>
          <w:rFonts w:ascii="Segoe UI" w:hAnsi="Segoe UI" w:cs="Segoe UI"/>
          <w:color w:val="000000"/>
        </w:rPr>
        <w:t>ServiceComb</w:t>
      </w:r>
      <w:proofErr w:type="spellEnd"/>
      <w:r w:rsidRPr="00325F1E">
        <w:rPr>
          <w:rFonts w:ascii="Segoe UI" w:hAnsi="Segoe UI" w:cs="Segoe UI"/>
          <w:color w:val="000000"/>
        </w:rPr>
        <w:t>可在</w:t>
      </w:r>
      <w:r w:rsidRPr="00325F1E">
        <w:rPr>
          <w:rFonts w:ascii="Segoe UI" w:hAnsi="Segoe UI" w:cs="Segoe UI"/>
          <w:color w:val="000000"/>
        </w:rPr>
        <w:t>30</w:t>
      </w:r>
      <w:r w:rsidRPr="00325F1E">
        <w:rPr>
          <w:rFonts w:ascii="Segoe UI" w:hAnsi="Segoe UI" w:cs="Segoe UI"/>
          <w:color w:val="000000"/>
        </w:rPr>
        <w:t>秒内完成流量切换至其他单元，配合</w:t>
      </w:r>
      <w:r w:rsidRPr="00325F1E">
        <w:rPr>
          <w:rFonts w:ascii="Segoe UI" w:hAnsi="Segoe UI" w:cs="Segoe UI"/>
          <w:color w:val="000000"/>
        </w:rPr>
        <w:t>RabbitMQ</w:t>
      </w:r>
      <w:r w:rsidRPr="00325F1E">
        <w:rPr>
          <w:rFonts w:ascii="Segoe UI" w:hAnsi="Segoe UI" w:cs="Segoe UI"/>
          <w:color w:val="000000"/>
        </w:rPr>
        <w:t>的消息同步机制，确保</w:t>
      </w:r>
      <w:r w:rsidRPr="00325F1E">
        <w:rPr>
          <w:rFonts w:ascii="Segoe UI" w:hAnsi="Segoe UI" w:cs="Segoe UI"/>
          <w:color w:val="000000"/>
        </w:rPr>
        <w:t>RPO</w:t>
      </w:r>
      <w:r w:rsidRPr="00325F1E">
        <w:rPr>
          <w:rFonts w:ascii="Segoe UI" w:hAnsi="Segoe UI" w:cs="Segoe UI"/>
          <w:color w:val="000000"/>
        </w:rPr>
        <w:t>（恢复点目标）</w:t>
      </w:r>
      <w:r w:rsidRPr="00325F1E">
        <w:rPr>
          <w:rFonts w:ascii="Segoe UI" w:hAnsi="Segoe UI" w:cs="Segoe UI"/>
          <w:color w:val="000000"/>
        </w:rPr>
        <w:t>≤1</w:t>
      </w:r>
      <w:r w:rsidRPr="00325F1E">
        <w:rPr>
          <w:rFonts w:ascii="Segoe UI" w:hAnsi="Segoe UI" w:cs="Segoe UI"/>
          <w:color w:val="000000"/>
        </w:rPr>
        <w:t>分钟、</w:t>
      </w:r>
      <w:r w:rsidRPr="00325F1E">
        <w:rPr>
          <w:rFonts w:ascii="Segoe UI" w:hAnsi="Segoe UI" w:cs="Segoe UI"/>
          <w:color w:val="000000"/>
        </w:rPr>
        <w:t>RTO</w:t>
      </w:r>
      <w:r w:rsidRPr="00325F1E">
        <w:rPr>
          <w:rFonts w:ascii="Segoe UI" w:hAnsi="Segoe UI" w:cs="Segoe UI"/>
          <w:color w:val="000000"/>
        </w:rPr>
        <w:t>（恢复时间目标）</w:t>
      </w:r>
      <w:r w:rsidRPr="00325F1E">
        <w:rPr>
          <w:rFonts w:ascii="Segoe UI" w:hAnsi="Segoe UI" w:cs="Segoe UI"/>
          <w:color w:val="000000"/>
        </w:rPr>
        <w:t>≤5</w:t>
      </w:r>
      <w:r w:rsidRPr="00325F1E">
        <w:rPr>
          <w:rFonts w:ascii="Segoe UI" w:hAnsi="Segoe UI" w:cs="Segoe UI"/>
          <w:color w:val="000000"/>
        </w:rPr>
        <w:t>分钟；</w:t>
      </w:r>
    </w:p>
    <w:p w14:paraId="3BE38E27"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弹性扩展能力：普通单元可按需横向扩展（如新增深圳单元），中心单元通过资源扩容支撑全局业务增长，避免传统单体架构的扩容瓶颈。</w:t>
      </w:r>
    </w:p>
    <w:p w14:paraId="240E6D55" w14:textId="27CA44E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w:t>
      </w:r>
      <w:r w:rsidRPr="00325F1E">
        <w:rPr>
          <w:rFonts w:ascii="Segoe UI" w:hAnsi="Segoe UI" w:cs="Segoe UI"/>
          <w:color w:val="000000"/>
        </w:rPr>
        <w:t>“</w:t>
      </w:r>
      <w:r w:rsidRPr="00325F1E">
        <w:rPr>
          <w:rFonts w:ascii="Segoe UI" w:hAnsi="Segoe UI" w:cs="Segoe UI"/>
          <w:color w:val="000000"/>
        </w:rPr>
        <w:t>单元化</w:t>
      </w:r>
      <w:r w:rsidRPr="00325F1E">
        <w:rPr>
          <w:rFonts w:ascii="Segoe UI" w:hAnsi="Segoe UI" w:cs="Segoe UI"/>
          <w:color w:val="000000"/>
        </w:rPr>
        <w:t>”</w:t>
      </w:r>
      <w:r w:rsidRPr="00325F1E">
        <w:rPr>
          <w:rFonts w:ascii="Segoe UI" w:hAnsi="Segoe UI" w:cs="Segoe UI"/>
          <w:color w:val="000000"/>
        </w:rPr>
        <w:t>方案与技术组件的深度整合，使混合云应用容灾架构在保障业务连续性的同时，兼顾了开发运维效率</w:t>
      </w:r>
      <w:r w:rsidRPr="00325F1E">
        <w:rPr>
          <w:rFonts w:ascii="Segoe UI" w:hAnsi="Segoe UI" w:cs="Segoe UI"/>
          <w:color w:val="000000"/>
        </w:rPr>
        <w:t>——</w:t>
      </w:r>
      <w:r w:rsidRPr="00325F1E">
        <w:rPr>
          <w:rFonts w:ascii="Segoe UI" w:hAnsi="Segoe UI" w:cs="Segoe UI"/>
          <w:color w:val="000000"/>
        </w:rPr>
        <w:t>开发团队可在单一单元内完成业务迭代，测试通过后自动同步至其他单元，降低多活架构的维护复杂度。该方案已在金融、电商等行业落地实践，例如某银行通过单元化架构实现全国七大区域的业务多活，核心交易系统可用性达</w:t>
      </w:r>
      <w:r w:rsidRPr="00325F1E">
        <w:rPr>
          <w:rFonts w:ascii="Segoe UI" w:hAnsi="Segoe UI" w:cs="Segoe UI"/>
          <w:color w:val="000000"/>
        </w:rPr>
        <w:t>99.995%</w:t>
      </w:r>
      <w:r w:rsidRPr="00325F1E">
        <w:rPr>
          <w:rFonts w:ascii="Segoe UI" w:hAnsi="Segoe UI" w:cs="Segoe UI"/>
          <w:color w:val="000000"/>
        </w:rPr>
        <w:t>，跨区域交易延迟控制在</w:t>
      </w:r>
      <w:r w:rsidRPr="00325F1E">
        <w:rPr>
          <w:rFonts w:ascii="Segoe UI" w:hAnsi="Segoe UI" w:cs="Segoe UI"/>
          <w:color w:val="000000"/>
        </w:rPr>
        <w:t>50ms</w:t>
      </w:r>
      <w:r w:rsidRPr="00325F1E">
        <w:rPr>
          <w:rFonts w:ascii="Segoe UI" w:hAnsi="Segoe UI" w:cs="Segoe UI"/>
          <w:color w:val="000000"/>
        </w:rPr>
        <w:t>以内。</w:t>
      </w:r>
    </w:p>
    <w:p w14:paraId="7CED0C31" w14:textId="5FF44C62" w:rsidR="008B6551" w:rsidRDefault="008B6551" w:rsidP="001F4BFA">
      <w:pPr>
        <w:pStyle w:val="5"/>
        <w:shd w:val="clear" w:color="auto" w:fill="F9FAFB"/>
        <w:rPr>
          <w:rFonts w:ascii="Segoe UI" w:hAnsi="Segoe UI" w:cs="Segoe UI"/>
          <w:color w:val="000000"/>
        </w:rPr>
      </w:pPr>
      <w:r>
        <w:rPr>
          <w:rFonts w:ascii="Segoe UI" w:hAnsi="Segoe UI" w:cs="Segoe UI"/>
          <w:color w:val="000000"/>
        </w:rPr>
        <w:t>数据容灾最佳实践</w:t>
      </w:r>
    </w:p>
    <w:p w14:paraId="678EDD58"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混合云架构的数据容灾体系以华为云存储与数据库服务为核心，构建从存储冗余、跨区域复制到数据库实时同步的多层防护机制，确保数据在硬件故障、地域灾难等场景下的持久性与可恢复性。</w:t>
      </w:r>
    </w:p>
    <w:p w14:paraId="6ECE55CD" w14:textId="15C21B33" w:rsidR="00325F1E" w:rsidRPr="00325F1E" w:rsidRDefault="00325F1E" w:rsidP="00325F1E">
      <w:pPr>
        <w:pStyle w:val="6"/>
        <w:rPr>
          <w:rFonts w:hint="eastAsia"/>
        </w:rPr>
      </w:pPr>
      <w:r w:rsidRPr="00325F1E">
        <w:rPr>
          <w:rFonts w:hint="eastAsia"/>
        </w:rPr>
        <w:t>存储服务容灾</w:t>
      </w:r>
      <w:r>
        <w:rPr>
          <w:rFonts w:hint="eastAsia"/>
        </w:rPr>
        <w:t>，</w:t>
      </w:r>
      <w:r w:rsidRPr="00325F1E">
        <w:t>OBS的多层数据保护机制</w:t>
      </w:r>
    </w:p>
    <w:p w14:paraId="7CBE9BB2" w14:textId="155DD9BE"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华为云对象存储</w:t>
      </w:r>
      <w:r w:rsidRPr="00325F1E">
        <w:rPr>
          <w:rFonts w:ascii="Segoe UI" w:hAnsi="Segoe UI" w:cs="Segoe UI"/>
          <w:color w:val="000000"/>
        </w:rPr>
        <w:t>OBS</w:t>
      </w:r>
      <w:r w:rsidRPr="00325F1E">
        <w:rPr>
          <w:rFonts w:ascii="Segoe UI" w:hAnsi="Segoe UI" w:cs="Segoe UI"/>
          <w:color w:val="000000"/>
        </w:rPr>
        <w:t>（</w:t>
      </w:r>
      <w:proofErr w:type="spellStart"/>
      <w:r w:rsidRPr="00325F1E">
        <w:rPr>
          <w:rFonts w:ascii="Segoe UI" w:hAnsi="Segoe UI" w:cs="Segoe UI"/>
          <w:color w:val="000000"/>
        </w:rPr>
        <w:t>ObjectStorageService</w:t>
      </w:r>
      <w:proofErr w:type="spellEnd"/>
      <w:r w:rsidRPr="00325F1E">
        <w:rPr>
          <w:rFonts w:ascii="Segoe UI" w:hAnsi="Segoe UI" w:cs="Segoe UI"/>
          <w:color w:val="000000"/>
        </w:rPr>
        <w:t>）通过冗余存储、跨区域复制及版本控制，为非结构化数据（日志、快照、备份文件等）提供全生命周期容灾能力。在冗余存储层面，</w:t>
      </w:r>
      <w:r w:rsidRPr="00325F1E">
        <w:rPr>
          <w:rFonts w:ascii="Segoe UI" w:hAnsi="Segoe UI" w:cs="Segoe UI"/>
          <w:color w:val="000000"/>
        </w:rPr>
        <w:t>OBS</w:t>
      </w:r>
      <w:r w:rsidRPr="00325F1E">
        <w:rPr>
          <w:rFonts w:ascii="Segoe UI" w:hAnsi="Segoe UI" w:cs="Segoe UI"/>
          <w:color w:val="000000"/>
        </w:rPr>
        <w:t>支持本地冗余存储（</w:t>
      </w:r>
      <w:r w:rsidRPr="00325F1E">
        <w:rPr>
          <w:rFonts w:ascii="Segoe UI" w:hAnsi="Segoe UI" w:cs="Segoe UI"/>
          <w:color w:val="000000"/>
        </w:rPr>
        <w:t>LRS</w:t>
      </w:r>
      <w:r w:rsidRPr="00325F1E">
        <w:rPr>
          <w:rFonts w:ascii="Segoe UI" w:hAnsi="Segoe UI" w:cs="Segoe UI"/>
          <w:color w:val="000000"/>
        </w:rPr>
        <w:t>）与同城冗余存储（</w:t>
      </w:r>
      <w:r w:rsidRPr="00325F1E">
        <w:rPr>
          <w:rFonts w:ascii="Segoe UI" w:hAnsi="Segoe UI" w:cs="Segoe UI"/>
          <w:color w:val="000000"/>
        </w:rPr>
        <w:t>ZRS</w:t>
      </w:r>
      <w:r w:rsidRPr="00325F1E">
        <w:rPr>
          <w:rFonts w:ascii="Segoe UI" w:hAnsi="Segoe UI" w:cs="Segoe UI"/>
          <w:color w:val="000000"/>
        </w:rPr>
        <w:t>）：</w:t>
      </w:r>
      <w:r w:rsidRPr="00325F1E">
        <w:rPr>
          <w:rFonts w:ascii="Segoe UI" w:hAnsi="Segoe UI" w:cs="Segoe UI"/>
          <w:color w:val="000000"/>
        </w:rPr>
        <w:t>LRS</w:t>
      </w:r>
      <w:r w:rsidRPr="00325F1E">
        <w:rPr>
          <w:rFonts w:ascii="Segoe UI" w:hAnsi="Segoe UI" w:cs="Segoe UI"/>
          <w:color w:val="000000"/>
        </w:rPr>
        <w:t>将数据分</w:t>
      </w:r>
      <w:r w:rsidRPr="00325F1E">
        <w:rPr>
          <w:rFonts w:ascii="Segoe UI" w:hAnsi="Segoe UI" w:cs="Segoe UI"/>
          <w:color w:val="000000"/>
        </w:rPr>
        <w:t>3</w:t>
      </w:r>
      <w:r w:rsidRPr="00325F1E">
        <w:rPr>
          <w:rFonts w:ascii="Segoe UI" w:hAnsi="Segoe UI" w:cs="Segoe UI"/>
          <w:color w:val="000000"/>
        </w:rPr>
        <w:t>份存储在同一可用区的不同物理设备上，确保单设备故障时数据不丢失；</w:t>
      </w:r>
      <w:r w:rsidRPr="00325F1E">
        <w:rPr>
          <w:rFonts w:ascii="Segoe UI" w:hAnsi="Segoe UI" w:cs="Segoe UI"/>
          <w:color w:val="000000"/>
        </w:rPr>
        <w:t>ZRS</w:t>
      </w:r>
      <w:r w:rsidRPr="00325F1E">
        <w:rPr>
          <w:rFonts w:ascii="Segoe UI" w:hAnsi="Segoe UI" w:cs="Segoe UI"/>
          <w:color w:val="000000"/>
        </w:rPr>
        <w:t>则将数据跨</w:t>
      </w:r>
      <w:r w:rsidRPr="00325F1E">
        <w:rPr>
          <w:rFonts w:ascii="Segoe UI" w:hAnsi="Segoe UI" w:cs="Segoe UI"/>
          <w:color w:val="000000"/>
        </w:rPr>
        <w:t>3</w:t>
      </w:r>
      <w:r w:rsidRPr="00325F1E">
        <w:rPr>
          <w:rFonts w:ascii="Segoe UI" w:hAnsi="Segoe UI" w:cs="Segoe UI"/>
          <w:color w:val="000000"/>
        </w:rPr>
        <w:t>个可用区冗余存储，当某个可用区不可用时，仍能通过其他可用区访问数据，数据持久性达</w:t>
      </w:r>
      <w:r w:rsidRPr="00325F1E">
        <w:rPr>
          <w:rFonts w:ascii="Segoe UI" w:hAnsi="Segoe UI" w:cs="Segoe UI"/>
          <w:color w:val="000000"/>
        </w:rPr>
        <w:t>12</w:t>
      </w:r>
      <w:r w:rsidRPr="00325F1E">
        <w:rPr>
          <w:rFonts w:ascii="Segoe UI" w:hAnsi="Segoe UI" w:cs="Segoe UI"/>
          <w:color w:val="000000"/>
        </w:rPr>
        <w:t>个</w:t>
      </w:r>
      <w:r w:rsidRPr="00325F1E">
        <w:rPr>
          <w:rFonts w:ascii="Segoe UI" w:hAnsi="Segoe UI" w:cs="Segoe UI"/>
          <w:color w:val="000000"/>
        </w:rPr>
        <w:t>9</w:t>
      </w:r>
      <w:r w:rsidRPr="00325F1E">
        <w:rPr>
          <w:rFonts w:ascii="Segoe UI" w:hAnsi="Segoe UI" w:cs="Segoe UI"/>
          <w:color w:val="000000"/>
        </w:rPr>
        <w:t>。例如，生产域的业务日志可配置</w:t>
      </w:r>
      <w:r w:rsidRPr="00325F1E">
        <w:rPr>
          <w:rFonts w:ascii="Segoe UI" w:hAnsi="Segoe UI" w:cs="Segoe UI"/>
          <w:color w:val="000000"/>
        </w:rPr>
        <w:t>ZRS</w:t>
      </w:r>
      <w:r w:rsidRPr="00325F1E">
        <w:rPr>
          <w:rFonts w:ascii="Segoe UI" w:hAnsi="Segoe UI" w:cs="Segoe UI"/>
          <w:color w:val="000000"/>
        </w:rPr>
        <w:t>存储，确保同城范围内的</w:t>
      </w:r>
      <w:r w:rsidRPr="00325F1E">
        <w:rPr>
          <w:rFonts w:ascii="Segoe UI" w:hAnsi="Segoe UI" w:cs="Segoe UI" w:hint="eastAsia"/>
          <w:color w:val="000000"/>
        </w:rPr>
        <w:t>容灾能力。</w:t>
      </w:r>
    </w:p>
    <w:p w14:paraId="3767F02E" w14:textId="3835CD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跨区域复制功能实现</w:t>
      </w:r>
      <w:r w:rsidRPr="00325F1E">
        <w:rPr>
          <w:rFonts w:ascii="Segoe UI" w:hAnsi="Segoe UI" w:cs="Segoe UI"/>
          <w:color w:val="000000"/>
        </w:rPr>
        <w:t>OBS</w:t>
      </w:r>
      <w:r w:rsidRPr="00325F1E">
        <w:rPr>
          <w:rFonts w:ascii="Segoe UI" w:hAnsi="Segoe UI" w:cs="Segoe UI"/>
          <w:color w:val="000000"/>
        </w:rPr>
        <w:t>数据的异地容灾，通过配置源</w:t>
      </w:r>
      <w:r w:rsidRPr="00325F1E">
        <w:rPr>
          <w:rFonts w:ascii="Segoe UI" w:hAnsi="Segoe UI" w:cs="Segoe UI"/>
          <w:color w:val="000000"/>
        </w:rPr>
        <w:t>Bucket</w:t>
      </w:r>
      <w:r w:rsidRPr="00325F1E">
        <w:rPr>
          <w:rFonts w:ascii="Segoe UI" w:hAnsi="Segoe UI" w:cs="Segoe UI"/>
          <w:color w:val="000000"/>
        </w:rPr>
        <w:t>与目标</w:t>
      </w:r>
      <w:r w:rsidRPr="00325F1E">
        <w:rPr>
          <w:rFonts w:ascii="Segoe UI" w:hAnsi="Segoe UI" w:cs="Segoe UI"/>
          <w:color w:val="000000"/>
        </w:rPr>
        <w:t>Bucket</w:t>
      </w:r>
      <w:r w:rsidRPr="00325F1E">
        <w:rPr>
          <w:rFonts w:ascii="Segoe UI" w:hAnsi="Segoe UI" w:cs="Segoe UI"/>
          <w:color w:val="000000"/>
        </w:rPr>
        <w:t>的跨</w:t>
      </w:r>
      <w:r w:rsidRPr="00325F1E">
        <w:rPr>
          <w:rFonts w:ascii="Segoe UI" w:hAnsi="Segoe UI" w:cs="Segoe UI"/>
          <w:color w:val="000000"/>
        </w:rPr>
        <w:t>Region</w:t>
      </w:r>
      <w:r w:rsidRPr="00325F1E">
        <w:rPr>
          <w:rFonts w:ascii="Segoe UI" w:hAnsi="Segoe UI" w:cs="Segoe UI"/>
          <w:color w:val="000000"/>
        </w:rPr>
        <w:t>异步复制策略，将北京</w:t>
      </w:r>
      <w:r w:rsidRPr="00325F1E">
        <w:rPr>
          <w:rFonts w:ascii="Segoe UI" w:hAnsi="Segoe UI" w:cs="Segoe UI"/>
          <w:color w:val="000000"/>
        </w:rPr>
        <w:t>Region</w:t>
      </w:r>
      <w:r w:rsidRPr="00325F1E">
        <w:rPr>
          <w:rFonts w:ascii="Segoe UI" w:hAnsi="Segoe UI" w:cs="Segoe UI"/>
          <w:color w:val="000000"/>
        </w:rPr>
        <w:t>的日志、快照数据近实时同步至上海</w:t>
      </w:r>
      <w:r w:rsidRPr="00325F1E">
        <w:rPr>
          <w:rFonts w:ascii="Segoe UI" w:hAnsi="Segoe UI" w:cs="Segoe UI"/>
          <w:color w:val="000000"/>
        </w:rPr>
        <w:t>Region</w:t>
      </w:r>
      <w:r w:rsidRPr="00325F1E">
        <w:rPr>
          <w:rFonts w:ascii="Segoe UI" w:hAnsi="Segoe UI" w:cs="Segoe UI"/>
          <w:color w:val="000000"/>
        </w:rPr>
        <w:t>。企业可根据业务重要性设置复制规则：核心业务数据选择</w:t>
      </w:r>
      <w:r w:rsidRPr="00325F1E">
        <w:rPr>
          <w:rFonts w:ascii="Segoe UI" w:hAnsi="Segoe UI" w:cs="Segoe UI"/>
          <w:color w:val="000000"/>
        </w:rPr>
        <w:t>“</w:t>
      </w:r>
      <w:r w:rsidRPr="00325F1E">
        <w:rPr>
          <w:rFonts w:ascii="Segoe UI" w:hAnsi="Segoe UI" w:cs="Segoe UI"/>
          <w:color w:val="000000"/>
        </w:rPr>
        <w:t>实时复制</w:t>
      </w:r>
      <w:r w:rsidRPr="00325F1E">
        <w:rPr>
          <w:rFonts w:ascii="Segoe UI" w:hAnsi="Segoe UI" w:cs="Segoe UI"/>
          <w:color w:val="000000"/>
        </w:rPr>
        <w:t>”</w:t>
      </w:r>
      <w:r w:rsidRPr="00325F1E">
        <w:rPr>
          <w:rFonts w:ascii="Segoe UI" w:hAnsi="Segoe UI" w:cs="Segoe UI"/>
          <w:color w:val="000000"/>
        </w:rPr>
        <w:t>模式，普通数据可设置</w:t>
      </w:r>
      <w:r w:rsidRPr="00325F1E">
        <w:rPr>
          <w:rFonts w:ascii="Segoe UI" w:hAnsi="Segoe UI" w:cs="Segoe UI"/>
          <w:color w:val="000000"/>
        </w:rPr>
        <w:t>“</w:t>
      </w:r>
      <w:r w:rsidRPr="00325F1E">
        <w:rPr>
          <w:rFonts w:ascii="Segoe UI" w:hAnsi="Segoe UI" w:cs="Segoe UI"/>
          <w:color w:val="000000"/>
        </w:rPr>
        <w:t>定时复制</w:t>
      </w:r>
      <w:r w:rsidRPr="00325F1E">
        <w:rPr>
          <w:rFonts w:ascii="Segoe UI" w:hAnsi="Segoe UI" w:cs="Segoe UI"/>
          <w:color w:val="000000"/>
        </w:rPr>
        <w:t>”</w:t>
      </w:r>
      <w:r w:rsidRPr="00325F1E">
        <w:rPr>
          <w:rFonts w:ascii="Segoe UI" w:hAnsi="Segoe UI" w:cs="Segoe UI"/>
          <w:color w:val="000000"/>
        </w:rPr>
        <w:t>（如每小时一次），在保障容灾时效性的同时降低带宽占用。当北京</w:t>
      </w:r>
      <w:r w:rsidRPr="00325F1E">
        <w:rPr>
          <w:rFonts w:ascii="Segoe UI" w:hAnsi="Segoe UI" w:cs="Segoe UI"/>
          <w:color w:val="000000"/>
        </w:rPr>
        <w:t>Region</w:t>
      </w:r>
      <w:r w:rsidRPr="00325F1E">
        <w:rPr>
          <w:rFonts w:ascii="Segoe UI" w:hAnsi="Segoe UI" w:cs="Segoe UI"/>
          <w:color w:val="000000"/>
        </w:rPr>
        <w:t>因自然灾害整体故障时，可直接从上海</w:t>
      </w:r>
      <w:r w:rsidRPr="00325F1E">
        <w:rPr>
          <w:rFonts w:ascii="Segoe UI" w:hAnsi="Segoe UI" w:cs="Segoe UI"/>
          <w:color w:val="000000"/>
        </w:rPr>
        <w:t>Region</w:t>
      </w:r>
      <w:r w:rsidRPr="00325F1E">
        <w:rPr>
          <w:rFonts w:ascii="Segoe UI" w:hAnsi="Segoe UI" w:cs="Segoe UI"/>
          <w:color w:val="000000"/>
        </w:rPr>
        <w:t>的</w:t>
      </w:r>
      <w:r w:rsidRPr="00325F1E">
        <w:rPr>
          <w:rFonts w:ascii="Segoe UI" w:hAnsi="Segoe UI" w:cs="Segoe UI"/>
          <w:color w:val="000000"/>
        </w:rPr>
        <w:t>OBS</w:t>
      </w:r>
      <w:r w:rsidRPr="00325F1E">
        <w:rPr>
          <w:rFonts w:ascii="Segoe UI" w:hAnsi="Segoe UI" w:cs="Segoe UI"/>
          <w:color w:val="000000"/>
        </w:rPr>
        <w:t>桶中恢复数据，</w:t>
      </w:r>
      <w:r w:rsidRPr="00325F1E">
        <w:rPr>
          <w:rFonts w:ascii="Segoe UI" w:hAnsi="Segoe UI" w:cs="Segoe UI"/>
          <w:color w:val="000000"/>
        </w:rPr>
        <w:t>RPO</w:t>
      </w:r>
      <w:r w:rsidRPr="00325F1E">
        <w:rPr>
          <w:rFonts w:ascii="Segoe UI" w:hAnsi="Segoe UI" w:cs="Segoe UI"/>
          <w:color w:val="000000"/>
        </w:rPr>
        <w:t>（恢复点目标）控制在分钟级。</w:t>
      </w:r>
    </w:p>
    <w:p w14:paraId="2975D992" w14:textId="42154B1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lastRenderedPageBreak/>
        <w:t>版本控制与定时备份机制进一步增强数据可恢复性。开启版本控制后，</w:t>
      </w:r>
      <w:r w:rsidRPr="00325F1E">
        <w:rPr>
          <w:rFonts w:ascii="Segoe UI" w:hAnsi="Segoe UI" w:cs="Segoe UI"/>
          <w:color w:val="000000"/>
        </w:rPr>
        <w:t>OBS</w:t>
      </w:r>
      <w:r w:rsidRPr="00325F1E">
        <w:rPr>
          <w:rFonts w:ascii="Segoe UI" w:hAnsi="Segoe UI" w:cs="Segoe UI"/>
          <w:color w:val="000000"/>
        </w:rPr>
        <w:t>会记录对象的所有修改历史，当数据被误删或覆盖时，可快速恢复至任意历史版本；配合定时备份功能，</w:t>
      </w:r>
      <w:r w:rsidRPr="00325F1E">
        <w:rPr>
          <w:rFonts w:ascii="Segoe UI" w:hAnsi="Segoe UI" w:cs="Segoe UI"/>
          <w:color w:val="000000"/>
        </w:rPr>
        <w:t>OBS</w:t>
      </w:r>
      <w:r w:rsidRPr="00325F1E">
        <w:rPr>
          <w:rFonts w:ascii="Segoe UI" w:hAnsi="Segoe UI" w:cs="Segoe UI"/>
          <w:color w:val="000000"/>
        </w:rPr>
        <w:t>可将数据定期归档至云备份（</w:t>
      </w:r>
      <w:proofErr w:type="spellStart"/>
      <w:r w:rsidRPr="00325F1E">
        <w:rPr>
          <w:rFonts w:ascii="Segoe UI" w:hAnsi="Segoe UI" w:cs="Segoe UI"/>
          <w:color w:val="000000"/>
        </w:rPr>
        <w:t>CloudBackup</w:t>
      </w:r>
      <w:proofErr w:type="spellEnd"/>
      <w:r w:rsidRPr="00325F1E">
        <w:rPr>
          <w:rFonts w:ascii="Segoe UI" w:hAnsi="Segoe UI" w:cs="Segoe UI"/>
          <w:color w:val="000000"/>
        </w:rPr>
        <w:t>）服务，形成</w:t>
      </w:r>
      <w:r w:rsidRPr="00325F1E">
        <w:rPr>
          <w:rFonts w:ascii="Segoe UI" w:hAnsi="Segoe UI" w:cs="Segoe UI"/>
          <w:color w:val="000000"/>
        </w:rPr>
        <w:t>“</w:t>
      </w:r>
      <w:r w:rsidRPr="00325F1E">
        <w:rPr>
          <w:rFonts w:ascii="Segoe UI" w:hAnsi="Segoe UI" w:cs="Segoe UI"/>
          <w:color w:val="000000"/>
        </w:rPr>
        <w:t>实时版本</w:t>
      </w:r>
      <w:r w:rsidRPr="00325F1E">
        <w:rPr>
          <w:rFonts w:ascii="Segoe UI" w:hAnsi="Segoe UI" w:cs="Segoe UI"/>
          <w:color w:val="000000"/>
        </w:rPr>
        <w:t>+</w:t>
      </w:r>
      <w:r w:rsidRPr="00325F1E">
        <w:rPr>
          <w:rFonts w:ascii="Segoe UI" w:hAnsi="Segoe UI" w:cs="Segoe UI"/>
          <w:color w:val="000000"/>
        </w:rPr>
        <w:t>定期归档</w:t>
      </w:r>
      <w:r w:rsidRPr="00325F1E">
        <w:rPr>
          <w:rFonts w:ascii="Segoe UI" w:hAnsi="Segoe UI" w:cs="Segoe UI"/>
          <w:color w:val="000000"/>
        </w:rPr>
        <w:t>”</w:t>
      </w:r>
      <w:r w:rsidRPr="00325F1E">
        <w:rPr>
          <w:rFonts w:ascii="Segoe UI" w:hAnsi="Segoe UI" w:cs="Segoe UI"/>
          <w:color w:val="000000"/>
        </w:rPr>
        <w:t>的双重保护。例如，某电商平台将用户交易快照数据开启版本控制，并每天全量备份至云备份，确保在人为误操作或勒索软件攻击后，可通过历史版本或备份副本恢复数据。</w:t>
      </w:r>
    </w:p>
    <w:p w14:paraId="29288D1C" w14:textId="7535CD6D" w:rsidR="00325F1E" w:rsidRPr="00325F1E" w:rsidRDefault="00325F1E" w:rsidP="00325F1E">
      <w:pPr>
        <w:pStyle w:val="6"/>
        <w:rPr>
          <w:rFonts w:hint="eastAsia"/>
        </w:rPr>
      </w:pPr>
      <w:r w:rsidRPr="00325F1E">
        <w:rPr>
          <w:rFonts w:hint="eastAsia"/>
        </w:rPr>
        <w:t>数据库容灾方案</w:t>
      </w:r>
      <w:r>
        <w:rPr>
          <w:rFonts w:hint="eastAsia"/>
        </w:rPr>
        <w:t>，</w:t>
      </w:r>
      <w:r w:rsidRPr="00325F1E">
        <w:rPr>
          <w:rFonts w:hint="eastAsia"/>
        </w:rPr>
        <w:t>从本地备份到全球同步的全栈能力</w:t>
      </w:r>
    </w:p>
    <w:p w14:paraId="13BA2133" w14:textId="1D0248A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华为云数据库容灾覆盖数据灾备、同城容灾与异地容灾三个层级，适配不同业务对</w:t>
      </w:r>
      <w:r w:rsidRPr="00325F1E">
        <w:rPr>
          <w:rFonts w:ascii="Segoe UI" w:hAnsi="Segoe UI" w:cs="Segoe UI"/>
          <w:color w:val="000000"/>
        </w:rPr>
        <w:t>RTO</w:t>
      </w:r>
      <w:r w:rsidRPr="00325F1E">
        <w:rPr>
          <w:rFonts w:ascii="Segoe UI" w:hAnsi="Segoe UI" w:cs="Segoe UI"/>
          <w:color w:val="000000"/>
        </w:rPr>
        <w:t>（恢复时间目标）与</w:t>
      </w:r>
      <w:r w:rsidRPr="00325F1E">
        <w:rPr>
          <w:rFonts w:ascii="Segoe UI" w:hAnsi="Segoe UI" w:cs="Segoe UI"/>
          <w:color w:val="000000"/>
        </w:rPr>
        <w:t>RPO</w:t>
      </w:r>
      <w:r w:rsidRPr="00325F1E">
        <w:rPr>
          <w:rFonts w:ascii="Segoe UI" w:hAnsi="Segoe UI" w:cs="Segoe UI"/>
          <w:color w:val="000000"/>
        </w:rPr>
        <w:t>的需求。在数据灾备层面，除少数海量数据产品（如</w:t>
      </w:r>
      <w:proofErr w:type="spellStart"/>
      <w:r w:rsidRPr="00325F1E">
        <w:rPr>
          <w:rFonts w:ascii="Segoe UI" w:hAnsi="Segoe UI" w:cs="Segoe UI"/>
          <w:color w:val="000000"/>
        </w:rPr>
        <w:t>ClickHouse</w:t>
      </w:r>
      <w:proofErr w:type="spellEnd"/>
      <w:r w:rsidRPr="00325F1E">
        <w:rPr>
          <w:rFonts w:ascii="Segoe UI" w:hAnsi="Segoe UI" w:cs="Segoe UI"/>
          <w:color w:val="000000"/>
        </w:rPr>
        <w:t>）外，</w:t>
      </w:r>
      <w:proofErr w:type="spellStart"/>
      <w:r w:rsidRPr="00325F1E">
        <w:rPr>
          <w:rFonts w:ascii="Segoe UI" w:hAnsi="Segoe UI" w:cs="Segoe UI"/>
          <w:color w:val="000000"/>
        </w:rPr>
        <w:t>RDSforMySQL</w:t>
      </w:r>
      <w:proofErr w:type="spellEnd"/>
      <w:r w:rsidRPr="00325F1E">
        <w:rPr>
          <w:rFonts w:ascii="Segoe UI" w:hAnsi="Segoe UI" w:cs="Segoe UI"/>
          <w:color w:val="000000"/>
        </w:rPr>
        <w:t>、</w:t>
      </w:r>
      <w:r w:rsidRPr="00325F1E">
        <w:rPr>
          <w:rFonts w:ascii="Segoe UI" w:hAnsi="Segoe UI" w:cs="Segoe UI"/>
          <w:color w:val="000000"/>
        </w:rPr>
        <w:t>Oracle</w:t>
      </w:r>
      <w:r w:rsidRPr="00325F1E">
        <w:rPr>
          <w:rFonts w:ascii="Segoe UI" w:hAnsi="Segoe UI" w:cs="Segoe UI"/>
          <w:color w:val="000000"/>
        </w:rPr>
        <w:t>等主流数据库默认开启自动备份，备份频率可配置（如每小时增量备份、每天全量备份）。备份集支持跨可用区或跨</w:t>
      </w:r>
      <w:r w:rsidRPr="00325F1E">
        <w:rPr>
          <w:rFonts w:ascii="Segoe UI" w:hAnsi="Segoe UI" w:cs="Segoe UI"/>
          <w:color w:val="000000"/>
        </w:rPr>
        <w:t>Region</w:t>
      </w:r>
      <w:r w:rsidRPr="00325F1E">
        <w:rPr>
          <w:rFonts w:ascii="Segoe UI" w:hAnsi="Segoe UI" w:cs="Segoe UI"/>
          <w:color w:val="000000"/>
        </w:rPr>
        <w:t>恢复，例如北京可用区</w:t>
      </w:r>
      <w:r w:rsidRPr="00325F1E">
        <w:rPr>
          <w:rFonts w:ascii="Segoe UI" w:hAnsi="Segoe UI" w:cs="Segoe UI"/>
          <w:color w:val="000000"/>
        </w:rPr>
        <w:t>A</w:t>
      </w:r>
      <w:r w:rsidRPr="00325F1E">
        <w:rPr>
          <w:rFonts w:ascii="Segoe UI" w:hAnsi="Segoe UI" w:cs="Segoe UI"/>
          <w:color w:val="000000"/>
        </w:rPr>
        <w:t>的数据库实例可通过备份集恢复至上海可用区</w:t>
      </w:r>
      <w:r w:rsidRPr="00325F1E">
        <w:rPr>
          <w:rFonts w:ascii="Segoe UI" w:hAnsi="Segoe UI" w:cs="Segoe UI"/>
          <w:color w:val="000000"/>
        </w:rPr>
        <w:t>B</w:t>
      </w:r>
      <w:r w:rsidRPr="00325F1E">
        <w:rPr>
          <w:rFonts w:ascii="Segoe UI" w:hAnsi="Segoe UI" w:cs="Segoe UI"/>
          <w:color w:val="000000"/>
        </w:rPr>
        <w:t>，实现异地灾备的基础能力，虽时效性较差（需手动恢复），但可作为低成本容灾方案。</w:t>
      </w:r>
    </w:p>
    <w:p w14:paraId="66985394" w14:textId="0717DA6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同城容灾依托数据库主备架构与实时同步技术，实现秒级故障切换。以</w:t>
      </w:r>
      <w:proofErr w:type="spellStart"/>
      <w:r w:rsidRPr="00325F1E">
        <w:rPr>
          <w:rFonts w:ascii="Segoe UI" w:hAnsi="Segoe UI" w:cs="Segoe UI"/>
          <w:color w:val="000000"/>
        </w:rPr>
        <w:t>RDSforMySQL</w:t>
      </w:r>
      <w:proofErr w:type="spellEnd"/>
      <w:r w:rsidRPr="00325F1E">
        <w:rPr>
          <w:rFonts w:ascii="Segoe UI" w:hAnsi="Segoe UI" w:cs="Segoe UI"/>
          <w:color w:val="000000"/>
        </w:rPr>
        <w:t>为例，主备实例通过</w:t>
      </w:r>
      <w:proofErr w:type="spellStart"/>
      <w:r w:rsidRPr="00325F1E">
        <w:rPr>
          <w:rFonts w:ascii="Segoe UI" w:hAnsi="Segoe UI" w:cs="Segoe UI"/>
          <w:color w:val="000000"/>
        </w:rPr>
        <w:t>InnoDB</w:t>
      </w:r>
      <w:proofErr w:type="spellEnd"/>
      <w:r w:rsidRPr="00325F1E">
        <w:rPr>
          <w:rFonts w:ascii="Segoe UI" w:hAnsi="Segoe UI" w:cs="Segoe UI"/>
          <w:color w:val="000000"/>
        </w:rPr>
        <w:t>引擎的</w:t>
      </w:r>
      <w:proofErr w:type="spellStart"/>
      <w:r w:rsidRPr="00325F1E">
        <w:rPr>
          <w:rFonts w:ascii="Segoe UI" w:hAnsi="Segoe UI" w:cs="Segoe UI"/>
          <w:color w:val="000000"/>
        </w:rPr>
        <w:t>binlog</w:t>
      </w:r>
      <w:proofErr w:type="spellEnd"/>
      <w:r w:rsidRPr="00325F1E">
        <w:rPr>
          <w:rFonts w:ascii="Segoe UI" w:hAnsi="Segoe UI" w:cs="Segoe UI"/>
          <w:color w:val="000000"/>
        </w:rPr>
        <w:t>实时同步数据，后台管控系统通过心跳检测实时监控主节点状态，当主节点异常时，自动触发主备切换，</w:t>
      </w:r>
      <w:r w:rsidRPr="00325F1E">
        <w:rPr>
          <w:rFonts w:ascii="Segoe UI" w:hAnsi="Segoe UI" w:cs="Segoe UI"/>
          <w:color w:val="000000"/>
        </w:rPr>
        <w:t>RTO≤30</w:t>
      </w:r>
      <w:r w:rsidRPr="00325F1E">
        <w:rPr>
          <w:rFonts w:ascii="Segoe UI" w:hAnsi="Segoe UI" w:cs="Segoe UI"/>
          <w:color w:val="000000"/>
        </w:rPr>
        <w:t>秒。企业可选择多可用区部署模式，将主备实例分布在不同可用区，避免单一可用区故障导致的服务中断。例如，金融交易系统的数据库采用</w:t>
      </w:r>
      <w:r w:rsidRPr="00325F1E">
        <w:rPr>
          <w:rFonts w:ascii="Segoe UI" w:hAnsi="Segoe UI" w:cs="Segoe UI"/>
          <w:color w:val="000000"/>
        </w:rPr>
        <w:t>“</w:t>
      </w:r>
      <w:r w:rsidRPr="00325F1E">
        <w:rPr>
          <w:rFonts w:ascii="Segoe UI" w:hAnsi="Segoe UI" w:cs="Segoe UI"/>
          <w:color w:val="000000"/>
        </w:rPr>
        <w:t>一主两备</w:t>
      </w:r>
      <w:r w:rsidRPr="00325F1E">
        <w:rPr>
          <w:rFonts w:ascii="Segoe UI" w:hAnsi="Segoe UI" w:cs="Segoe UI"/>
          <w:color w:val="000000"/>
        </w:rPr>
        <w:t>”</w:t>
      </w:r>
      <w:r w:rsidRPr="00325F1E">
        <w:rPr>
          <w:rFonts w:ascii="Segoe UI" w:hAnsi="Segoe UI" w:cs="Segoe UI"/>
          <w:color w:val="000000"/>
        </w:rPr>
        <w:t>架构，分布在三个可用区，确保同城范围内的高可用性。</w:t>
      </w:r>
    </w:p>
    <w:p w14:paraId="7CCB3B7D" w14:textId="7C2627D5"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异地容灾则通过华为云数据传输服务（</w:t>
      </w:r>
      <w:r w:rsidRPr="00325F1E">
        <w:rPr>
          <w:rFonts w:ascii="Segoe UI" w:hAnsi="Segoe UI" w:cs="Segoe UI"/>
          <w:color w:val="000000"/>
        </w:rPr>
        <w:t>DTS</w:t>
      </w:r>
      <w:r w:rsidRPr="00325F1E">
        <w:rPr>
          <w:rFonts w:ascii="Segoe UI" w:hAnsi="Segoe UI" w:cs="Segoe UI"/>
          <w:color w:val="000000"/>
        </w:rPr>
        <w:t>）与</w:t>
      </w:r>
      <w:proofErr w:type="spellStart"/>
      <w:r w:rsidRPr="00325F1E">
        <w:rPr>
          <w:rFonts w:ascii="Segoe UI" w:hAnsi="Segoe UI" w:cs="Segoe UI"/>
          <w:color w:val="000000"/>
        </w:rPr>
        <w:t>PolarDB</w:t>
      </w:r>
      <w:proofErr w:type="spellEnd"/>
      <w:r w:rsidRPr="00325F1E">
        <w:rPr>
          <w:rFonts w:ascii="Segoe UI" w:hAnsi="Segoe UI" w:cs="Segoe UI"/>
          <w:color w:val="000000"/>
        </w:rPr>
        <w:t>全球数据库网络（</w:t>
      </w:r>
      <w:r w:rsidRPr="00325F1E">
        <w:rPr>
          <w:rFonts w:ascii="Segoe UI" w:hAnsi="Segoe UI" w:cs="Segoe UI"/>
          <w:color w:val="000000"/>
        </w:rPr>
        <w:t>GDN</w:t>
      </w:r>
      <w:r w:rsidRPr="00325F1E">
        <w:rPr>
          <w:rFonts w:ascii="Segoe UI" w:hAnsi="Segoe UI" w:cs="Segoe UI"/>
          <w:color w:val="000000"/>
        </w:rPr>
        <w:t>）实现实时数据同步。</w:t>
      </w:r>
      <w:r w:rsidRPr="00325F1E">
        <w:rPr>
          <w:rFonts w:ascii="Segoe UI" w:hAnsi="Segoe UI" w:cs="Segoe UI"/>
          <w:color w:val="000000"/>
        </w:rPr>
        <w:t>DTS</w:t>
      </w:r>
      <w:r w:rsidRPr="00325F1E">
        <w:rPr>
          <w:rFonts w:ascii="Segoe UI" w:hAnsi="Segoe UI" w:cs="Segoe UI"/>
          <w:color w:val="000000"/>
        </w:rPr>
        <w:t>支持主流数据库的跨</w:t>
      </w:r>
      <w:r w:rsidRPr="00325F1E">
        <w:rPr>
          <w:rFonts w:ascii="Segoe UI" w:hAnsi="Segoe UI" w:cs="Segoe UI"/>
          <w:color w:val="000000"/>
        </w:rPr>
        <w:t>Region</w:t>
      </w:r>
      <w:r w:rsidRPr="00325F1E">
        <w:rPr>
          <w:rFonts w:ascii="Segoe UI" w:hAnsi="Segoe UI" w:cs="Segoe UI"/>
          <w:color w:val="000000"/>
        </w:rPr>
        <w:t>实时同步（如</w:t>
      </w:r>
      <w:proofErr w:type="spellStart"/>
      <w:r w:rsidRPr="00325F1E">
        <w:rPr>
          <w:rFonts w:ascii="Segoe UI" w:hAnsi="Segoe UI" w:cs="Segoe UI"/>
          <w:color w:val="000000"/>
        </w:rPr>
        <w:t>RDStoRDS</w:t>
      </w:r>
      <w:proofErr w:type="spellEnd"/>
      <w:r w:rsidRPr="00325F1E">
        <w:rPr>
          <w:rFonts w:ascii="Segoe UI" w:hAnsi="Segoe UI" w:cs="Segoe UI"/>
          <w:color w:val="000000"/>
        </w:rPr>
        <w:t>、</w:t>
      </w:r>
      <w:proofErr w:type="spellStart"/>
      <w:r w:rsidRPr="00325F1E">
        <w:rPr>
          <w:rFonts w:ascii="Segoe UI" w:hAnsi="Segoe UI" w:cs="Segoe UI"/>
          <w:color w:val="000000"/>
        </w:rPr>
        <w:t>PolarDBtoPolarDB</w:t>
      </w:r>
      <w:proofErr w:type="spellEnd"/>
      <w:r w:rsidRPr="00325F1E">
        <w:rPr>
          <w:rFonts w:ascii="Segoe UI" w:hAnsi="Segoe UI" w:cs="Segoe UI"/>
          <w:color w:val="000000"/>
        </w:rPr>
        <w:t>），利用华为云专线的低延迟内网，将北京</w:t>
      </w:r>
      <w:r w:rsidRPr="00325F1E">
        <w:rPr>
          <w:rFonts w:ascii="Segoe UI" w:hAnsi="Segoe UI" w:cs="Segoe UI"/>
          <w:color w:val="000000"/>
        </w:rPr>
        <w:t>Region</w:t>
      </w:r>
      <w:r w:rsidRPr="00325F1E">
        <w:rPr>
          <w:rFonts w:ascii="Segoe UI" w:hAnsi="Segoe UI" w:cs="Segoe UI"/>
          <w:color w:val="000000"/>
        </w:rPr>
        <w:t>的数据库变更实时同步至上海</w:t>
      </w:r>
      <w:r w:rsidRPr="00325F1E">
        <w:rPr>
          <w:rFonts w:ascii="Segoe UI" w:hAnsi="Segoe UI" w:cs="Segoe UI"/>
          <w:color w:val="000000"/>
        </w:rPr>
        <w:t>Region</w:t>
      </w:r>
      <w:r w:rsidRPr="00325F1E">
        <w:rPr>
          <w:rFonts w:ascii="Segoe UI" w:hAnsi="Segoe UI" w:cs="Segoe UI"/>
          <w:color w:val="000000"/>
        </w:rPr>
        <w:t>，</w:t>
      </w:r>
      <w:r w:rsidRPr="00325F1E">
        <w:rPr>
          <w:rFonts w:ascii="Segoe UI" w:hAnsi="Segoe UI" w:cs="Segoe UI"/>
          <w:color w:val="000000"/>
        </w:rPr>
        <w:t>RPO≈0</w:t>
      </w:r>
      <w:r w:rsidRPr="00325F1E">
        <w:rPr>
          <w:rFonts w:ascii="Segoe UI" w:hAnsi="Segoe UI" w:cs="Segoe UI"/>
          <w:color w:val="000000"/>
        </w:rPr>
        <w:t>。对于</w:t>
      </w:r>
      <w:r w:rsidR="006C6F6D" w:rsidRPr="006C6F6D">
        <w:rPr>
          <w:rFonts w:ascii="Segoe UI" w:hAnsi="Segoe UI" w:cs="Segoe UI"/>
          <w:b/>
          <w:color w:val="000000"/>
        </w:rPr>
        <w:t>招标文件要求</w:t>
      </w:r>
      <w:r w:rsidRPr="00325F1E">
        <w:rPr>
          <w:rFonts w:ascii="Segoe UI" w:hAnsi="Segoe UI" w:cs="Segoe UI"/>
          <w:color w:val="000000"/>
        </w:rPr>
        <w:t>更高的业务，</w:t>
      </w:r>
      <w:proofErr w:type="spellStart"/>
      <w:r w:rsidRPr="00325F1E">
        <w:rPr>
          <w:rFonts w:ascii="Segoe UI" w:hAnsi="Segoe UI" w:cs="Segoe UI"/>
          <w:color w:val="000000"/>
        </w:rPr>
        <w:t>PolarDB</w:t>
      </w:r>
      <w:proofErr w:type="spellEnd"/>
      <w:r w:rsidRPr="00325F1E">
        <w:rPr>
          <w:rFonts w:ascii="Segoe UI" w:hAnsi="Segoe UI" w:cs="Segoe UI"/>
          <w:color w:val="000000"/>
        </w:rPr>
        <w:t>的</w:t>
      </w:r>
      <w:r w:rsidRPr="00325F1E">
        <w:rPr>
          <w:rFonts w:ascii="Segoe UI" w:hAnsi="Segoe UI" w:cs="Segoe UI"/>
          <w:color w:val="000000"/>
        </w:rPr>
        <w:t>GDN</w:t>
      </w:r>
      <w:r w:rsidRPr="00325F1E">
        <w:rPr>
          <w:rFonts w:ascii="Segoe UI" w:hAnsi="Segoe UI" w:cs="Segoe UI"/>
          <w:color w:val="000000"/>
        </w:rPr>
        <w:t>能力可在同一国家内的多个</w:t>
      </w:r>
      <w:r w:rsidRPr="00325F1E">
        <w:rPr>
          <w:rFonts w:ascii="Segoe UI" w:hAnsi="Segoe UI" w:cs="Segoe UI"/>
          <w:color w:val="000000"/>
        </w:rPr>
        <w:t>Region</w:t>
      </w:r>
      <w:r w:rsidRPr="00325F1E">
        <w:rPr>
          <w:rFonts w:ascii="Segoe UI" w:hAnsi="Segoe UI" w:cs="Segoe UI"/>
          <w:color w:val="000000"/>
        </w:rPr>
        <w:t>部署集群，原生支持所有集群的数据同步，例如某银行在华北、华东、华南部署</w:t>
      </w:r>
      <w:proofErr w:type="spellStart"/>
      <w:r w:rsidRPr="00325F1E">
        <w:rPr>
          <w:rFonts w:ascii="Segoe UI" w:hAnsi="Segoe UI" w:cs="Segoe UI"/>
          <w:color w:val="000000"/>
        </w:rPr>
        <w:t>PolarDB</w:t>
      </w:r>
      <w:proofErr w:type="spellEnd"/>
      <w:r w:rsidRPr="00325F1E">
        <w:rPr>
          <w:rFonts w:ascii="Segoe UI" w:hAnsi="Segoe UI" w:cs="Segoe UI"/>
          <w:color w:val="000000"/>
        </w:rPr>
        <w:t>集群，通过</w:t>
      </w:r>
      <w:r w:rsidRPr="00325F1E">
        <w:rPr>
          <w:rFonts w:ascii="Segoe UI" w:hAnsi="Segoe UI" w:cs="Segoe UI"/>
          <w:color w:val="000000"/>
        </w:rPr>
        <w:t>GDN</w:t>
      </w:r>
      <w:r w:rsidRPr="00325F1E">
        <w:rPr>
          <w:rFonts w:ascii="Segoe UI" w:hAnsi="Segoe UI" w:cs="Segoe UI"/>
          <w:color w:val="000000"/>
        </w:rPr>
        <w:t>实现三地数据实时同步，任一</w:t>
      </w:r>
      <w:r w:rsidRPr="00325F1E">
        <w:rPr>
          <w:rFonts w:ascii="Segoe UI" w:hAnsi="Segoe UI" w:cs="Segoe UI"/>
          <w:color w:val="000000"/>
        </w:rPr>
        <w:t>Region</w:t>
      </w:r>
      <w:r w:rsidRPr="00325F1E">
        <w:rPr>
          <w:rFonts w:ascii="Segoe UI" w:hAnsi="Segoe UI" w:cs="Segoe UI"/>
          <w:color w:val="000000"/>
        </w:rPr>
        <w:t>故障时，流量可分钟级切换至其他</w:t>
      </w:r>
      <w:r w:rsidRPr="00325F1E">
        <w:rPr>
          <w:rFonts w:ascii="Segoe UI" w:hAnsi="Segoe UI" w:cs="Segoe UI"/>
          <w:color w:val="000000"/>
        </w:rPr>
        <w:t>Region</w:t>
      </w:r>
      <w:r w:rsidRPr="00325F1E">
        <w:rPr>
          <w:rFonts w:ascii="Segoe UI" w:hAnsi="Segoe UI" w:cs="Segoe UI"/>
          <w:color w:val="000000"/>
        </w:rPr>
        <w:t>，保障核心交易业务连续性。</w:t>
      </w:r>
    </w:p>
    <w:p w14:paraId="1BB62BBD" w14:textId="223FCAD0" w:rsidR="00325F1E" w:rsidRPr="00325F1E" w:rsidRDefault="00325F1E" w:rsidP="00325F1E">
      <w:pPr>
        <w:pStyle w:val="6"/>
        <w:rPr>
          <w:rFonts w:hint="eastAsia"/>
        </w:rPr>
      </w:pPr>
      <w:r w:rsidRPr="00325F1E">
        <w:rPr>
          <w:rFonts w:hint="eastAsia"/>
        </w:rPr>
        <w:t>数据一致性保障机制</w:t>
      </w:r>
      <w:r>
        <w:rPr>
          <w:rFonts w:hint="eastAsia"/>
        </w:rPr>
        <w:t>，</w:t>
      </w:r>
      <w:r w:rsidRPr="00325F1E">
        <w:rPr>
          <w:rFonts w:hint="eastAsia"/>
        </w:rPr>
        <w:t>技术融合与策略优化</w:t>
      </w:r>
    </w:p>
    <w:p w14:paraId="36B8B8EB" w14:textId="02D4405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华为云通过存储与数据库技术的深度融合，构建多层次的数据一致性保障体系。在存储层面，</w:t>
      </w:r>
      <w:r w:rsidRPr="00325F1E">
        <w:rPr>
          <w:rFonts w:ascii="Segoe UI" w:hAnsi="Segoe UI" w:cs="Segoe UI"/>
          <w:color w:val="000000"/>
        </w:rPr>
        <w:t>OBS</w:t>
      </w:r>
      <w:r w:rsidRPr="00325F1E">
        <w:rPr>
          <w:rFonts w:ascii="Segoe UI" w:hAnsi="Segoe UI" w:cs="Segoe UI"/>
          <w:color w:val="000000"/>
        </w:rPr>
        <w:t>的跨区域复制采用异步机制，但通过</w:t>
      </w:r>
      <w:r w:rsidRPr="00325F1E">
        <w:rPr>
          <w:rFonts w:ascii="Segoe UI" w:hAnsi="Segoe UI" w:cs="Segoe UI"/>
          <w:color w:val="000000"/>
        </w:rPr>
        <w:t>“</w:t>
      </w:r>
      <w:r w:rsidRPr="00325F1E">
        <w:rPr>
          <w:rFonts w:ascii="Segoe UI" w:hAnsi="Segoe UI" w:cs="Segoe UI"/>
          <w:color w:val="000000"/>
        </w:rPr>
        <w:t>最终一致性</w:t>
      </w:r>
      <w:r w:rsidRPr="00325F1E">
        <w:rPr>
          <w:rFonts w:ascii="Segoe UI" w:hAnsi="Segoe UI" w:cs="Segoe UI"/>
          <w:color w:val="000000"/>
        </w:rPr>
        <w:t>”</w:t>
      </w:r>
      <w:r w:rsidRPr="00325F1E">
        <w:rPr>
          <w:rFonts w:ascii="Segoe UI" w:hAnsi="Segoe UI" w:cs="Segoe UI"/>
          <w:color w:val="000000"/>
        </w:rPr>
        <w:t>保障策略，确保数据在异常中断后可通过断点续传完成同步，避免数据丢失；数据库层面，主备同步支持</w:t>
      </w:r>
      <w:r w:rsidRPr="00325F1E">
        <w:rPr>
          <w:rFonts w:ascii="Segoe UI" w:hAnsi="Segoe UI" w:cs="Segoe UI"/>
          <w:color w:val="000000"/>
        </w:rPr>
        <w:t>“</w:t>
      </w:r>
      <w:r w:rsidRPr="00325F1E">
        <w:rPr>
          <w:rFonts w:ascii="Segoe UI" w:hAnsi="Segoe UI" w:cs="Segoe UI"/>
          <w:color w:val="000000"/>
        </w:rPr>
        <w:t>强同步</w:t>
      </w:r>
      <w:r w:rsidRPr="00325F1E">
        <w:rPr>
          <w:rFonts w:ascii="Segoe UI" w:hAnsi="Segoe UI" w:cs="Segoe UI"/>
          <w:color w:val="000000"/>
        </w:rPr>
        <w:t>”</w:t>
      </w:r>
      <w:r w:rsidRPr="00325F1E">
        <w:rPr>
          <w:rFonts w:ascii="Segoe UI" w:hAnsi="Segoe UI" w:cs="Segoe UI"/>
          <w:color w:val="000000"/>
        </w:rPr>
        <w:t>与</w:t>
      </w:r>
      <w:r w:rsidRPr="00325F1E">
        <w:rPr>
          <w:rFonts w:ascii="Segoe UI" w:hAnsi="Segoe UI" w:cs="Segoe UI"/>
          <w:color w:val="000000"/>
        </w:rPr>
        <w:t>“</w:t>
      </w:r>
      <w:r w:rsidRPr="00325F1E">
        <w:rPr>
          <w:rFonts w:ascii="Segoe UI" w:hAnsi="Segoe UI" w:cs="Segoe UI"/>
          <w:color w:val="000000"/>
        </w:rPr>
        <w:t>异步同步</w:t>
      </w:r>
      <w:r w:rsidRPr="00325F1E">
        <w:rPr>
          <w:rFonts w:ascii="Segoe UI" w:hAnsi="Segoe UI" w:cs="Segoe UI"/>
          <w:color w:val="000000"/>
        </w:rPr>
        <w:t>”</w:t>
      </w:r>
      <w:r w:rsidRPr="00325F1E">
        <w:rPr>
          <w:rFonts w:ascii="Segoe UI" w:hAnsi="Segoe UI" w:cs="Segoe UI"/>
          <w:color w:val="000000"/>
        </w:rPr>
        <w:t>模式：强同步模式下，主节点事务需等待备节点确认后才提交，确保数据零丢失（</w:t>
      </w:r>
      <w:r w:rsidRPr="00325F1E">
        <w:rPr>
          <w:rFonts w:ascii="Segoe UI" w:hAnsi="Segoe UI" w:cs="Segoe UI"/>
          <w:color w:val="000000"/>
        </w:rPr>
        <w:t>RPO=0</w:t>
      </w:r>
      <w:r w:rsidRPr="00325F1E">
        <w:rPr>
          <w:rFonts w:ascii="Segoe UI" w:hAnsi="Segoe UI" w:cs="Segoe UI"/>
          <w:color w:val="000000"/>
        </w:rPr>
        <w:t>），但会增加事务延迟；异步同步模式则优先保障性能，适用于对延迟敏感但可接受少量数据丢失的业务（如日志记录）。</w:t>
      </w:r>
    </w:p>
    <w:p w14:paraId="679ADF3E" w14:textId="061EA51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针对分布式数据库场景，</w:t>
      </w:r>
      <w:proofErr w:type="spellStart"/>
      <w:r w:rsidRPr="00325F1E">
        <w:rPr>
          <w:rFonts w:ascii="Segoe UI" w:hAnsi="Segoe UI" w:cs="Segoe UI"/>
          <w:color w:val="000000"/>
        </w:rPr>
        <w:t>PolarDB</w:t>
      </w:r>
      <w:proofErr w:type="spellEnd"/>
      <w:r w:rsidRPr="00325F1E">
        <w:rPr>
          <w:rFonts w:ascii="Segoe UI" w:hAnsi="Segoe UI" w:cs="Segoe UI"/>
          <w:color w:val="000000"/>
        </w:rPr>
        <w:t>-X</w:t>
      </w:r>
      <w:r w:rsidRPr="00325F1E">
        <w:rPr>
          <w:rFonts w:ascii="Segoe UI" w:hAnsi="Segoe UI" w:cs="Segoe UI"/>
          <w:color w:val="000000"/>
        </w:rPr>
        <w:t>通过分布式事务协调机制（如两阶段提交</w:t>
      </w:r>
      <w:r w:rsidRPr="00325F1E">
        <w:rPr>
          <w:rFonts w:ascii="Segoe UI" w:hAnsi="Segoe UI" w:cs="Segoe UI"/>
          <w:color w:val="000000"/>
        </w:rPr>
        <w:t>2PC</w:t>
      </w:r>
      <w:r w:rsidRPr="00325F1E">
        <w:rPr>
          <w:rFonts w:ascii="Segoe UI" w:hAnsi="Segoe UI" w:cs="Segoe UI"/>
          <w:color w:val="000000"/>
        </w:rPr>
        <w:t>）确保跨节点数据一致性，结合</w:t>
      </w:r>
      <w:r w:rsidRPr="00325F1E">
        <w:rPr>
          <w:rFonts w:ascii="Segoe UI" w:hAnsi="Segoe UI" w:cs="Segoe UI"/>
          <w:color w:val="000000"/>
        </w:rPr>
        <w:t>GDN</w:t>
      </w:r>
      <w:r w:rsidRPr="00325F1E">
        <w:rPr>
          <w:rFonts w:ascii="Segoe UI" w:hAnsi="Segoe UI" w:cs="Segoe UI"/>
          <w:color w:val="000000"/>
        </w:rPr>
        <w:t>的全球同步能力，实现</w:t>
      </w:r>
      <w:r w:rsidRPr="00325F1E">
        <w:rPr>
          <w:rFonts w:ascii="Segoe UI" w:hAnsi="Segoe UI" w:cs="Segoe UI"/>
          <w:color w:val="000000"/>
        </w:rPr>
        <w:t>“</w:t>
      </w:r>
      <w:r w:rsidRPr="00325F1E">
        <w:rPr>
          <w:rFonts w:ascii="Segoe UI" w:hAnsi="Segoe UI" w:cs="Segoe UI"/>
          <w:color w:val="000000"/>
        </w:rPr>
        <w:t>本地强一致</w:t>
      </w:r>
      <w:r w:rsidRPr="00325F1E">
        <w:rPr>
          <w:rFonts w:ascii="Segoe UI" w:hAnsi="Segoe UI" w:cs="Segoe UI"/>
          <w:color w:val="000000"/>
        </w:rPr>
        <w:t>+</w:t>
      </w:r>
      <w:r w:rsidRPr="00325F1E">
        <w:rPr>
          <w:rFonts w:ascii="Segoe UI" w:hAnsi="Segoe UI" w:cs="Segoe UI"/>
          <w:color w:val="000000"/>
        </w:rPr>
        <w:t>全球最终一致</w:t>
      </w:r>
      <w:r w:rsidRPr="00325F1E">
        <w:rPr>
          <w:rFonts w:ascii="Segoe UI" w:hAnsi="Segoe UI" w:cs="Segoe UI"/>
          <w:color w:val="000000"/>
        </w:rPr>
        <w:t>”</w:t>
      </w:r>
      <w:r w:rsidRPr="00325F1E">
        <w:rPr>
          <w:rFonts w:ascii="Segoe UI" w:hAnsi="Segoe UI" w:cs="Segoe UI"/>
          <w:color w:val="000000"/>
        </w:rPr>
        <w:t>的混合模式。例如，电商平台的订单支付业务在本地单元内采用强一致模式，确保交易数据准确；跨单元的库存同步则采用最终一致模式，通过消息队列异步同步，在性能与一致性间取得平</w:t>
      </w:r>
      <w:r w:rsidRPr="00325F1E">
        <w:rPr>
          <w:rFonts w:ascii="Segoe UI" w:hAnsi="Segoe UI" w:cs="Segoe UI"/>
          <w:color w:val="000000"/>
        </w:rPr>
        <w:lastRenderedPageBreak/>
        <w:t>衡。</w:t>
      </w:r>
    </w:p>
    <w:p w14:paraId="3A2335DA" w14:textId="60C31E9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此外，华为云还提供一致性复制组功能，对跨多块云盘的容灾场景进行统一管理，确保同一复制组内的多块云盘数据可恢复至同一时间点，避免因数据不一致导致的业务异常。通过数据库审计服务（</w:t>
      </w:r>
      <w:r w:rsidRPr="00325F1E">
        <w:rPr>
          <w:rFonts w:ascii="Segoe UI" w:hAnsi="Segoe UI" w:cs="Segoe UI"/>
          <w:color w:val="000000"/>
        </w:rPr>
        <w:t>DAS</w:t>
      </w:r>
      <w:r w:rsidRPr="00325F1E">
        <w:rPr>
          <w:rFonts w:ascii="Segoe UI" w:hAnsi="Segoe UI" w:cs="Segoe UI"/>
          <w:color w:val="000000"/>
        </w:rPr>
        <w:t>）与</w:t>
      </w:r>
      <w:r w:rsidRPr="00325F1E">
        <w:rPr>
          <w:rFonts w:ascii="Segoe UI" w:hAnsi="Segoe UI" w:cs="Segoe UI"/>
          <w:color w:val="000000"/>
        </w:rPr>
        <w:t>OBS</w:t>
      </w:r>
      <w:r w:rsidRPr="00325F1E">
        <w:rPr>
          <w:rFonts w:ascii="Segoe UI" w:hAnsi="Segoe UI" w:cs="Segoe UI"/>
          <w:color w:val="000000"/>
        </w:rPr>
        <w:t>访问日志分析，可追溯数据变更历史，进一步保障数据操作的可审计性与一致性。整体方案通过技术策略与管理流程的结合，使混合云环境下的数据一致性达到企业级应用</w:t>
      </w:r>
      <w:r w:rsidR="006C6F6D" w:rsidRPr="006C6F6D">
        <w:rPr>
          <w:rFonts w:ascii="Segoe UI" w:hAnsi="Segoe UI" w:cs="Segoe UI"/>
          <w:b/>
          <w:color w:val="000000"/>
        </w:rPr>
        <w:t>招标文件要求</w:t>
      </w:r>
      <w:r w:rsidRPr="00325F1E">
        <w:rPr>
          <w:rFonts w:ascii="Segoe UI" w:hAnsi="Segoe UI" w:cs="Segoe UI"/>
          <w:color w:val="000000"/>
        </w:rPr>
        <w:t>，满足金融、医疗等对数据可靠性严苛的行业需求。</w:t>
      </w:r>
    </w:p>
    <w:p w14:paraId="0A4F13A2" w14:textId="2426C980" w:rsidR="008B6551" w:rsidRDefault="008B6551" w:rsidP="001F4BFA">
      <w:pPr>
        <w:pStyle w:val="4"/>
        <w:shd w:val="clear" w:color="auto" w:fill="F9FAFB"/>
        <w:rPr>
          <w:rFonts w:ascii="Segoe UI" w:hAnsi="Segoe UI" w:cs="Segoe UI"/>
          <w:color w:val="000000"/>
        </w:rPr>
      </w:pPr>
      <w:r>
        <w:rPr>
          <w:rFonts w:ascii="Segoe UI" w:hAnsi="Segoe UI" w:cs="Segoe UI"/>
          <w:color w:val="000000"/>
        </w:rPr>
        <w:t>监控与可观测性设计</w:t>
      </w:r>
    </w:p>
    <w:p w14:paraId="16B0DEDC" w14:textId="7F0CF489" w:rsidR="008B6551" w:rsidRDefault="008B6551" w:rsidP="001F4BFA">
      <w:pPr>
        <w:pStyle w:val="5"/>
        <w:shd w:val="clear" w:color="auto" w:fill="F9FAFB"/>
        <w:rPr>
          <w:rFonts w:ascii="Segoe UI" w:hAnsi="Segoe UI" w:cs="Segoe UI"/>
          <w:color w:val="000000"/>
        </w:rPr>
      </w:pPr>
      <w:r>
        <w:rPr>
          <w:rFonts w:ascii="Segoe UI" w:hAnsi="Segoe UI" w:cs="Segoe UI"/>
          <w:color w:val="000000"/>
        </w:rPr>
        <w:t>监测控制体系</w:t>
      </w:r>
    </w:p>
    <w:p w14:paraId="59744580"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混合云环境下的监测控制体系以华为云基础架构为依托，构建从网络隔离、权限管控到安全威胁防护的全链路监测机制，确保云上资源与业务系统的安全性、合规性与稳定性。</w:t>
      </w:r>
    </w:p>
    <w:p w14:paraId="5C9B29AC" w14:textId="11CFC411"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在网络管理层面，华为云虚拟私有云（</w:t>
      </w:r>
      <w:r w:rsidRPr="00325F1E">
        <w:rPr>
          <w:rFonts w:ascii="Segoe UI" w:hAnsi="Segoe UI" w:cs="Segoe UI"/>
          <w:color w:val="000000"/>
        </w:rPr>
        <w:t>VPC</w:t>
      </w:r>
      <w:r w:rsidRPr="00325F1E">
        <w:rPr>
          <w:rFonts w:ascii="Segoe UI" w:hAnsi="Segoe UI" w:cs="Segoe UI"/>
          <w:color w:val="000000"/>
        </w:rPr>
        <w:t>）通过分层隔离与流量控制构建基础网络安全屏障。</w:t>
      </w:r>
      <w:r w:rsidRPr="00325F1E">
        <w:rPr>
          <w:rFonts w:ascii="Segoe UI" w:hAnsi="Segoe UI" w:cs="Segoe UI"/>
          <w:color w:val="000000"/>
        </w:rPr>
        <w:t>VPC</w:t>
      </w:r>
      <w:r w:rsidRPr="00325F1E">
        <w:rPr>
          <w:rFonts w:ascii="Segoe UI" w:hAnsi="Segoe UI" w:cs="Segoe UI"/>
          <w:color w:val="000000"/>
        </w:rPr>
        <w:t>支持用户自定义网络拓扑，将混合云环境划分为互联网接入组、应用组、数据组等逻辑隔离区域，缩小未经授权访问的影响范围。安全组作为</w:t>
      </w:r>
      <w:r w:rsidRPr="00325F1E">
        <w:rPr>
          <w:rFonts w:ascii="Segoe UI" w:hAnsi="Segoe UI" w:cs="Segoe UI"/>
          <w:color w:val="000000"/>
        </w:rPr>
        <w:t>ECS</w:t>
      </w:r>
      <w:r w:rsidRPr="00325F1E">
        <w:rPr>
          <w:rFonts w:ascii="Segoe UI" w:hAnsi="Segoe UI" w:cs="Segoe UI"/>
          <w:color w:val="000000"/>
        </w:rPr>
        <w:t>实例的虚拟防火墙，可基于</w:t>
      </w:r>
      <w:r w:rsidRPr="00325F1E">
        <w:rPr>
          <w:rFonts w:ascii="Segoe UI" w:hAnsi="Segoe UI" w:cs="Segoe UI"/>
          <w:color w:val="000000"/>
        </w:rPr>
        <w:t>IP</w:t>
      </w:r>
      <w:r w:rsidRPr="00325F1E">
        <w:rPr>
          <w:rFonts w:ascii="Segoe UI" w:hAnsi="Segoe UI" w:cs="Segoe UI"/>
          <w:color w:val="000000"/>
        </w:rPr>
        <w:t>地址、端口号等维度配置精细化访问规则，例如仅允许特定</w:t>
      </w:r>
      <w:r w:rsidRPr="00325F1E">
        <w:rPr>
          <w:rFonts w:ascii="Segoe UI" w:hAnsi="Segoe UI" w:cs="Segoe UI"/>
          <w:color w:val="000000"/>
        </w:rPr>
        <w:t>IP</w:t>
      </w:r>
      <w:r w:rsidRPr="00325F1E">
        <w:rPr>
          <w:rFonts w:ascii="Segoe UI" w:hAnsi="Segoe UI" w:cs="Segoe UI"/>
          <w:color w:val="000000"/>
        </w:rPr>
        <w:t>段访问数据库实例；网络</w:t>
      </w:r>
      <w:r w:rsidRPr="00325F1E">
        <w:rPr>
          <w:rFonts w:ascii="Segoe UI" w:hAnsi="Segoe UI" w:cs="Segoe UI"/>
          <w:color w:val="000000"/>
        </w:rPr>
        <w:t>ACL</w:t>
      </w:r>
      <w:r w:rsidRPr="00325F1E">
        <w:rPr>
          <w:rFonts w:ascii="Segoe UI" w:hAnsi="Segoe UI" w:cs="Segoe UI"/>
          <w:color w:val="000000"/>
        </w:rPr>
        <w:t>（访问控制列表）则作为二层网络的流量过滤器，对进出</w:t>
      </w:r>
      <w:r w:rsidRPr="00325F1E">
        <w:rPr>
          <w:rFonts w:ascii="Segoe UI" w:hAnsi="Segoe UI" w:cs="Segoe UI"/>
          <w:color w:val="000000"/>
        </w:rPr>
        <w:t>VPC</w:t>
      </w:r>
      <w:r w:rsidRPr="00325F1E">
        <w:rPr>
          <w:rFonts w:ascii="Segoe UI" w:hAnsi="Segoe UI" w:cs="Segoe UI"/>
          <w:color w:val="000000"/>
        </w:rPr>
        <w:t>子网的流量进行双向控制，实现</w:t>
      </w:r>
      <w:r w:rsidRPr="00325F1E">
        <w:rPr>
          <w:rFonts w:ascii="Segoe UI" w:hAnsi="Segoe UI" w:cs="Segoe UI"/>
          <w:color w:val="000000"/>
        </w:rPr>
        <w:t>“</w:t>
      </w:r>
      <w:r w:rsidRPr="00325F1E">
        <w:rPr>
          <w:rFonts w:ascii="Segoe UI" w:hAnsi="Segoe UI" w:cs="Segoe UI"/>
          <w:color w:val="000000"/>
        </w:rPr>
        <w:t>上层安全组粗粒度隔离</w:t>
      </w:r>
      <w:r w:rsidRPr="00325F1E">
        <w:rPr>
          <w:rFonts w:ascii="Segoe UI" w:hAnsi="Segoe UI" w:cs="Segoe UI"/>
          <w:color w:val="000000"/>
        </w:rPr>
        <w:t>+</w:t>
      </w:r>
      <w:r w:rsidRPr="00325F1E">
        <w:rPr>
          <w:rFonts w:ascii="Segoe UI" w:hAnsi="Segoe UI" w:cs="Segoe UI"/>
          <w:color w:val="000000"/>
        </w:rPr>
        <w:t>下层网络</w:t>
      </w:r>
      <w:r w:rsidRPr="00325F1E">
        <w:rPr>
          <w:rFonts w:ascii="Segoe UI" w:hAnsi="Segoe UI" w:cs="Segoe UI"/>
          <w:color w:val="000000"/>
        </w:rPr>
        <w:t>ACL</w:t>
      </w:r>
      <w:r w:rsidRPr="00325F1E">
        <w:rPr>
          <w:rFonts w:ascii="Segoe UI" w:hAnsi="Segoe UI" w:cs="Segoe UI"/>
          <w:color w:val="000000"/>
        </w:rPr>
        <w:t>细粒度控制</w:t>
      </w:r>
      <w:r w:rsidRPr="00325F1E">
        <w:rPr>
          <w:rFonts w:ascii="Segoe UI" w:hAnsi="Segoe UI" w:cs="Segoe UI"/>
          <w:color w:val="000000"/>
        </w:rPr>
        <w:t>”</w:t>
      </w:r>
      <w:r w:rsidRPr="00325F1E">
        <w:rPr>
          <w:rFonts w:ascii="Segoe UI" w:hAnsi="Segoe UI" w:cs="Segoe UI"/>
          <w:color w:val="000000"/>
        </w:rPr>
        <w:t>的双重防护。</w:t>
      </w:r>
      <w:r w:rsidRPr="00325F1E">
        <w:rPr>
          <w:rFonts w:ascii="Segoe UI" w:hAnsi="Segoe UI" w:cs="Segoe UI" w:hint="eastAsia"/>
          <w:color w:val="000000"/>
        </w:rPr>
        <w:t>此外，</w:t>
      </w:r>
      <w:r w:rsidRPr="00325F1E">
        <w:rPr>
          <w:rFonts w:ascii="Segoe UI" w:hAnsi="Segoe UI" w:cs="Segoe UI"/>
          <w:color w:val="000000"/>
        </w:rPr>
        <w:t>VPC</w:t>
      </w:r>
      <w:r w:rsidRPr="00325F1E">
        <w:rPr>
          <w:rFonts w:ascii="Segoe UI" w:hAnsi="Segoe UI" w:cs="Segoe UI"/>
          <w:color w:val="000000"/>
        </w:rPr>
        <w:t>流日志功能可记录网络流量元数据，配合华为云监控服务（</w:t>
      </w:r>
      <w:r w:rsidRPr="00325F1E">
        <w:rPr>
          <w:rFonts w:ascii="Segoe UI" w:hAnsi="Segoe UI" w:cs="Segoe UI"/>
          <w:color w:val="000000"/>
        </w:rPr>
        <w:t>CES</w:t>
      </w:r>
      <w:r w:rsidRPr="00325F1E">
        <w:rPr>
          <w:rFonts w:ascii="Segoe UI" w:hAnsi="Segoe UI" w:cs="Segoe UI"/>
          <w:color w:val="000000"/>
        </w:rPr>
        <w:t>）实时分析流量异常，为网络攻击溯源与流量优化提供数据支撑。</w:t>
      </w:r>
    </w:p>
    <w:p w14:paraId="479A9416" w14:textId="080B3A8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权限管理遵循</w:t>
      </w:r>
      <w:r w:rsidRPr="00325F1E">
        <w:rPr>
          <w:rFonts w:ascii="Segoe UI" w:hAnsi="Segoe UI" w:cs="Segoe UI"/>
          <w:color w:val="000000"/>
        </w:rPr>
        <w:t>IAM</w:t>
      </w:r>
      <w:r w:rsidRPr="00325F1E">
        <w:rPr>
          <w:rFonts w:ascii="Segoe UI" w:hAnsi="Segoe UI" w:cs="Segoe UI"/>
          <w:color w:val="000000"/>
        </w:rPr>
        <w:t>（</w:t>
      </w:r>
      <w:proofErr w:type="spellStart"/>
      <w:r w:rsidRPr="00325F1E">
        <w:rPr>
          <w:rFonts w:ascii="Segoe UI" w:hAnsi="Segoe UI" w:cs="Segoe UI"/>
          <w:color w:val="000000"/>
        </w:rPr>
        <w:t>IdentityandAccessManagement</w:t>
      </w:r>
      <w:proofErr w:type="spellEnd"/>
      <w:r w:rsidRPr="00325F1E">
        <w:rPr>
          <w:rFonts w:ascii="Segoe UI" w:hAnsi="Segoe UI" w:cs="Segoe UI"/>
          <w:color w:val="000000"/>
        </w:rPr>
        <w:t>）最小权限分配原则，通过角色与策略的精准匹配实现权限收敛。企业可基于业务职能创建不同角色（如开发、运维、审计），为每个角色分配完成任务所需的最低权限，例如运维角色仅拥有</w:t>
      </w:r>
      <w:r w:rsidRPr="00325F1E">
        <w:rPr>
          <w:rFonts w:ascii="Segoe UI" w:hAnsi="Segoe UI" w:cs="Segoe UI"/>
          <w:color w:val="000000"/>
        </w:rPr>
        <w:t>ECS</w:t>
      </w:r>
      <w:r w:rsidRPr="00325F1E">
        <w:rPr>
          <w:rFonts w:ascii="Segoe UI" w:hAnsi="Segoe UI" w:cs="Segoe UI"/>
          <w:color w:val="000000"/>
        </w:rPr>
        <w:t>实例的管理权限，而无数据库敏感数据的访问权限。</w:t>
      </w:r>
      <w:r w:rsidRPr="00325F1E">
        <w:rPr>
          <w:rFonts w:ascii="Segoe UI" w:hAnsi="Segoe UI" w:cs="Segoe UI"/>
          <w:color w:val="000000"/>
        </w:rPr>
        <w:t>IAM</w:t>
      </w:r>
      <w:r w:rsidRPr="00325F1E">
        <w:rPr>
          <w:rFonts w:ascii="Segoe UI" w:hAnsi="Segoe UI" w:cs="Segoe UI"/>
          <w:color w:val="000000"/>
        </w:rPr>
        <w:t>支持基于标签的动态权限控制，可根据资源属性（如环境标签</w:t>
      </w:r>
      <w:r w:rsidRPr="00325F1E">
        <w:rPr>
          <w:rFonts w:ascii="Segoe UI" w:hAnsi="Segoe UI" w:cs="Segoe UI"/>
          <w:color w:val="000000"/>
        </w:rPr>
        <w:t>“</w:t>
      </w:r>
      <w:r w:rsidRPr="00325F1E">
        <w:rPr>
          <w:rFonts w:ascii="Segoe UI" w:hAnsi="Segoe UI" w:cs="Segoe UI"/>
          <w:color w:val="000000"/>
        </w:rPr>
        <w:t>生产</w:t>
      </w:r>
      <w:r w:rsidRPr="00325F1E">
        <w:rPr>
          <w:rFonts w:ascii="Segoe UI" w:hAnsi="Segoe UI" w:cs="Segoe UI"/>
          <w:color w:val="000000"/>
        </w:rPr>
        <w:t>/</w:t>
      </w:r>
      <w:r w:rsidRPr="00325F1E">
        <w:rPr>
          <w:rFonts w:ascii="Segoe UI" w:hAnsi="Segoe UI" w:cs="Segoe UI"/>
          <w:color w:val="000000"/>
        </w:rPr>
        <w:t>测试</w:t>
      </w:r>
      <w:r w:rsidRPr="00325F1E">
        <w:rPr>
          <w:rFonts w:ascii="Segoe UI" w:hAnsi="Segoe UI" w:cs="Segoe UI"/>
          <w:color w:val="000000"/>
        </w:rPr>
        <w:t>”</w:t>
      </w:r>
      <w:r w:rsidRPr="00325F1E">
        <w:rPr>
          <w:rFonts w:ascii="Segoe UI" w:hAnsi="Segoe UI" w:cs="Segoe UI"/>
          <w:color w:val="000000"/>
        </w:rPr>
        <w:t>）自动关联权限策略，避免静态权限配置的过度授权风险。针对</w:t>
      </w:r>
      <w:r w:rsidRPr="00325F1E">
        <w:rPr>
          <w:rFonts w:ascii="Segoe UI" w:hAnsi="Segoe UI" w:cs="Segoe UI"/>
          <w:color w:val="000000"/>
        </w:rPr>
        <w:t>Root</w:t>
      </w:r>
      <w:r w:rsidRPr="00325F1E">
        <w:rPr>
          <w:rFonts w:ascii="Segoe UI" w:hAnsi="Segoe UI" w:cs="Segoe UI"/>
          <w:color w:val="000000"/>
        </w:rPr>
        <w:t>账号等高风险身份，华为云强制</w:t>
      </w:r>
      <w:r w:rsidR="006C6F6D" w:rsidRPr="006C6F6D">
        <w:rPr>
          <w:rFonts w:ascii="Segoe UI" w:hAnsi="Segoe UI" w:cs="Segoe UI"/>
          <w:b/>
          <w:color w:val="000000"/>
        </w:rPr>
        <w:t>招标文件要求</w:t>
      </w:r>
      <w:r w:rsidRPr="00325F1E">
        <w:rPr>
          <w:rFonts w:ascii="Segoe UI" w:hAnsi="Segoe UI" w:cs="Segoe UI"/>
          <w:color w:val="000000"/>
        </w:rPr>
        <w:t>启用多因素认证（</w:t>
      </w:r>
      <w:r w:rsidRPr="00325F1E">
        <w:rPr>
          <w:rFonts w:ascii="Segoe UI" w:hAnsi="Segoe UI" w:cs="Segoe UI"/>
          <w:color w:val="000000"/>
        </w:rPr>
        <w:t>MFA</w:t>
      </w:r>
      <w:r w:rsidRPr="00325F1E">
        <w:rPr>
          <w:rFonts w:ascii="Segoe UI" w:hAnsi="Segoe UI" w:cs="Segoe UI"/>
          <w:color w:val="000000"/>
        </w:rPr>
        <w:t>）</w:t>
      </w:r>
      <w:r w:rsidRPr="00325F1E">
        <w:rPr>
          <w:rFonts w:ascii="Segoe UI" w:hAnsi="Segoe UI" w:cs="Segoe UI" w:hint="eastAsia"/>
          <w:color w:val="000000"/>
        </w:rPr>
        <w:t>，并通过</w:t>
      </w:r>
      <w:r w:rsidRPr="00325F1E">
        <w:rPr>
          <w:rFonts w:ascii="Segoe UI" w:hAnsi="Segoe UI" w:cs="Segoe UI"/>
          <w:color w:val="000000"/>
        </w:rPr>
        <w:t>RAM</w:t>
      </w:r>
      <w:r w:rsidRPr="00325F1E">
        <w:rPr>
          <w:rFonts w:ascii="Segoe UI" w:hAnsi="Segoe UI" w:cs="Segoe UI"/>
          <w:color w:val="000000"/>
        </w:rPr>
        <w:t>子账号替代</w:t>
      </w:r>
      <w:r w:rsidRPr="00325F1E">
        <w:rPr>
          <w:rFonts w:ascii="Segoe UI" w:hAnsi="Segoe UI" w:cs="Segoe UI"/>
          <w:color w:val="000000"/>
        </w:rPr>
        <w:t>Root</w:t>
      </w:r>
      <w:r w:rsidRPr="00325F1E">
        <w:rPr>
          <w:rFonts w:ascii="Segoe UI" w:hAnsi="Segoe UI" w:cs="Segoe UI"/>
          <w:color w:val="000000"/>
        </w:rPr>
        <w:t>账号进行日常操作，确保权限操作可追溯、可审计。</w:t>
      </w:r>
    </w:p>
    <w:p w14:paraId="102FD95A" w14:textId="3B0C2F8C"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配置与操作审计通过华为云配置审计服务（</w:t>
      </w:r>
      <w:r w:rsidRPr="00325F1E">
        <w:rPr>
          <w:rFonts w:ascii="Segoe UI" w:hAnsi="Segoe UI" w:cs="Segoe UI"/>
          <w:color w:val="000000"/>
        </w:rPr>
        <w:t>Config</w:t>
      </w:r>
      <w:r w:rsidRPr="00325F1E">
        <w:rPr>
          <w:rFonts w:ascii="Segoe UI" w:hAnsi="Segoe UI" w:cs="Segoe UI"/>
          <w:color w:val="000000"/>
        </w:rPr>
        <w:t>）与操作日志（</w:t>
      </w:r>
      <w:r w:rsidRPr="00325F1E">
        <w:rPr>
          <w:rFonts w:ascii="Segoe UI" w:hAnsi="Segoe UI" w:cs="Segoe UI"/>
          <w:color w:val="000000"/>
        </w:rPr>
        <w:t>CloudTrail</w:t>
      </w:r>
      <w:r w:rsidRPr="00325F1E">
        <w:rPr>
          <w:rFonts w:ascii="Segoe UI" w:hAnsi="Segoe UI" w:cs="Segoe UI"/>
          <w:color w:val="000000"/>
        </w:rPr>
        <w:t>）实现全生命周期监管。配置审计服务持续监控云资源的配置变更，对比预设的合规基线（如等保</w:t>
      </w:r>
      <w:r w:rsidRPr="00325F1E">
        <w:rPr>
          <w:rFonts w:ascii="Segoe UI" w:hAnsi="Segoe UI" w:cs="Segoe UI"/>
          <w:color w:val="000000"/>
        </w:rPr>
        <w:t>2.0</w:t>
      </w:r>
      <w:r w:rsidR="006C6F6D" w:rsidRPr="006C6F6D">
        <w:rPr>
          <w:rFonts w:ascii="Segoe UI" w:hAnsi="Segoe UI" w:cs="Segoe UI"/>
          <w:b/>
          <w:color w:val="000000"/>
        </w:rPr>
        <w:t>招标文件要求</w:t>
      </w:r>
      <w:r w:rsidRPr="00325F1E">
        <w:rPr>
          <w:rFonts w:ascii="Segoe UI" w:hAnsi="Segoe UI" w:cs="Segoe UI"/>
          <w:color w:val="000000"/>
        </w:rPr>
        <w:t>），实时告警违规配置（如公网暴露的数据库端口），并生成配置历史版本供回溯。操作日志则记录所有用户对云资源的访问与操作行为，包括</w:t>
      </w:r>
      <w:r w:rsidRPr="00325F1E">
        <w:rPr>
          <w:rFonts w:ascii="Segoe UI" w:hAnsi="Segoe UI" w:cs="Segoe UI"/>
          <w:color w:val="000000"/>
        </w:rPr>
        <w:t>API</w:t>
      </w:r>
      <w:r w:rsidRPr="00325F1E">
        <w:rPr>
          <w:rFonts w:ascii="Segoe UI" w:hAnsi="Segoe UI" w:cs="Segoe UI"/>
          <w:color w:val="000000"/>
        </w:rPr>
        <w:t>调用、控制台操作等，日志内容包含操作主体、对象、时间、结果等关键信息，可用于安全分析（如识别异常登录）、入侵检测（如未授权的数据导出）及合规审计（如满足</w:t>
      </w:r>
      <w:r w:rsidRPr="00325F1E">
        <w:rPr>
          <w:rFonts w:ascii="Segoe UI" w:hAnsi="Segoe UI" w:cs="Segoe UI"/>
          <w:color w:val="000000"/>
        </w:rPr>
        <w:t>SOX</w:t>
      </w:r>
      <w:r w:rsidRPr="00325F1E">
        <w:rPr>
          <w:rFonts w:ascii="Segoe UI" w:hAnsi="Segoe UI" w:cs="Segoe UI"/>
          <w:color w:val="000000"/>
        </w:rPr>
        <w:t>法案的操作追溯</w:t>
      </w:r>
      <w:r w:rsidR="006C6F6D" w:rsidRPr="006C6F6D">
        <w:rPr>
          <w:rFonts w:ascii="Segoe UI" w:hAnsi="Segoe UI" w:cs="Segoe UI"/>
          <w:b/>
          <w:color w:val="000000"/>
        </w:rPr>
        <w:t>招标文件要求</w:t>
      </w:r>
      <w:r w:rsidRPr="00325F1E">
        <w:rPr>
          <w:rFonts w:ascii="Segoe UI" w:hAnsi="Segoe UI" w:cs="Segoe UI"/>
          <w:color w:val="000000"/>
        </w:rPr>
        <w:t>）。日志数据</w:t>
      </w:r>
      <w:r w:rsidRPr="00325F1E">
        <w:rPr>
          <w:rFonts w:ascii="Segoe UI" w:hAnsi="Segoe UI" w:cs="Segoe UI" w:hint="eastAsia"/>
          <w:color w:val="000000"/>
        </w:rPr>
        <w:t>可存储至对象存储</w:t>
      </w:r>
      <w:r w:rsidRPr="00325F1E">
        <w:rPr>
          <w:rFonts w:ascii="Segoe UI" w:hAnsi="Segoe UI" w:cs="Segoe UI"/>
          <w:color w:val="000000"/>
        </w:rPr>
        <w:t>OSS</w:t>
      </w:r>
      <w:r w:rsidRPr="00325F1E">
        <w:rPr>
          <w:rFonts w:ascii="Segoe UI" w:hAnsi="Segoe UI" w:cs="Segoe UI"/>
          <w:color w:val="000000"/>
        </w:rPr>
        <w:t>或日志服务</w:t>
      </w:r>
      <w:r w:rsidRPr="00325F1E">
        <w:rPr>
          <w:rFonts w:ascii="Segoe UI" w:hAnsi="Segoe UI" w:cs="Segoe UI"/>
          <w:color w:val="000000"/>
        </w:rPr>
        <w:t>SLS</w:t>
      </w:r>
      <w:r w:rsidRPr="00325F1E">
        <w:rPr>
          <w:rFonts w:ascii="Segoe UI" w:hAnsi="Segoe UI" w:cs="Segoe UI"/>
          <w:color w:val="000000"/>
        </w:rPr>
        <w:t>，支持自定义检索与可视化分析，例如通过关键词过滤快速定位高危操作。</w:t>
      </w:r>
    </w:p>
    <w:p w14:paraId="16B1FE81" w14:textId="51519C21"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安全威胁防护体系整合华为云</w:t>
      </w:r>
      <w:r w:rsidRPr="00325F1E">
        <w:rPr>
          <w:rFonts w:ascii="Segoe UI" w:hAnsi="Segoe UI" w:cs="Segoe UI"/>
          <w:color w:val="000000"/>
        </w:rPr>
        <w:t>DDoS</w:t>
      </w:r>
      <w:r w:rsidRPr="00325F1E">
        <w:rPr>
          <w:rFonts w:ascii="Segoe UI" w:hAnsi="Segoe UI" w:cs="Segoe UI"/>
          <w:color w:val="000000"/>
        </w:rPr>
        <w:t>防护与入侵检测系统（</w:t>
      </w:r>
      <w:r w:rsidRPr="00325F1E">
        <w:rPr>
          <w:rFonts w:ascii="Segoe UI" w:hAnsi="Segoe UI" w:cs="Segoe UI"/>
          <w:color w:val="000000"/>
        </w:rPr>
        <w:t>IDS</w:t>
      </w:r>
      <w:r w:rsidRPr="00325F1E">
        <w:rPr>
          <w:rFonts w:ascii="Segoe UI" w:hAnsi="Segoe UI" w:cs="Segoe UI"/>
          <w:color w:val="000000"/>
        </w:rPr>
        <w:t>），构建主动防御机制。针对分布式拒绝服务攻击，方案通过</w:t>
      </w:r>
      <w:r w:rsidRPr="00325F1E">
        <w:rPr>
          <w:rFonts w:ascii="Segoe UI" w:hAnsi="Segoe UI" w:cs="Segoe UI"/>
          <w:color w:val="000000"/>
        </w:rPr>
        <w:t>“</w:t>
      </w:r>
      <w:r w:rsidRPr="00325F1E">
        <w:rPr>
          <w:rFonts w:ascii="Segoe UI" w:hAnsi="Segoe UI" w:cs="Segoe UI"/>
          <w:color w:val="000000"/>
        </w:rPr>
        <w:t>缩小暴露面</w:t>
      </w:r>
      <w:r w:rsidRPr="00325F1E">
        <w:rPr>
          <w:rFonts w:ascii="Segoe UI" w:hAnsi="Segoe UI" w:cs="Segoe UI"/>
          <w:color w:val="000000"/>
        </w:rPr>
        <w:t>+</w:t>
      </w:r>
      <w:r w:rsidRPr="00325F1E">
        <w:rPr>
          <w:rFonts w:ascii="Segoe UI" w:hAnsi="Segoe UI" w:cs="Segoe UI"/>
          <w:color w:val="000000"/>
        </w:rPr>
        <w:t>弹性架构</w:t>
      </w:r>
      <w:r w:rsidRPr="00325F1E">
        <w:rPr>
          <w:rFonts w:ascii="Segoe UI" w:hAnsi="Segoe UI" w:cs="Segoe UI"/>
          <w:color w:val="000000"/>
        </w:rPr>
        <w:t>+</w:t>
      </w:r>
      <w:r w:rsidRPr="00325F1E">
        <w:rPr>
          <w:rFonts w:ascii="Segoe UI" w:hAnsi="Segoe UI" w:cs="Segoe UI"/>
          <w:color w:val="000000"/>
        </w:rPr>
        <w:t>专业防护</w:t>
      </w:r>
      <w:r w:rsidRPr="00325F1E">
        <w:rPr>
          <w:rFonts w:ascii="Segoe UI" w:hAnsi="Segoe UI" w:cs="Segoe UI"/>
          <w:color w:val="000000"/>
        </w:rPr>
        <w:t>”</w:t>
      </w:r>
      <w:r w:rsidRPr="00325F1E">
        <w:rPr>
          <w:rFonts w:ascii="Segoe UI" w:hAnsi="Segoe UI" w:cs="Segoe UI"/>
          <w:color w:val="000000"/>
        </w:rPr>
        <w:t>多层策略应对：通过</w:t>
      </w:r>
      <w:r w:rsidRPr="00325F1E">
        <w:rPr>
          <w:rFonts w:ascii="Segoe UI" w:hAnsi="Segoe UI" w:cs="Segoe UI"/>
          <w:color w:val="000000"/>
        </w:rPr>
        <w:lastRenderedPageBreak/>
        <w:t>NAT</w:t>
      </w:r>
      <w:r w:rsidRPr="00325F1E">
        <w:rPr>
          <w:rFonts w:ascii="Segoe UI" w:hAnsi="Segoe UI" w:cs="Segoe UI"/>
          <w:color w:val="000000"/>
        </w:rPr>
        <w:t>网关隐藏内部服务器公网</w:t>
      </w:r>
      <w:r w:rsidRPr="00325F1E">
        <w:rPr>
          <w:rFonts w:ascii="Segoe UI" w:hAnsi="Segoe UI" w:cs="Segoe UI"/>
          <w:color w:val="000000"/>
        </w:rPr>
        <w:t>IP</w:t>
      </w:r>
      <w:r w:rsidRPr="00325F1E">
        <w:rPr>
          <w:rFonts w:ascii="Segoe UI" w:hAnsi="Segoe UI" w:cs="Segoe UI"/>
          <w:color w:val="000000"/>
        </w:rPr>
        <w:t>，仅暴露必要服务端口；利用弹性伸缩（</w:t>
      </w:r>
      <w:proofErr w:type="spellStart"/>
      <w:r w:rsidRPr="00325F1E">
        <w:rPr>
          <w:rFonts w:ascii="Segoe UI" w:hAnsi="Segoe UI" w:cs="Segoe UI"/>
          <w:color w:val="000000"/>
        </w:rPr>
        <w:t>AutoScaling</w:t>
      </w:r>
      <w:proofErr w:type="spellEnd"/>
      <w:r w:rsidRPr="00325F1E">
        <w:rPr>
          <w:rFonts w:ascii="Segoe UI" w:hAnsi="Segoe UI" w:cs="Segoe UI"/>
          <w:color w:val="000000"/>
        </w:rPr>
        <w:t>）动态扩容应对流量峰值；部署</w:t>
      </w:r>
      <w:r w:rsidRPr="00325F1E">
        <w:rPr>
          <w:rFonts w:ascii="Segoe UI" w:hAnsi="Segoe UI" w:cs="Segoe UI"/>
          <w:color w:val="000000"/>
        </w:rPr>
        <w:t>DDoS</w:t>
      </w:r>
      <w:r w:rsidRPr="00325F1E">
        <w:rPr>
          <w:rFonts w:ascii="Segoe UI" w:hAnsi="Segoe UI" w:cs="Segoe UI"/>
          <w:color w:val="000000"/>
        </w:rPr>
        <w:t>高防</w:t>
      </w:r>
      <w:r w:rsidRPr="00325F1E">
        <w:rPr>
          <w:rFonts w:ascii="Segoe UI" w:hAnsi="Segoe UI" w:cs="Segoe UI"/>
          <w:color w:val="000000"/>
        </w:rPr>
        <w:t>IP</w:t>
      </w:r>
      <w:r w:rsidRPr="00325F1E">
        <w:rPr>
          <w:rFonts w:ascii="Segoe UI" w:hAnsi="Segoe UI" w:cs="Segoe UI"/>
          <w:color w:val="000000"/>
        </w:rPr>
        <w:t>（如华为云</w:t>
      </w:r>
      <w:r w:rsidRPr="00325F1E">
        <w:rPr>
          <w:rFonts w:ascii="Segoe UI" w:hAnsi="Segoe UI" w:cs="Segoe UI"/>
          <w:color w:val="000000"/>
        </w:rPr>
        <w:t>DDoS</w:t>
      </w:r>
      <w:r w:rsidRPr="00325F1E">
        <w:rPr>
          <w:rFonts w:ascii="Segoe UI" w:hAnsi="Segoe UI" w:cs="Segoe UI"/>
          <w:color w:val="000000"/>
        </w:rPr>
        <w:t>防护服务）清洗超大流量攻击，支持</w:t>
      </w:r>
      <w:r w:rsidRPr="00325F1E">
        <w:rPr>
          <w:rFonts w:ascii="Segoe UI" w:hAnsi="Segoe UI" w:cs="Segoe UI"/>
          <w:color w:val="000000"/>
        </w:rPr>
        <w:t>TCP/UDP/HTTP</w:t>
      </w:r>
      <w:r w:rsidRPr="00325F1E">
        <w:rPr>
          <w:rFonts w:ascii="Segoe UI" w:hAnsi="Segoe UI" w:cs="Segoe UI"/>
          <w:color w:val="000000"/>
        </w:rPr>
        <w:t>等协议的智能识别与清洗，保障业务连续性。入侵检测系统则通过安骑士（</w:t>
      </w:r>
      <w:r w:rsidRPr="00325F1E">
        <w:rPr>
          <w:rFonts w:ascii="Segoe UI" w:hAnsi="Segoe UI" w:cs="Segoe UI"/>
          <w:color w:val="000000"/>
        </w:rPr>
        <w:t>Agent-based</w:t>
      </w:r>
      <w:r w:rsidRPr="00325F1E">
        <w:rPr>
          <w:rFonts w:ascii="Segoe UI" w:hAnsi="Segoe UI" w:cs="Segoe UI"/>
          <w:color w:val="000000"/>
        </w:rPr>
        <w:t>）与流量分析</w:t>
      </w:r>
      <w:r w:rsidRPr="00325F1E">
        <w:rPr>
          <w:rFonts w:ascii="Segoe UI" w:hAnsi="Segoe UI" w:cs="Segoe UI" w:hint="eastAsia"/>
          <w:color w:val="000000"/>
        </w:rPr>
        <w:t>（</w:t>
      </w:r>
      <w:r w:rsidRPr="00325F1E">
        <w:rPr>
          <w:rFonts w:ascii="Segoe UI" w:hAnsi="Segoe UI" w:cs="Segoe UI"/>
          <w:color w:val="000000"/>
        </w:rPr>
        <w:t>Network-based</w:t>
      </w:r>
      <w:r w:rsidRPr="00325F1E">
        <w:rPr>
          <w:rFonts w:ascii="Segoe UI" w:hAnsi="Segoe UI" w:cs="Segoe UI"/>
          <w:color w:val="000000"/>
        </w:rPr>
        <w:t>）双模式监测威胁：安骑士部署于</w:t>
      </w:r>
      <w:r w:rsidRPr="00325F1E">
        <w:rPr>
          <w:rFonts w:ascii="Segoe UI" w:hAnsi="Segoe UI" w:cs="Segoe UI"/>
          <w:color w:val="000000"/>
        </w:rPr>
        <w:t>ECS</w:t>
      </w:r>
      <w:r w:rsidRPr="00325F1E">
        <w:rPr>
          <w:rFonts w:ascii="Segoe UI" w:hAnsi="Segoe UI" w:cs="Segoe UI"/>
          <w:color w:val="000000"/>
        </w:rPr>
        <w:t>实例，实时扫描恶意程序、漏洞与异常登录；流量分析则基于华为云安全中心（</w:t>
      </w:r>
      <w:r w:rsidRPr="00325F1E">
        <w:rPr>
          <w:rFonts w:ascii="Segoe UI" w:hAnsi="Segoe UI" w:cs="Segoe UI"/>
          <w:color w:val="000000"/>
        </w:rPr>
        <w:t>CSC</w:t>
      </w:r>
      <w:r w:rsidRPr="00325F1E">
        <w:rPr>
          <w:rFonts w:ascii="Segoe UI" w:hAnsi="Segoe UI" w:cs="Segoe UI"/>
          <w:color w:val="000000"/>
        </w:rPr>
        <w:t>）的威胁情报库，识别</w:t>
      </w:r>
      <w:r w:rsidRPr="00325F1E">
        <w:rPr>
          <w:rFonts w:ascii="Segoe UI" w:hAnsi="Segoe UI" w:cs="Segoe UI"/>
          <w:color w:val="000000"/>
        </w:rPr>
        <w:t>SQL</w:t>
      </w:r>
      <w:r w:rsidRPr="00325F1E">
        <w:rPr>
          <w:rFonts w:ascii="Segoe UI" w:hAnsi="Segoe UI" w:cs="Segoe UI"/>
          <w:color w:val="000000"/>
        </w:rPr>
        <w:t>注入、</w:t>
      </w:r>
      <w:r w:rsidRPr="00325F1E">
        <w:rPr>
          <w:rFonts w:ascii="Segoe UI" w:hAnsi="Segoe UI" w:cs="Segoe UI"/>
          <w:color w:val="000000"/>
        </w:rPr>
        <w:t>XSS</w:t>
      </w:r>
      <w:r w:rsidRPr="00325F1E">
        <w:rPr>
          <w:rFonts w:ascii="Segoe UI" w:hAnsi="Segoe UI" w:cs="Segoe UI"/>
          <w:color w:val="000000"/>
        </w:rPr>
        <w:t>跨站脚本等应用层攻击，一旦发现异常立即触发告警并联动</w:t>
      </w:r>
      <w:r w:rsidRPr="00325F1E">
        <w:rPr>
          <w:rFonts w:ascii="Segoe UI" w:hAnsi="Segoe UI" w:cs="Segoe UI"/>
          <w:color w:val="000000"/>
        </w:rPr>
        <w:t>WAF</w:t>
      </w:r>
      <w:r w:rsidRPr="00325F1E">
        <w:rPr>
          <w:rFonts w:ascii="Segoe UI" w:hAnsi="Segoe UI" w:cs="Segoe UI"/>
          <w:color w:val="000000"/>
        </w:rPr>
        <w:t>（</w:t>
      </w:r>
      <w:r w:rsidRPr="00325F1E">
        <w:rPr>
          <w:rFonts w:ascii="Segoe UI" w:hAnsi="Segoe UI" w:cs="Segoe UI"/>
          <w:color w:val="000000"/>
        </w:rPr>
        <w:t>Web</w:t>
      </w:r>
      <w:r w:rsidRPr="00325F1E">
        <w:rPr>
          <w:rFonts w:ascii="Segoe UI" w:hAnsi="Segoe UI" w:cs="Segoe UI"/>
          <w:color w:val="000000"/>
        </w:rPr>
        <w:t>应用防火墙）进行拦截，实现</w:t>
      </w:r>
      <w:r w:rsidRPr="00325F1E">
        <w:rPr>
          <w:rFonts w:ascii="Segoe UI" w:hAnsi="Segoe UI" w:cs="Segoe UI"/>
          <w:color w:val="000000"/>
        </w:rPr>
        <w:t>“</w:t>
      </w:r>
      <w:r w:rsidRPr="00325F1E">
        <w:rPr>
          <w:rFonts w:ascii="Segoe UI" w:hAnsi="Segoe UI" w:cs="Segoe UI"/>
          <w:color w:val="000000"/>
        </w:rPr>
        <w:t>检测</w:t>
      </w:r>
      <w:r w:rsidRPr="00325F1E">
        <w:rPr>
          <w:rFonts w:ascii="Segoe UI" w:hAnsi="Segoe UI" w:cs="Segoe UI"/>
          <w:color w:val="000000"/>
        </w:rPr>
        <w:t>-</w:t>
      </w:r>
      <w:r w:rsidRPr="00325F1E">
        <w:rPr>
          <w:rFonts w:ascii="Segoe UI" w:hAnsi="Segoe UI" w:cs="Segoe UI"/>
          <w:color w:val="000000"/>
        </w:rPr>
        <w:t>响应</w:t>
      </w:r>
      <w:r w:rsidRPr="00325F1E">
        <w:rPr>
          <w:rFonts w:ascii="Segoe UI" w:hAnsi="Segoe UI" w:cs="Segoe UI"/>
          <w:color w:val="000000"/>
        </w:rPr>
        <w:t>-</w:t>
      </w:r>
      <w:r w:rsidRPr="00325F1E">
        <w:rPr>
          <w:rFonts w:ascii="Segoe UI" w:hAnsi="Segoe UI" w:cs="Segoe UI"/>
          <w:color w:val="000000"/>
        </w:rPr>
        <w:t>防护</w:t>
      </w:r>
      <w:r w:rsidRPr="00325F1E">
        <w:rPr>
          <w:rFonts w:ascii="Segoe UI" w:hAnsi="Segoe UI" w:cs="Segoe UI"/>
          <w:color w:val="000000"/>
        </w:rPr>
        <w:t>”</w:t>
      </w:r>
      <w:r w:rsidRPr="00325F1E">
        <w:rPr>
          <w:rFonts w:ascii="Segoe UI" w:hAnsi="Segoe UI" w:cs="Segoe UI"/>
          <w:color w:val="000000"/>
        </w:rPr>
        <w:t>的闭环管理。</w:t>
      </w:r>
    </w:p>
    <w:p w14:paraId="2B294D1A" w14:textId="486B2893"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该监测控制体系通过</w:t>
      </w:r>
      <w:r w:rsidRPr="00325F1E">
        <w:rPr>
          <w:rFonts w:ascii="Segoe UI" w:hAnsi="Segoe UI" w:cs="Segoe UI"/>
          <w:color w:val="000000"/>
        </w:rPr>
        <w:t>VPC</w:t>
      </w:r>
      <w:r w:rsidRPr="00325F1E">
        <w:rPr>
          <w:rFonts w:ascii="Segoe UI" w:hAnsi="Segoe UI" w:cs="Segoe UI"/>
          <w:color w:val="000000"/>
        </w:rPr>
        <w:t>、</w:t>
      </w:r>
      <w:r w:rsidRPr="00325F1E">
        <w:rPr>
          <w:rFonts w:ascii="Segoe UI" w:hAnsi="Segoe UI" w:cs="Segoe UI"/>
          <w:color w:val="000000"/>
        </w:rPr>
        <w:t>IAM</w:t>
      </w:r>
      <w:r w:rsidRPr="00325F1E">
        <w:rPr>
          <w:rFonts w:ascii="Segoe UI" w:hAnsi="Segoe UI" w:cs="Segoe UI"/>
          <w:color w:val="000000"/>
        </w:rPr>
        <w:t>、配置审计与安全防护组件的协同，形成</w:t>
      </w:r>
      <w:r w:rsidRPr="00325F1E">
        <w:rPr>
          <w:rFonts w:ascii="Segoe UI" w:hAnsi="Segoe UI" w:cs="Segoe UI"/>
          <w:color w:val="000000"/>
        </w:rPr>
        <w:t>“</w:t>
      </w:r>
      <w:r w:rsidRPr="00325F1E">
        <w:rPr>
          <w:rFonts w:ascii="Segoe UI" w:hAnsi="Segoe UI" w:cs="Segoe UI"/>
          <w:color w:val="000000"/>
        </w:rPr>
        <w:t>网络隔离</w:t>
      </w:r>
      <w:r w:rsidRPr="00325F1E">
        <w:rPr>
          <w:rFonts w:ascii="Segoe UI" w:hAnsi="Segoe UI" w:cs="Segoe UI"/>
          <w:color w:val="000000"/>
        </w:rPr>
        <w:t>-</w:t>
      </w:r>
      <w:r w:rsidRPr="00325F1E">
        <w:rPr>
          <w:rFonts w:ascii="Segoe UI" w:hAnsi="Segoe UI" w:cs="Segoe UI"/>
          <w:color w:val="000000"/>
        </w:rPr>
        <w:t>权限管控</w:t>
      </w:r>
      <w:r w:rsidRPr="00325F1E">
        <w:rPr>
          <w:rFonts w:ascii="Segoe UI" w:hAnsi="Segoe UI" w:cs="Segoe UI"/>
          <w:color w:val="000000"/>
        </w:rPr>
        <w:t>-</w:t>
      </w:r>
      <w:r w:rsidRPr="00325F1E">
        <w:rPr>
          <w:rFonts w:ascii="Segoe UI" w:hAnsi="Segoe UI" w:cs="Segoe UI"/>
          <w:color w:val="000000"/>
        </w:rPr>
        <w:t>行为审计</w:t>
      </w:r>
      <w:r w:rsidRPr="00325F1E">
        <w:rPr>
          <w:rFonts w:ascii="Segoe UI" w:hAnsi="Segoe UI" w:cs="Segoe UI"/>
          <w:color w:val="000000"/>
        </w:rPr>
        <w:t>-</w:t>
      </w:r>
      <w:r w:rsidRPr="00325F1E">
        <w:rPr>
          <w:rFonts w:ascii="Segoe UI" w:hAnsi="Segoe UI" w:cs="Segoe UI"/>
          <w:color w:val="000000"/>
        </w:rPr>
        <w:t>威胁防御</w:t>
      </w:r>
      <w:r w:rsidRPr="00325F1E">
        <w:rPr>
          <w:rFonts w:ascii="Segoe UI" w:hAnsi="Segoe UI" w:cs="Segoe UI"/>
          <w:color w:val="000000"/>
        </w:rPr>
        <w:t>”</w:t>
      </w:r>
      <w:r w:rsidRPr="00325F1E">
        <w:rPr>
          <w:rFonts w:ascii="Segoe UI" w:hAnsi="Segoe UI" w:cs="Segoe UI"/>
          <w:color w:val="000000"/>
        </w:rPr>
        <w:t>的立体化监测能力。例如，当某</w:t>
      </w:r>
      <w:r w:rsidRPr="00325F1E">
        <w:rPr>
          <w:rFonts w:ascii="Segoe UI" w:hAnsi="Segoe UI" w:cs="Segoe UI"/>
          <w:color w:val="000000"/>
        </w:rPr>
        <w:t>ECS</w:t>
      </w:r>
      <w:r w:rsidRPr="00325F1E">
        <w:rPr>
          <w:rFonts w:ascii="Segoe UI" w:hAnsi="Segoe UI" w:cs="Segoe UI"/>
          <w:color w:val="000000"/>
        </w:rPr>
        <w:t>实例被恶意程序入侵时，安骑士实时上报异常进程，安全中心基于威胁情报确认攻击类型，自动触发安全组规则更新封锁攻击源</w:t>
      </w:r>
      <w:r w:rsidRPr="00325F1E">
        <w:rPr>
          <w:rFonts w:ascii="Segoe UI" w:hAnsi="Segoe UI" w:cs="Segoe UI"/>
          <w:color w:val="000000"/>
        </w:rPr>
        <w:t>IP</w:t>
      </w:r>
      <w:r w:rsidRPr="00325F1E">
        <w:rPr>
          <w:rFonts w:ascii="Segoe UI" w:hAnsi="Segoe UI" w:cs="Segoe UI"/>
          <w:color w:val="000000"/>
        </w:rPr>
        <w:t>，同时操作日志记录入侵尝试的全流程，配置审计则检查是否存在漏洞配置（如未及时更新的系统补丁），为后续加固提供依据。这种联动机制使混合云环境下的安全事件响应时间从传统的小时级缩短至分钟级，有效保障业务系统的安全性与稳定性。</w:t>
      </w:r>
    </w:p>
    <w:p w14:paraId="6A7F9FDB" w14:textId="2F0E1F16" w:rsidR="008B6551" w:rsidRDefault="008B6551" w:rsidP="001F4BFA">
      <w:pPr>
        <w:pStyle w:val="5"/>
        <w:shd w:val="clear" w:color="auto" w:fill="F9FAFB"/>
        <w:rPr>
          <w:rFonts w:ascii="Segoe UI" w:hAnsi="Segoe UI" w:cs="Segoe UI"/>
          <w:color w:val="000000"/>
        </w:rPr>
      </w:pPr>
      <w:r>
        <w:rPr>
          <w:rFonts w:ascii="Segoe UI" w:hAnsi="Segoe UI" w:cs="Segoe UI"/>
          <w:color w:val="000000"/>
        </w:rPr>
        <w:t>日志与告警管理</w:t>
      </w:r>
    </w:p>
    <w:p w14:paraId="692000EC" w14:textId="2F817B8D"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混合云环境下的日志与告警管理以华为云</w:t>
      </w:r>
      <w:proofErr w:type="spellStart"/>
      <w:r w:rsidRPr="00AD0F58">
        <w:rPr>
          <w:rFonts w:ascii="Segoe UI" w:hAnsi="Segoe UI" w:cs="Segoe UI"/>
          <w:color w:val="000000"/>
        </w:rPr>
        <w:t>LogTank</w:t>
      </w:r>
      <w:proofErr w:type="spellEnd"/>
      <w:r w:rsidRPr="00AD0F58">
        <w:rPr>
          <w:rFonts w:ascii="Segoe UI" w:hAnsi="Segoe UI" w:cs="Segoe UI"/>
          <w:color w:val="000000"/>
        </w:rPr>
        <w:t>日志服务为核心，构建从全栈日志采集、安全存储到智能告警的闭环管理体系，为业务可观测性与故障定位提供数据支撑。</w:t>
      </w:r>
    </w:p>
    <w:p w14:paraId="0BD045F7" w14:textId="4858BC36" w:rsidR="00AD0F58" w:rsidRPr="00AD0F58" w:rsidRDefault="00AD0F58" w:rsidP="00AD0F58">
      <w:pPr>
        <w:pStyle w:val="6"/>
        <w:rPr>
          <w:rFonts w:hint="eastAsia"/>
        </w:rPr>
      </w:pPr>
      <w:r w:rsidRPr="00AD0F58">
        <w:rPr>
          <w:rFonts w:hint="eastAsia"/>
        </w:rPr>
        <w:t>全栈日志采集框架</w:t>
      </w:r>
    </w:p>
    <w:p w14:paraId="5018BB3E" w14:textId="4AD4D431"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日志采集框架通过华为云</w:t>
      </w:r>
      <w:proofErr w:type="spellStart"/>
      <w:r w:rsidRPr="00AD0F58">
        <w:rPr>
          <w:rFonts w:ascii="Segoe UI" w:hAnsi="Segoe UI" w:cs="Segoe UI"/>
          <w:color w:val="000000"/>
        </w:rPr>
        <w:t>LogTank</w:t>
      </w:r>
      <w:proofErr w:type="spellEnd"/>
      <w:r w:rsidRPr="00AD0F58">
        <w:rPr>
          <w:rFonts w:ascii="Segoe UI" w:hAnsi="Segoe UI" w:cs="Segoe UI"/>
          <w:color w:val="000000"/>
        </w:rPr>
        <w:t>的</w:t>
      </w:r>
      <w:r w:rsidRPr="00AD0F58">
        <w:rPr>
          <w:rFonts w:ascii="Segoe UI" w:hAnsi="Segoe UI" w:cs="Segoe UI"/>
          <w:color w:val="000000"/>
        </w:rPr>
        <w:t>Agent</w:t>
      </w:r>
      <w:r w:rsidRPr="00AD0F58">
        <w:rPr>
          <w:rFonts w:ascii="Segoe UI" w:hAnsi="Segoe UI" w:cs="Segoe UI"/>
          <w:color w:val="000000"/>
        </w:rPr>
        <w:t>与非</w:t>
      </w:r>
      <w:r w:rsidRPr="00AD0F58">
        <w:rPr>
          <w:rFonts w:ascii="Segoe UI" w:hAnsi="Segoe UI" w:cs="Segoe UI"/>
          <w:color w:val="000000"/>
        </w:rPr>
        <w:t>Agent</w:t>
      </w:r>
      <w:r w:rsidRPr="00AD0F58">
        <w:rPr>
          <w:rFonts w:ascii="Segoe UI" w:hAnsi="Segoe UI" w:cs="Segoe UI"/>
          <w:color w:val="000000"/>
        </w:rPr>
        <w:t>采集方式，实现混合云环境下基础设施、应用、网络等全层级日志的无缝接入。在基础设施层，自动采集华为云</w:t>
      </w:r>
      <w:r w:rsidRPr="00AD0F58">
        <w:rPr>
          <w:rFonts w:ascii="Segoe UI" w:hAnsi="Segoe UI" w:cs="Segoe UI"/>
          <w:color w:val="000000"/>
        </w:rPr>
        <w:t>ECS</w:t>
      </w:r>
      <w:r w:rsidRPr="00AD0F58">
        <w:rPr>
          <w:rFonts w:ascii="Segoe UI" w:hAnsi="Segoe UI" w:cs="Segoe UI"/>
          <w:color w:val="000000"/>
        </w:rPr>
        <w:t>、</w:t>
      </w:r>
      <w:r w:rsidRPr="00AD0F58">
        <w:rPr>
          <w:rFonts w:ascii="Segoe UI" w:hAnsi="Segoe UI" w:cs="Segoe UI"/>
          <w:color w:val="000000"/>
        </w:rPr>
        <w:t>ELB</w:t>
      </w:r>
      <w:r w:rsidRPr="00AD0F58">
        <w:rPr>
          <w:rFonts w:ascii="Segoe UI" w:hAnsi="Segoe UI" w:cs="Segoe UI"/>
          <w:color w:val="000000"/>
        </w:rPr>
        <w:t>、</w:t>
      </w:r>
      <w:r w:rsidRPr="00AD0F58">
        <w:rPr>
          <w:rFonts w:ascii="Segoe UI" w:hAnsi="Segoe UI" w:cs="Segoe UI"/>
          <w:color w:val="000000"/>
        </w:rPr>
        <w:t>RDS</w:t>
      </w:r>
      <w:r w:rsidRPr="00AD0F58">
        <w:rPr>
          <w:rFonts w:ascii="Segoe UI" w:hAnsi="Segoe UI" w:cs="Segoe UI"/>
          <w:color w:val="000000"/>
        </w:rPr>
        <w:t>等组件的运行日志，通过</w:t>
      </w:r>
      <w:r w:rsidRPr="00AD0F58">
        <w:rPr>
          <w:rFonts w:ascii="Segoe UI" w:hAnsi="Segoe UI" w:cs="Segoe UI"/>
          <w:color w:val="000000"/>
        </w:rPr>
        <w:t>Agent</w:t>
      </w:r>
      <w:r w:rsidRPr="00AD0F58">
        <w:rPr>
          <w:rFonts w:ascii="Segoe UI" w:hAnsi="Segoe UI" w:cs="Segoe UI"/>
          <w:color w:val="000000"/>
        </w:rPr>
        <w:t>方式（如安骑士插件）部署于</w:t>
      </w:r>
      <w:r w:rsidRPr="00AD0F58">
        <w:rPr>
          <w:rFonts w:ascii="Segoe UI" w:hAnsi="Segoe UI" w:cs="Segoe UI"/>
          <w:color w:val="000000"/>
        </w:rPr>
        <w:t>ECS</w:t>
      </w:r>
      <w:r w:rsidRPr="00AD0F58">
        <w:rPr>
          <w:rFonts w:ascii="Segoe UI" w:hAnsi="Segoe UI" w:cs="Segoe UI"/>
          <w:color w:val="000000"/>
        </w:rPr>
        <w:t>实例，实时收集系统日志、进程日志及自定义应用日志；网络层则通过</w:t>
      </w:r>
      <w:r w:rsidRPr="00AD0F58">
        <w:rPr>
          <w:rFonts w:ascii="Segoe UI" w:hAnsi="Segoe UI" w:cs="Segoe UI"/>
          <w:color w:val="000000"/>
        </w:rPr>
        <w:t>VPC</w:t>
      </w:r>
      <w:r w:rsidRPr="00AD0F58">
        <w:rPr>
          <w:rFonts w:ascii="Segoe UI" w:hAnsi="Segoe UI" w:cs="Segoe UI"/>
          <w:color w:val="000000"/>
        </w:rPr>
        <w:t>流日志、负载均衡访问日志等非</w:t>
      </w:r>
      <w:r w:rsidRPr="00AD0F58">
        <w:rPr>
          <w:rFonts w:ascii="Segoe UI" w:hAnsi="Segoe UI" w:cs="Segoe UI"/>
          <w:color w:val="000000"/>
        </w:rPr>
        <w:t>Agent</w:t>
      </w:r>
      <w:r w:rsidRPr="00AD0F58">
        <w:rPr>
          <w:rFonts w:ascii="Segoe UI" w:hAnsi="Segoe UI" w:cs="Segoe UI"/>
          <w:color w:val="000000"/>
        </w:rPr>
        <w:t>方式，采集流量元数据与服务调用记录。对于企业自建</w:t>
      </w:r>
      <w:r w:rsidRPr="00AD0F58">
        <w:rPr>
          <w:rFonts w:ascii="Segoe UI" w:hAnsi="Segoe UI" w:cs="Segoe UI"/>
          <w:color w:val="000000"/>
        </w:rPr>
        <w:t>IDC</w:t>
      </w:r>
      <w:r w:rsidRPr="00AD0F58">
        <w:rPr>
          <w:rFonts w:ascii="Segoe UI" w:hAnsi="Segoe UI" w:cs="Segoe UI"/>
          <w:color w:val="000000"/>
        </w:rPr>
        <w:t>或第三方云资源，可通过</w:t>
      </w:r>
      <w:proofErr w:type="spellStart"/>
      <w:r w:rsidRPr="00AD0F58">
        <w:rPr>
          <w:rFonts w:ascii="Segoe UI" w:hAnsi="Segoe UI" w:cs="Segoe UI"/>
          <w:color w:val="000000"/>
        </w:rPr>
        <w:t>LogTank</w:t>
      </w:r>
      <w:proofErr w:type="spellEnd"/>
      <w:r w:rsidRPr="00AD0F58">
        <w:rPr>
          <w:rFonts w:ascii="Segoe UI" w:hAnsi="Segoe UI" w:cs="Segoe UI"/>
          <w:color w:val="000000"/>
        </w:rPr>
        <w:t>提供的</w:t>
      </w:r>
      <w:r w:rsidRPr="00AD0F58">
        <w:rPr>
          <w:rFonts w:ascii="Segoe UI" w:hAnsi="Segoe UI" w:cs="Segoe UI"/>
          <w:color w:val="000000"/>
        </w:rPr>
        <w:t>SDK</w:t>
      </w:r>
      <w:r w:rsidRPr="00AD0F58">
        <w:rPr>
          <w:rFonts w:ascii="Segoe UI" w:hAnsi="Segoe UI" w:cs="Segoe UI"/>
          <w:color w:val="000000"/>
        </w:rPr>
        <w:t>或</w:t>
      </w:r>
      <w:r w:rsidRPr="00AD0F58">
        <w:rPr>
          <w:rFonts w:ascii="Segoe UI" w:hAnsi="Segoe UI" w:cs="Segoe UI"/>
          <w:color w:val="000000"/>
        </w:rPr>
        <w:t>API</w:t>
      </w:r>
      <w:r w:rsidRPr="00AD0F58">
        <w:rPr>
          <w:rFonts w:ascii="Segoe UI" w:hAnsi="Segoe UI" w:cs="Segoe UI"/>
          <w:color w:val="000000"/>
        </w:rPr>
        <w:t>接口，将本地日志同步至云端，实现混合云环境的日志统一汇聚。</w:t>
      </w:r>
    </w:p>
    <w:p w14:paraId="5FD4214C" w14:textId="72775FA4"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采集过程中，框架自动对异构日志源进行标准化处理，将不同格式的日志（如</w:t>
      </w:r>
      <w:r w:rsidRPr="00AD0F58">
        <w:rPr>
          <w:rFonts w:ascii="Segoe UI" w:hAnsi="Segoe UI" w:cs="Segoe UI"/>
          <w:color w:val="000000"/>
        </w:rPr>
        <w:t>JSON</w:t>
      </w:r>
      <w:r w:rsidRPr="00AD0F58">
        <w:rPr>
          <w:rFonts w:ascii="Segoe UI" w:hAnsi="Segoe UI" w:cs="Segoe UI"/>
          <w:color w:val="000000"/>
        </w:rPr>
        <w:t>、文本、二进制）转换为统一的结构化数据，便于后续分析与查询。例如，将应用日志中的业务字段（如订单</w:t>
      </w:r>
      <w:r w:rsidRPr="00AD0F58">
        <w:rPr>
          <w:rFonts w:ascii="Segoe UI" w:hAnsi="Segoe UI" w:cs="Segoe UI"/>
          <w:color w:val="000000"/>
        </w:rPr>
        <w:t>ID</w:t>
      </w:r>
      <w:r w:rsidRPr="00AD0F58">
        <w:rPr>
          <w:rFonts w:ascii="Segoe UI" w:hAnsi="Segoe UI" w:cs="Segoe UI"/>
          <w:color w:val="000000"/>
        </w:rPr>
        <w:t>、用户</w:t>
      </w:r>
      <w:r w:rsidRPr="00AD0F58">
        <w:rPr>
          <w:rFonts w:ascii="Segoe UI" w:hAnsi="Segoe UI" w:cs="Segoe UI"/>
          <w:color w:val="000000"/>
        </w:rPr>
        <w:t>ID</w:t>
      </w:r>
      <w:r w:rsidRPr="00AD0F58">
        <w:rPr>
          <w:rFonts w:ascii="Segoe UI" w:hAnsi="Segoe UI" w:cs="Segoe UI"/>
          <w:color w:val="000000"/>
        </w:rPr>
        <w:t>）提取为标签，网络日志中的</w:t>
      </w:r>
      <w:r w:rsidRPr="00AD0F58">
        <w:rPr>
          <w:rFonts w:ascii="Segoe UI" w:hAnsi="Segoe UI" w:cs="Segoe UI"/>
          <w:color w:val="000000"/>
        </w:rPr>
        <w:t>IP</w:t>
      </w:r>
      <w:r w:rsidRPr="00AD0F58">
        <w:rPr>
          <w:rFonts w:ascii="Segoe UI" w:hAnsi="Segoe UI" w:cs="Segoe UI"/>
          <w:color w:val="000000"/>
        </w:rPr>
        <w:t>地址、端口号等信息分类存储，提升日志检索效率。同时，采集框架支持日志过滤与采样，可按日志级别（</w:t>
      </w:r>
      <w:r w:rsidRPr="00AD0F58">
        <w:rPr>
          <w:rFonts w:ascii="Segoe UI" w:hAnsi="Segoe UI" w:cs="Segoe UI"/>
          <w:color w:val="000000"/>
        </w:rPr>
        <w:t>ERROR/WARN/INFO</w:t>
      </w:r>
      <w:r w:rsidRPr="00AD0F58">
        <w:rPr>
          <w:rFonts w:ascii="Segoe UI" w:hAnsi="Segoe UI" w:cs="Segoe UI"/>
          <w:color w:val="000000"/>
        </w:rPr>
        <w:t>）、业务标签等维度筛选关键日志，减少无效数据采集，降低存储成本。</w:t>
      </w:r>
    </w:p>
    <w:p w14:paraId="680E5066" w14:textId="1233A804" w:rsidR="00AD0F58" w:rsidRPr="00AD0F58" w:rsidRDefault="00AD0F58" w:rsidP="00AD0F58">
      <w:pPr>
        <w:pStyle w:val="6"/>
        <w:rPr>
          <w:rFonts w:hint="eastAsia"/>
        </w:rPr>
      </w:pPr>
      <w:r w:rsidRPr="00AD0F58">
        <w:rPr>
          <w:rFonts w:hint="eastAsia"/>
        </w:rPr>
        <w:t>日志存储与查询</w:t>
      </w:r>
    </w:p>
    <w:p w14:paraId="082F598F" w14:textId="67057D05"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华为云</w:t>
      </w:r>
      <w:proofErr w:type="spellStart"/>
      <w:r w:rsidRPr="00AD0F58">
        <w:rPr>
          <w:rFonts w:ascii="Segoe UI" w:hAnsi="Segoe UI" w:cs="Segoe UI"/>
          <w:color w:val="000000"/>
        </w:rPr>
        <w:t>LogTank</w:t>
      </w:r>
      <w:proofErr w:type="spellEnd"/>
      <w:r w:rsidRPr="00AD0F58">
        <w:rPr>
          <w:rFonts w:ascii="Segoe UI" w:hAnsi="Segoe UI" w:cs="Segoe UI"/>
          <w:color w:val="000000"/>
        </w:rPr>
        <w:t>日志服务采用分布式存储架构，将日志数据按时间、业务维度分区存储，支持热数据（近期日志）与冷数据（历史日志）的分层管理。热数据存储于高性能存储介质，保障实时查询效率（毫秒级响应）；冷数据则自动归档至对象存储</w:t>
      </w:r>
      <w:r w:rsidRPr="00AD0F58">
        <w:rPr>
          <w:rFonts w:ascii="Segoe UI" w:hAnsi="Segoe UI" w:cs="Segoe UI"/>
          <w:color w:val="000000"/>
        </w:rPr>
        <w:t>OSS</w:t>
      </w:r>
      <w:r w:rsidRPr="00AD0F58">
        <w:rPr>
          <w:rFonts w:ascii="Segoe UI" w:hAnsi="Segoe UI" w:cs="Segoe UI"/>
          <w:color w:val="000000"/>
        </w:rPr>
        <w:t>，支持低成本</w:t>
      </w:r>
      <w:r w:rsidRPr="00AD0F58">
        <w:rPr>
          <w:rFonts w:ascii="Segoe UI" w:hAnsi="Segoe UI" w:cs="Segoe UI"/>
          <w:color w:val="000000"/>
        </w:rPr>
        <w:lastRenderedPageBreak/>
        <w:t>长期保存（保存期限可按合规</w:t>
      </w:r>
      <w:r w:rsidR="006C6F6D" w:rsidRPr="006C6F6D">
        <w:rPr>
          <w:rFonts w:ascii="Segoe UI" w:hAnsi="Segoe UI" w:cs="Segoe UI"/>
          <w:b/>
          <w:color w:val="000000"/>
        </w:rPr>
        <w:t>招标文件要求</w:t>
      </w:r>
      <w:r w:rsidRPr="00AD0F58">
        <w:rPr>
          <w:rFonts w:ascii="Segoe UI" w:hAnsi="Segoe UI" w:cs="Segoe UI"/>
          <w:color w:val="000000"/>
        </w:rPr>
        <w:t>灵活配置）。这种分层存储策略既满足了高频查询的性能需求，又优化了整体存储成本，例如核心业务日志保留近</w:t>
      </w:r>
      <w:r w:rsidRPr="00AD0F58">
        <w:rPr>
          <w:rFonts w:ascii="Segoe UI" w:hAnsi="Segoe UI" w:cs="Segoe UI"/>
          <w:color w:val="000000"/>
        </w:rPr>
        <w:t>30</w:t>
      </w:r>
      <w:r w:rsidRPr="00AD0F58">
        <w:rPr>
          <w:rFonts w:ascii="Segoe UI" w:hAnsi="Segoe UI" w:cs="Segoe UI"/>
          <w:color w:val="000000"/>
        </w:rPr>
        <w:t>天至热存储，历史日志归档至</w:t>
      </w:r>
      <w:r w:rsidRPr="00AD0F58">
        <w:rPr>
          <w:rFonts w:ascii="Segoe UI" w:hAnsi="Segoe UI" w:cs="Segoe UI"/>
          <w:color w:val="000000"/>
        </w:rPr>
        <w:t>OSS</w:t>
      </w:r>
      <w:r w:rsidRPr="00AD0F58">
        <w:rPr>
          <w:rFonts w:ascii="Segoe UI" w:hAnsi="Segoe UI" w:cs="Segoe UI"/>
          <w:color w:val="000000"/>
        </w:rPr>
        <w:t>保留</w:t>
      </w:r>
      <w:r w:rsidRPr="00AD0F58">
        <w:rPr>
          <w:rFonts w:ascii="Segoe UI" w:hAnsi="Segoe UI" w:cs="Segoe UI"/>
          <w:color w:val="000000"/>
        </w:rPr>
        <w:t>180</w:t>
      </w:r>
      <w:r w:rsidRPr="00AD0F58">
        <w:rPr>
          <w:rFonts w:ascii="Segoe UI" w:hAnsi="Segoe UI" w:cs="Segoe UI"/>
          <w:color w:val="000000"/>
        </w:rPr>
        <w:t>天以上。</w:t>
      </w:r>
    </w:p>
    <w:p w14:paraId="1B8B8A22" w14:textId="42470993"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查询能力方面，</w:t>
      </w:r>
      <w:proofErr w:type="spellStart"/>
      <w:r w:rsidRPr="00AD0F58">
        <w:rPr>
          <w:rFonts w:ascii="Segoe UI" w:hAnsi="Segoe UI" w:cs="Segoe UI"/>
          <w:color w:val="000000"/>
        </w:rPr>
        <w:t>LogTank</w:t>
      </w:r>
      <w:proofErr w:type="spellEnd"/>
      <w:r w:rsidRPr="00AD0F58">
        <w:rPr>
          <w:rFonts w:ascii="Segoe UI" w:hAnsi="Segoe UI" w:cs="Segoe UI"/>
          <w:color w:val="000000"/>
        </w:rPr>
        <w:t>提供</w:t>
      </w:r>
      <w:r w:rsidRPr="00AD0F58">
        <w:rPr>
          <w:rFonts w:ascii="Segoe UI" w:hAnsi="Segoe UI" w:cs="Segoe UI"/>
          <w:color w:val="000000"/>
        </w:rPr>
        <w:t>SQL-like</w:t>
      </w:r>
      <w:r w:rsidRPr="00AD0F58">
        <w:rPr>
          <w:rFonts w:ascii="Segoe UI" w:hAnsi="Segoe UI" w:cs="Segoe UI"/>
          <w:color w:val="000000"/>
        </w:rPr>
        <w:t>语法与可视化查询界面，支持基于关键词、时间范围、标签维度的组合检索。例如，通过</w:t>
      </w:r>
      <w:r w:rsidRPr="00AD0F58">
        <w:rPr>
          <w:rFonts w:ascii="Segoe UI" w:hAnsi="Segoe UI" w:cs="Segoe UI"/>
          <w:color w:val="000000"/>
        </w:rPr>
        <w:t>“ERRORAND</w:t>
      </w:r>
      <w:r w:rsidRPr="00AD0F58">
        <w:rPr>
          <w:rFonts w:ascii="Segoe UI" w:hAnsi="Segoe UI" w:cs="Segoe UI"/>
          <w:color w:val="000000"/>
        </w:rPr>
        <w:t>订单</w:t>
      </w:r>
      <w:r w:rsidRPr="00AD0F58">
        <w:rPr>
          <w:rFonts w:ascii="Segoe UI" w:hAnsi="Segoe UI" w:cs="Segoe UI"/>
          <w:color w:val="000000"/>
        </w:rPr>
        <w:t>ID=12345”</w:t>
      </w:r>
      <w:r w:rsidRPr="00AD0F58">
        <w:rPr>
          <w:rFonts w:ascii="Segoe UI" w:hAnsi="Segoe UI" w:cs="Segoe UI"/>
          <w:color w:val="000000"/>
        </w:rPr>
        <w:t>快速定位特定订单的错误日志；利用日志服务与华为云</w:t>
      </w:r>
      <w:r w:rsidRPr="00AD0F58">
        <w:rPr>
          <w:rFonts w:ascii="Segoe UI" w:hAnsi="Segoe UI" w:cs="Segoe UI"/>
          <w:color w:val="000000"/>
        </w:rPr>
        <w:t>ARMS</w:t>
      </w:r>
      <w:r w:rsidRPr="00AD0F58">
        <w:rPr>
          <w:rFonts w:ascii="Segoe UI" w:hAnsi="Segoe UI" w:cs="Segoe UI"/>
          <w:color w:val="000000"/>
        </w:rPr>
        <w:t>（应用实时监控服务）的集成，可将日志与业务指标、链路追踪数据关联查询，实现</w:t>
      </w:r>
      <w:r w:rsidRPr="00AD0F58">
        <w:rPr>
          <w:rFonts w:ascii="Segoe UI" w:hAnsi="Segoe UI" w:cs="Segoe UI"/>
          <w:color w:val="000000"/>
        </w:rPr>
        <w:t>“</w:t>
      </w:r>
      <w:r w:rsidRPr="00AD0F58">
        <w:rPr>
          <w:rFonts w:ascii="Segoe UI" w:hAnsi="Segoe UI" w:cs="Segoe UI"/>
          <w:color w:val="000000"/>
        </w:rPr>
        <w:t>指标异常</w:t>
      </w:r>
      <w:r w:rsidRPr="00AD0F58">
        <w:rPr>
          <w:rFonts w:ascii="Segoe UI" w:hAnsi="Segoe UI" w:cs="Segoe UI"/>
          <w:color w:val="000000"/>
        </w:rPr>
        <w:t>-</w:t>
      </w:r>
      <w:r w:rsidRPr="00AD0F58">
        <w:rPr>
          <w:rFonts w:ascii="Segoe UI" w:hAnsi="Segoe UI" w:cs="Segoe UI"/>
          <w:color w:val="000000"/>
        </w:rPr>
        <w:t>日志定位</w:t>
      </w:r>
      <w:r w:rsidRPr="00AD0F58">
        <w:rPr>
          <w:rFonts w:ascii="Segoe UI" w:hAnsi="Segoe UI" w:cs="Segoe UI"/>
          <w:color w:val="000000"/>
        </w:rPr>
        <w:t>-</w:t>
      </w:r>
      <w:r w:rsidRPr="00AD0F58">
        <w:rPr>
          <w:rFonts w:ascii="Segoe UI" w:hAnsi="Segoe UI" w:cs="Segoe UI"/>
          <w:color w:val="000000"/>
        </w:rPr>
        <w:t>链路追踪</w:t>
      </w:r>
      <w:r w:rsidRPr="00AD0F58">
        <w:rPr>
          <w:rFonts w:ascii="Segoe UI" w:hAnsi="Segoe UI" w:cs="Segoe UI"/>
          <w:color w:val="000000"/>
        </w:rPr>
        <w:t>”</w:t>
      </w:r>
      <w:r w:rsidRPr="00AD0F58">
        <w:rPr>
          <w:rFonts w:ascii="Segoe UI" w:hAnsi="Segoe UI" w:cs="Segoe UI"/>
          <w:color w:val="000000"/>
        </w:rPr>
        <w:t>的全流程故障溯源。此外，</w:t>
      </w:r>
      <w:proofErr w:type="spellStart"/>
      <w:r w:rsidRPr="00AD0F58">
        <w:rPr>
          <w:rFonts w:ascii="Segoe UI" w:hAnsi="Segoe UI" w:cs="Segoe UI"/>
          <w:color w:val="000000"/>
        </w:rPr>
        <w:t>LogTank</w:t>
      </w:r>
      <w:proofErr w:type="spellEnd"/>
      <w:r w:rsidRPr="00AD0F58">
        <w:rPr>
          <w:rFonts w:ascii="Segoe UI" w:hAnsi="Segoe UI" w:cs="Segoe UI"/>
          <w:color w:val="000000"/>
        </w:rPr>
        <w:t>支持日志数据的实时分析与可视化，通过仪表盘展示日志趋势、异常分布等，帮助运维团队直观掌握系统健康状态。</w:t>
      </w:r>
    </w:p>
    <w:p w14:paraId="533F0342" w14:textId="3A4728B7" w:rsidR="00AD0F58" w:rsidRPr="00AD0F58" w:rsidRDefault="00AD0F58" w:rsidP="00AD0F58">
      <w:pPr>
        <w:pStyle w:val="6"/>
        <w:rPr>
          <w:rFonts w:hint="eastAsia"/>
        </w:rPr>
      </w:pPr>
      <w:r w:rsidRPr="00AD0F58">
        <w:rPr>
          <w:rFonts w:hint="eastAsia"/>
        </w:rPr>
        <w:t>告警生成与响应</w:t>
      </w:r>
    </w:p>
    <w:p w14:paraId="336CCAB4" w14:textId="22A28451"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告警生成机制基于日志数据的实时分析，支持阈值告警、模式匹配告警等多种策略。阈值告警可针对日志中关键指标（如错误率、请求耗时）设置阈值，例如当接口错误率超过</w:t>
      </w:r>
      <w:r w:rsidRPr="00AD0F58">
        <w:rPr>
          <w:rFonts w:ascii="Segoe UI" w:hAnsi="Segoe UI" w:cs="Segoe UI"/>
          <w:color w:val="000000"/>
        </w:rPr>
        <w:t>5%</w:t>
      </w:r>
      <w:r w:rsidRPr="00AD0F58">
        <w:rPr>
          <w:rFonts w:ascii="Segoe UI" w:hAnsi="Segoe UI" w:cs="Segoe UI"/>
          <w:color w:val="000000"/>
        </w:rPr>
        <w:t>时触发告警；模式匹配则通过正则表达式识别异常日志模式（如</w:t>
      </w:r>
      <w:r w:rsidRPr="00AD0F58">
        <w:rPr>
          <w:rFonts w:ascii="Segoe UI" w:hAnsi="Segoe UI" w:cs="Segoe UI"/>
          <w:color w:val="000000"/>
        </w:rPr>
        <w:t>“SQL</w:t>
      </w:r>
      <w:r w:rsidRPr="00AD0F58">
        <w:rPr>
          <w:rFonts w:ascii="Segoe UI" w:hAnsi="Segoe UI" w:cs="Segoe UI"/>
          <w:color w:val="000000"/>
        </w:rPr>
        <w:t>注入</w:t>
      </w:r>
      <w:r w:rsidRPr="00AD0F58">
        <w:rPr>
          <w:rFonts w:ascii="Segoe UI" w:hAnsi="Segoe UI" w:cs="Segoe UI"/>
          <w:color w:val="000000"/>
        </w:rPr>
        <w:t>”“</w:t>
      </w:r>
      <w:r w:rsidRPr="00AD0F58">
        <w:rPr>
          <w:rFonts w:ascii="Segoe UI" w:hAnsi="Segoe UI" w:cs="Segoe UI"/>
          <w:color w:val="000000"/>
        </w:rPr>
        <w:t>未授权访问</w:t>
      </w:r>
      <w:r w:rsidRPr="00AD0F58">
        <w:rPr>
          <w:rFonts w:ascii="Segoe UI" w:hAnsi="Segoe UI" w:cs="Segoe UI"/>
          <w:color w:val="000000"/>
        </w:rPr>
        <w:t>”</w:t>
      </w:r>
      <w:r w:rsidRPr="00AD0F58">
        <w:rPr>
          <w:rFonts w:ascii="Segoe UI" w:hAnsi="Segoe UI" w:cs="Segoe UI"/>
          <w:color w:val="000000"/>
        </w:rPr>
        <w:t>关键词），实现应用层攻击的实时检测。告警策略可按业务优先级分级配置，核心交易业务设置高频次检测（每分钟扫描）与低阈值，非核心业务则降低检测频率，减少告警噪音。</w:t>
      </w:r>
    </w:p>
    <w:p w14:paraId="6FA9190E" w14:textId="2171E9FC"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告警响应体系支持多渠道通知（短信、邮件、钉钉</w:t>
      </w:r>
      <w:r w:rsidRPr="00AD0F58">
        <w:rPr>
          <w:rFonts w:ascii="Segoe UI" w:hAnsi="Segoe UI" w:cs="Segoe UI"/>
          <w:color w:val="000000"/>
        </w:rPr>
        <w:t>/</w:t>
      </w:r>
      <w:r w:rsidRPr="00AD0F58">
        <w:rPr>
          <w:rFonts w:ascii="Segoe UI" w:hAnsi="Segoe UI" w:cs="Segoe UI"/>
          <w:color w:val="000000"/>
        </w:rPr>
        <w:t>微信机器人、</w:t>
      </w:r>
      <w:r w:rsidRPr="00AD0F58">
        <w:rPr>
          <w:rFonts w:ascii="Segoe UI" w:hAnsi="Segoe UI" w:cs="Segoe UI"/>
          <w:color w:val="000000"/>
        </w:rPr>
        <w:t>API</w:t>
      </w:r>
      <w:r w:rsidRPr="00AD0F58">
        <w:rPr>
          <w:rFonts w:ascii="Segoe UI" w:hAnsi="Segoe UI" w:cs="Segoe UI"/>
          <w:color w:val="000000"/>
        </w:rPr>
        <w:t>回调），并可根据告警级别自动触发不同响应动作：高危告警（如勒索软件攻击日志）实时通知核心运维团队，并联动</w:t>
      </w:r>
      <w:r w:rsidRPr="00AD0F58">
        <w:rPr>
          <w:rFonts w:ascii="Segoe UI" w:hAnsi="Segoe UI" w:cs="Segoe UI"/>
          <w:color w:val="000000"/>
        </w:rPr>
        <w:t>WAF</w:t>
      </w:r>
      <w:r w:rsidRPr="00AD0F58">
        <w:rPr>
          <w:rFonts w:ascii="Segoe UI" w:hAnsi="Segoe UI" w:cs="Segoe UI"/>
          <w:color w:val="000000"/>
        </w:rPr>
        <w:t>自动拦截攻击源；中低危告警（如服务超时）则发送至业务负责人，同时生成工单记录处理流程。华为云</w:t>
      </w:r>
      <w:proofErr w:type="spellStart"/>
      <w:r w:rsidRPr="00AD0F58">
        <w:rPr>
          <w:rFonts w:ascii="Segoe UI" w:hAnsi="Segoe UI" w:cs="Segoe UI"/>
          <w:color w:val="000000"/>
        </w:rPr>
        <w:t>LogTank</w:t>
      </w:r>
      <w:proofErr w:type="spellEnd"/>
      <w:r w:rsidRPr="00AD0F58">
        <w:rPr>
          <w:rFonts w:ascii="Segoe UI" w:hAnsi="Segoe UI" w:cs="Segoe UI"/>
          <w:color w:val="000000"/>
        </w:rPr>
        <w:t>与监控服务（</w:t>
      </w:r>
      <w:r w:rsidRPr="00AD0F58">
        <w:rPr>
          <w:rFonts w:ascii="Segoe UI" w:hAnsi="Segoe UI" w:cs="Segoe UI"/>
          <w:color w:val="000000"/>
        </w:rPr>
        <w:t>CES</w:t>
      </w:r>
      <w:r w:rsidRPr="00AD0F58">
        <w:rPr>
          <w:rFonts w:ascii="Segoe UI" w:hAnsi="Segoe UI" w:cs="Segoe UI"/>
          <w:color w:val="000000"/>
        </w:rPr>
        <w:t>）、应用运维管理（</w:t>
      </w:r>
      <w:r w:rsidRPr="00AD0F58">
        <w:rPr>
          <w:rFonts w:ascii="Segoe UI" w:hAnsi="Segoe UI" w:cs="Segoe UI"/>
          <w:color w:val="000000"/>
        </w:rPr>
        <w:t>AOM</w:t>
      </w:r>
      <w:r w:rsidRPr="00AD0F58">
        <w:rPr>
          <w:rFonts w:ascii="Segoe UI" w:hAnsi="Segoe UI" w:cs="Segoe UI"/>
          <w:color w:val="000000"/>
        </w:rPr>
        <w:t>）集成，实现告警的统一管理与闭环处理</w:t>
      </w:r>
      <w:r w:rsidRPr="00AD0F58">
        <w:rPr>
          <w:rFonts w:ascii="Segoe UI" w:hAnsi="Segoe UI" w:cs="Segoe UI"/>
          <w:color w:val="000000"/>
        </w:rPr>
        <w:t>——</w:t>
      </w:r>
      <w:r w:rsidRPr="00AD0F58">
        <w:rPr>
          <w:rFonts w:ascii="Segoe UI" w:hAnsi="Segoe UI" w:cs="Segoe UI"/>
          <w:color w:val="000000"/>
        </w:rPr>
        <w:t>运维人员可在控制台认领告警、标记处理状态，处理完成后自动关闭告警，形成</w:t>
      </w:r>
      <w:r w:rsidRPr="00AD0F58">
        <w:rPr>
          <w:rFonts w:ascii="Segoe UI" w:hAnsi="Segoe UI" w:cs="Segoe UI"/>
          <w:color w:val="000000"/>
        </w:rPr>
        <w:t>“</w:t>
      </w:r>
      <w:r w:rsidRPr="00AD0F58">
        <w:rPr>
          <w:rFonts w:ascii="Segoe UI" w:hAnsi="Segoe UI" w:cs="Segoe UI"/>
          <w:color w:val="000000"/>
        </w:rPr>
        <w:t>检测</w:t>
      </w:r>
      <w:r w:rsidRPr="00AD0F58">
        <w:rPr>
          <w:rFonts w:ascii="Segoe UI" w:hAnsi="Segoe UI" w:cs="Segoe UI"/>
          <w:color w:val="000000"/>
        </w:rPr>
        <w:t>-</w:t>
      </w:r>
      <w:r w:rsidRPr="00AD0F58">
        <w:rPr>
          <w:rFonts w:ascii="Segoe UI" w:hAnsi="Segoe UI" w:cs="Segoe UI"/>
          <w:color w:val="000000"/>
        </w:rPr>
        <w:t>通知</w:t>
      </w:r>
      <w:r w:rsidRPr="00AD0F58">
        <w:rPr>
          <w:rFonts w:ascii="Segoe UI" w:hAnsi="Segoe UI" w:cs="Segoe UI"/>
          <w:color w:val="000000"/>
        </w:rPr>
        <w:t>-</w:t>
      </w:r>
      <w:r w:rsidRPr="00AD0F58">
        <w:rPr>
          <w:rFonts w:ascii="Segoe UI" w:hAnsi="Segoe UI" w:cs="Segoe UI"/>
          <w:color w:val="000000"/>
        </w:rPr>
        <w:t>处理</w:t>
      </w:r>
      <w:r w:rsidRPr="00AD0F58">
        <w:rPr>
          <w:rFonts w:ascii="Segoe UI" w:hAnsi="Segoe UI" w:cs="Segoe UI"/>
          <w:color w:val="000000"/>
        </w:rPr>
        <w:t>-</w:t>
      </w:r>
      <w:r w:rsidRPr="00AD0F58">
        <w:rPr>
          <w:rFonts w:ascii="Segoe UI" w:hAnsi="Segoe UI" w:cs="Segoe UI"/>
          <w:color w:val="000000"/>
        </w:rPr>
        <w:t>归档</w:t>
      </w:r>
      <w:r w:rsidRPr="00AD0F58">
        <w:rPr>
          <w:rFonts w:ascii="Segoe UI" w:hAnsi="Segoe UI" w:cs="Segoe UI"/>
          <w:color w:val="000000"/>
        </w:rPr>
        <w:t>”</w:t>
      </w:r>
      <w:r w:rsidRPr="00AD0F58">
        <w:rPr>
          <w:rFonts w:ascii="Segoe UI" w:hAnsi="Segoe UI" w:cs="Segoe UI"/>
          <w:color w:val="000000"/>
        </w:rPr>
        <w:t>的完整闭环。</w:t>
      </w:r>
    </w:p>
    <w:p w14:paraId="45331ABB" w14:textId="2BD0EFFB" w:rsidR="00AD0F58" w:rsidRPr="00AD0F58" w:rsidRDefault="00AD0F58" w:rsidP="00AD0F58">
      <w:pPr>
        <w:pStyle w:val="6"/>
        <w:rPr>
          <w:rFonts w:hint="eastAsia"/>
        </w:rPr>
      </w:pPr>
      <w:r w:rsidRPr="00AD0F58">
        <w:rPr>
          <w:rFonts w:hint="eastAsia"/>
        </w:rPr>
        <w:t>日志与告警管理的价值与实践</w:t>
      </w:r>
    </w:p>
    <w:p w14:paraId="54956075" w14:textId="27B2553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该体系通过全栈日志采集与智能告警，为混合云环境带来三重核心价值：一是故障定位效率提升，通过日志与指标、链路的关联分析，将传统需要数小时的故障排查缩短至分钟级；二是安全合规保障，日志的安全存储（防篡改、加密）与操作审计功能，满足等保</w:t>
      </w:r>
      <w:r w:rsidRPr="00AD0F58">
        <w:rPr>
          <w:rFonts w:ascii="Segoe UI" w:hAnsi="Segoe UI" w:cs="Segoe UI"/>
          <w:color w:val="000000"/>
        </w:rPr>
        <w:t>2.0</w:t>
      </w:r>
      <w:r w:rsidRPr="00AD0F58">
        <w:rPr>
          <w:rFonts w:ascii="Segoe UI" w:hAnsi="Segoe UI" w:cs="Segoe UI"/>
          <w:color w:val="000000"/>
        </w:rPr>
        <w:t>、</w:t>
      </w:r>
      <w:r w:rsidRPr="00AD0F58">
        <w:rPr>
          <w:rFonts w:ascii="Segoe UI" w:hAnsi="Segoe UI" w:cs="Segoe UI"/>
          <w:color w:val="000000"/>
        </w:rPr>
        <w:t>GDPR</w:t>
      </w:r>
      <w:r w:rsidRPr="00AD0F58">
        <w:rPr>
          <w:rFonts w:ascii="Segoe UI" w:hAnsi="Segoe UI" w:cs="Segoe UI"/>
          <w:color w:val="000000"/>
        </w:rPr>
        <w:t>等合规</w:t>
      </w:r>
      <w:r w:rsidR="006C6F6D" w:rsidRPr="006C6F6D">
        <w:rPr>
          <w:rFonts w:ascii="Segoe UI" w:hAnsi="Segoe UI" w:cs="Segoe UI"/>
          <w:b/>
          <w:color w:val="000000"/>
        </w:rPr>
        <w:t>招标文件要求</w:t>
      </w:r>
      <w:r w:rsidRPr="00AD0F58">
        <w:rPr>
          <w:rFonts w:ascii="Segoe UI" w:hAnsi="Segoe UI" w:cs="Segoe UI"/>
          <w:color w:val="000000"/>
        </w:rPr>
        <w:t>；三是业务优化支撑，通过日志分析用户行为与业务流程瓶颈，为系统优化提供数据依据。例如，某电商平台通过</w:t>
      </w:r>
      <w:proofErr w:type="spellStart"/>
      <w:r w:rsidRPr="00AD0F58">
        <w:rPr>
          <w:rFonts w:ascii="Segoe UI" w:hAnsi="Segoe UI" w:cs="Segoe UI"/>
          <w:color w:val="000000"/>
        </w:rPr>
        <w:t>LogTank</w:t>
      </w:r>
      <w:proofErr w:type="spellEnd"/>
      <w:r w:rsidRPr="00AD0F58">
        <w:rPr>
          <w:rFonts w:ascii="Segoe UI" w:hAnsi="Segoe UI" w:cs="Segoe UI"/>
          <w:color w:val="000000"/>
        </w:rPr>
        <w:t>分析大促期间的订单日志，发现支付环节的异常日志集中于特定银行接口，提前与银行协调扩容，避免了后续大促的支付故障。</w:t>
      </w:r>
    </w:p>
    <w:p w14:paraId="4FA1BAEC" w14:textId="01A25142" w:rsidR="008B6551"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华为云日志与告警管理方案通过与容器服务（</w:t>
      </w:r>
      <w:r w:rsidRPr="00AD0F58">
        <w:rPr>
          <w:rFonts w:ascii="Segoe UI" w:hAnsi="Segoe UI" w:cs="Segoe UI"/>
          <w:color w:val="000000"/>
        </w:rPr>
        <w:t>CCE</w:t>
      </w:r>
      <w:r w:rsidRPr="00AD0F58">
        <w:rPr>
          <w:rFonts w:ascii="Segoe UI" w:hAnsi="Segoe UI" w:cs="Segoe UI"/>
          <w:color w:val="000000"/>
        </w:rPr>
        <w:t>）、微服务框架（</w:t>
      </w:r>
      <w:proofErr w:type="spellStart"/>
      <w:r w:rsidRPr="00AD0F58">
        <w:rPr>
          <w:rFonts w:ascii="Segoe UI" w:hAnsi="Segoe UI" w:cs="Segoe UI"/>
          <w:color w:val="000000"/>
        </w:rPr>
        <w:t>ServiceComb</w:t>
      </w:r>
      <w:proofErr w:type="spellEnd"/>
      <w:r w:rsidRPr="00AD0F58">
        <w:rPr>
          <w:rFonts w:ascii="Segoe UI" w:hAnsi="Segoe UI" w:cs="Segoe UI"/>
          <w:color w:val="000000"/>
        </w:rPr>
        <w:t>）的深度集成，实现云原生环境下的日志自动化采集与告警智能关联，为混合云架构的可观测性提供了坚实基础。</w:t>
      </w:r>
    </w:p>
    <w:p w14:paraId="0A8CDF02" w14:textId="4BCB5773" w:rsidR="008B6551" w:rsidRDefault="008B6551" w:rsidP="001F4BFA">
      <w:pPr>
        <w:pStyle w:val="5"/>
        <w:shd w:val="clear" w:color="auto" w:fill="F9FAFB"/>
        <w:rPr>
          <w:rFonts w:ascii="Segoe UI" w:hAnsi="Segoe UI" w:cs="Segoe UI"/>
          <w:color w:val="000000"/>
        </w:rPr>
      </w:pPr>
      <w:r>
        <w:rPr>
          <w:rFonts w:ascii="Segoe UI" w:hAnsi="Segoe UI" w:cs="Segoe UI"/>
          <w:color w:val="000000"/>
        </w:rPr>
        <w:t>可观测性体系建设</w:t>
      </w:r>
    </w:p>
    <w:p w14:paraId="5F2AD9E9"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混合云环境下的可观测性体系以华为云监控服务为核心，融合性能指标采集、分布式链</w:t>
      </w:r>
      <w:r w:rsidRPr="00AD0F58">
        <w:rPr>
          <w:rFonts w:ascii="Segoe UI" w:hAnsi="Segoe UI" w:cs="Segoe UI" w:hint="eastAsia"/>
          <w:color w:val="000000"/>
        </w:rPr>
        <w:lastRenderedPageBreak/>
        <w:t>路追踪、可视化看板与智能告警机制，构建覆盖基础设施、应用服务到业务流程的全栈可观测能力，为系统稳定性与故障定位提供数据支撑。</w:t>
      </w:r>
    </w:p>
    <w:p w14:paraId="09F6BBCE" w14:textId="65A22238" w:rsidR="00AD0F58" w:rsidRPr="00AD0F58" w:rsidRDefault="00AD0F58" w:rsidP="00AD0F58">
      <w:pPr>
        <w:pStyle w:val="6"/>
        <w:rPr>
          <w:rFonts w:hint="eastAsia"/>
        </w:rPr>
      </w:pPr>
      <w:r w:rsidRPr="00AD0F58">
        <w:rPr>
          <w:rFonts w:hint="eastAsia"/>
        </w:rPr>
        <w:t>多维监控指标体系</w:t>
      </w:r>
    </w:p>
    <w:p w14:paraId="598F807C" w14:textId="6C0D902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监控指标采集依托华为云监控服务（</w:t>
      </w:r>
      <w:r w:rsidRPr="00AD0F58">
        <w:rPr>
          <w:rFonts w:ascii="Segoe UI" w:hAnsi="Segoe UI" w:cs="Segoe UI"/>
          <w:color w:val="000000"/>
        </w:rPr>
        <w:t>CES</w:t>
      </w:r>
      <w:r w:rsidRPr="00AD0F58">
        <w:rPr>
          <w:rFonts w:ascii="Segoe UI" w:hAnsi="Segoe UI" w:cs="Segoe UI"/>
          <w:color w:val="000000"/>
        </w:rPr>
        <w:t>），实现对</w:t>
      </w:r>
      <w:r w:rsidRPr="00AD0F58">
        <w:rPr>
          <w:rFonts w:ascii="Segoe UI" w:hAnsi="Segoe UI" w:cs="Segoe UI"/>
          <w:color w:val="000000"/>
        </w:rPr>
        <w:t>CPU</w:t>
      </w:r>
      <w:r w:rsidRPr="00AD0F58">
        <w:rPr>
          <w:rFonts w:ascii="Segoe UI" w:hAnsi="Segoe UI" w:cs="Segoe UI"/>
          <w:color w:val="000000"/>
        </w:rPr>
        <w:t>、内存、网络流量等基础资源指标的高频次采集与分析。</w:t>
      </w:r>
      <w:r w:rsidRPr="00AD0F58">
        <w:rPr>
          <w:rFonts w:ascii="Segoe UI" w:hAnsi="Segoe UI" w:cs="Segoe UI"/>
          <w:color w:val="000000"/>
        </w:rPr>
        <w:t>CES</w:t>
      </w:r>
      <w:r w:rsidRPr="00AD0F58">
        <w:rPr>
          <w:rFonts w:ascii="Segoe UI" w:hAnsi="Segoe UI" w:cs="Segoe UI"/>
          <w:color w:val="000000"/>
        </w:rPr>
        <w:t>自动接入华为云</w:t>
      </w:r>
      <w:r w:rsidRPr="00AD0F58">
        <w:rPr>
          <w:rFonts w:ascii="Segoe UI" w:hAnsi="Segoe UI" w:cs="Segoe UI"/>
          <w:color w:val="000000"/>
        </w:rPr>
        <w:t>ECS</w:t>
      </w:r>
      <w:r w:rsidRPr="00AD0F58">
        <w:rPr>
          <w:rFonts w:ascii="Segoe UI" w:hAnsi="Segoe UI" w:cs="Segoe UI"/>
          <w:color w:val="000000"/>
        </w:rPr>
        <w:t>、</w:t>
      </w:r>
      <w:r w:rsidRPr="00AD0F58">
        <w:rPr>
          <w:rFonts w:ascii="Segoe UI" w:hAnsi="Segoe UI" w:cs="Segoe UI"/>
          <w:color w:val="000000"/>
        </w:rPr>
        <w:t>ELB</w:t>
      </w:r>
      <w:r w:rsidRPr="00AD0F58">
        <w:rPr>
          <w:rFonts w:ascii="Segoe UI" w:hAnsi="Segoe UI" w:cs="Segoe UI"/>
          <w:color w:val="000000"/>
        </w:rPr>
        <w:t>、</w:t>
      </w:r>
      <w:r w:rsidRPr="00AD0F58">
        <w:rPr>
          <w:rFonts w:ascii="Segoe UI" w:hAnsi="Segoe UI" w:cs="Segoe UI"/>
          <w:color w:val="000000"/>
        </w:rPr>
        <w:t>RDS</w:t>
      </w:r>
      <w:r w:rsidRPr="00AD0F58">
        <w:rPr>
          <w:rFonts w:ascii="Segoe UI" w:hAnsi="Segoe UI" w:cs="Segoe UI"/>
          <w:color w:val="000000"/>
        </w:rPr>
        <w:t>等组件的原生指标，例如</w:t>
      </w:r>
      <w:r w:rsidRPr="00AD0F58">
        <w:rPr>
          <w:rFonts w:ascii="Segoe UI" w:hAnsi="Segoe UI" w:cs="Segoe UI"/>
          <w:color w:val="000000"/>
        </w:rPr>
        <w:t>ECS</w:t>
      </w:r>
      <w:r w:rsidRPr="00AD0F58">
        <w:rPr>
          <w:rFonts w:ascii="Segoe UI" w:hAnsi="Segoe UI" w:cs="Segoe UI"/>
          <w:color w:val="000000"/>
        </w:rPr>
        <w:t>实例的</w:t>
      </w:r>
      <w:r w:rsidRPr="00AD0F58">
        <w:rPr>
          <w:rFonts w:ascii="Segoe UI" w:hAnsi="Segoe UI" w:cs="Segoe UI"/>
          <w:color w:val="000000"/>
        </w:rPr>
        <w:t>CPU</w:t>
      </w:r>
      <w:r w:rsidRPr="00AD0F58">
        <w:rPr>
          <w:rFonts w:ascii="Segoe UI" w:hAnsi="Segoe UI" w:cs="Segoe UI"/>
          <w:color w:val="000000"/>
        </w:rPr>
        <w:t>利用率、内存占用率、磁盘</w:t>
      </w:r>
      <w:r w:rsidRPr="00AD0F58">
        <w:rPr>
          <w:rFonts w:ascii="Segoe UI" w:hAnsi="Segoe UI" w:cs="Segoe UI"/>
          <w:color w:val="000000"/>
        </w:rPr>
        <w:t>I/O</w:t>
      </w:r>
      <w:r w:rsidRPr="00AD0F58">
        <w:rPr>
          <w:rFonts w:ascii="Segoe UI" w:hAnsi="Segoe UI" w:cs="Segoe UI"/>
          <w:color w:val="000000"/>
        </w:rPr>
        <w:t>读写速率，</w:t>
      </w:r>
      <w:r w:rsidRPr="00AD0F58">
        <w:rPr>
          <w:rFonts w:ascii="Segoe UI" w:hAnsi="Segoe UI" w:cs="Segoe UI"/>
          <w:color w:val="000000"/>
        </w:rPr>
        <w:t>ELB</w:t>
      </w:r>
      <w:r w:rsidRPr="00AD0F58">
        <w:rPr>
          <w:rFonts w:ascii="Segoe UI" w:hAnsi="Segoe UI" w:cs="Segoe UI"/>
          <w:color w:val="000000"/>
        </w:rPr>
        <w:t>的流量吞吐量、连接数，</w:t>
      </w:r>
      <w:r w:rsidRPr="00AD0F58">
        <w:rPr>
          <w:rFonts w:ascii="Segoe UI" w:hAnsi="Segoe UI" w:cs="Segoe UI"/>
          <w:color w:val="000000"/>
        </w:rPr>
        <w:t>RDS</w:t>
      </w:r>
      <w:r w:rsidRPr="00AD0F58">
        <w:rPr>
          <w:rFonts w:ascii="Segoe UI" w:hAnsi="Segoe UI" w:cs="Segoe UI"/>
          <w:color w:val="000000"/>
        </w:rPr>
        <w:t>的</w:t>
      </w:r>
      <w:r w:rsidRPr="00AD0F58">
        <w:rPr>
          <w:rFonts w:ascii="Segoe UI" w:hAnsi="Segoe UI" w:cs="Segoe UI"/>
          <w:color w:val="000000"/>
        </w:rPr>
        <w:t>QPS</w:t>
      </w:r>
      <w:r w:rsidRPr="00AD0F58">
        <w:rPr>
          <w:rFonts w:ascii="Segoe UI" w:hAnsi="Segoe UI" w:cs="Segoe UI"/>
          <w:color w:val="000000"/>
        </w:rPr>
        <w:t>（每秒查询率）、事务延迟等。对于自定义业务指标，企业可通过</w:t>
      </w:r>
      <w:r w:rsidRPr="00AD0F58">
        <w:rPr>
          <w:rFonts w:ascii="Segoe UI" w:hAnsi="Segoe UI" w:cs="Segoe UI"/>
          <w:color w:val="000000"/>
        </w:rPr>
        <w:t>CES</w:t>
      </w:r>
      <w:r w:rsidRPr="00AD0F58">
        <w:rPr>
          <w:rFonts w:ascii="Segoe UI" w:hAnsi="Segoe UI" w:cs="Segoe UI"/>
          <w:color w:val="000000"/>
        </w:rPr>
        <w:t>提供的</w:t>
      </w:r>
      <w:r w:rsidRPr="00AD0F58">
        <w:rPr>
          <w:rFonts w:ascii="Segoe UI" w:hAnsi="Segoe UI" w:cs="Segoe UI"/>
          <w:color w:val="000000"/>
        </w:rPr>
        <w:t>API</w:t>
      </w:r>
      <w:r w:rsidRPr="00AD0F58">
        <w:rPr>
          <w:rFonts w:ascii="Segoe UI" w:hAnsi="Segoe UI" w:cs="Segoe UI"/>
          <w:color w:val="000000"/>
        </w:rPr>
        <w:t>或</w:t>
      </w:r>
      <w:r w:rsidRPr="00AD0F58">
        <w:rPr>
          <w:rFonts w:ascii="Segoe UI" w:hAnsi="Segoe UI" w:cs="Segoe UI"/>
          <w:color w:val="000000"/>
        </w:rPr>
        <w:t>SDK</w:t>
      </w:r>
      <w:r w:rsidRPr="00AD0F58">
        <w:rPr>
          <w:rFonts w:ascii="Segoe UI" w:hAnsi="Segoe UI" w:cs="Segoe UI"/>
          <w:color w:val="000000"/>
        </w:rPr>
        <w:t>，将应用层指标（如订单处理量、用户并发数）接入监控体系，形成</w:t>
      </w:r>
      <w:r w:rsidRPr="00AD0F58">
        <w:rPr>
          <w:rFonts w:ascii="Segoe UI" w:hAnsi="Segoe UI" w:cs="Segoe UI"/>
          <w:color w:val="000000"/>
        </w:rPr>
        <w:t>“</w:t>
      </w:r>
      <w:r w:rsidRPr="00AD0F58">
        <w:rPr>
          <w:rFonts w:ascii="Segoe UI" w:hAnsi="Segoe UI" w:cs="Segoe UI"/>
          <w:color w:val="000000"/>
        </w:rPr>
        <w:t>基础设施</w:t>
      </w:r>
      <w:r w:rsidRPr="00AD0F58">
        <w:rPr>
          <w:rFonts w:ascii="Segoe UI" w:hAnsi="Segoe UI" w:cs="Segoe UI"/>
          <w:color w:val="000000"/>
        </w:rPr>
        <w:t>+</w:t>
      </w:r>
      <w:r w:rsidRPr="00AD0F58">
        <w:rPr>
          <w:rFonts w:ascii="Segoe UI" w:hAnsi="Segoe UI" w:cs="Segoe UI"/>
          <w:color w:val="000000"/>
        </w:rPr>
        <w:t>业务逻辑</w:t>
      </w:r>
      <w:r w:rsidRPr="00AD0F58">
        <w:rPr>
          <w:rFonts w:ascii="Segoe UI" w:hAnsi="Segoe UI" w:cs="Segoe UI"/>
          <w:color w:val="000000"/>
        </w:rPr>
        <w:t>”</w:t>
      </w:r>
      <w:r w:rsidRPr="00AD0F58">
        <w:rPr>
          <w:rFonts w:ascii="Segoe UI" w:hAnsi="Segoe UI" w:cs="Segoe UI"/>
          <w:color w:val="000000"/>
        </w:rPr>
        <w:t>的全维度指标库。</w:t>
      </w:r>
    </w:p>
    <w:p w14:paraId="71410D27" w14:textId="6F97FCBA"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指标采集频率支持灵活配置：核心业务指标（如交易系统</w:t>
      </w:r>
      <w:r w:rsidRPr="00AD0F58">
        <w:rPr>
          <w:rFonts w:ascii="Segoe UI" w:hAnsi="Segoe UI" w:cs="Segoe UI"/>
          <w:color w:val="000000"/>
        </w:rPr>
        <w:t>CPU</w:t>
      </w:r>
      <w:r w:rsidRPr="00AD0F58">
        <w:rPr>
          <w:rFonts w:ascii="Segoe UI" w:hAnsi="Segoe UI" w:cs="Segoe UI"/>
          <w:color w:val="000000"/>
        </w:rPr>
        <w:t>）可设置为</w:t>
      </w:r>
      <w:r w:rsidRPr="00AD0F58">
        <w:rPr>
          <w:rFonts w:ascii="Segoe UI" w:hAnsi="Segoe UI" w:cs="Segoe UI"/>
          <w:color w:val="000000"/>
        </w:rPr>
        <w:t>1</w:t>
      </w:r>
      <w:r w:rsidRPr="00AD0F58">
        <w:rPr>
          <w:rFonts w:ascii="Segoe UI" w:hAnsi="Segoe UI" w:cs="Segoe UI"/>
          <w:color w:val="000000"/>
        </w:rPr>
        <w:t>分钟采集一次，非核心指标（如日志服务器内存）可放宽至</w:t>
      </w:r>
      <w:r w:rsidRPr="00AD0F58">
        <w:rPr>
          <w:rFonts w:ascii="Segoe UI" w:hAnsi="Segoe UI" w:cs="Segoe UI"/>
          <w:color w:val="000000"/>
        </w:rPr>
        <w:t>5</w:t>
      </w:r>
      <w:r w:rsidRPr="00AD0F58">
        <w:rPr>
          <w:rFonts w:ascii="Segoe UI" w:hAnsi="Segoe UI" w:cs="Segoe UI"/>
          <w:color w:val="000000"/>
        </w:rPr>
        <w:t>分钟，在保证监控粒度的同时优化数据存储成本。采集的数据通过分布式时序数据库存储，支持秒级查询与聚合分析，例如通过</w:t>
      </w:r>
      <w:r w:rsidRPr="00AD0F58">
        <w:rPr>
          <w:rFonts w:ascii="Segoe UI" w:hAnsi="Segoe UI" w:cs="Segoe UI"/>
          <w:color w:val="000000"/>
        </w:rPr>
        <w:t>CES</w:t>
      </w:r>
      <w:r w:rsidRPr="00AD0F58">
        <w:rPr>
          <w:rFonts w:ascii="Segoe UI" w:hAnsi="Segoe UI" w:cs="Segoe UI"/>
          <w:color w:val="000000"/>
        </w:rPr>
        <w:t>控制台实时查看某可用区内所有</w:t>
      </w:r>
      <w:r w:rsidRPr="00AD0F58">
        <w:rPr>
          <w:rFonts w:ascii="Segoe UI" w:hAnsi="Segoe UI" w:cs="Segoe UI"/>
          <w:color w:val="000000"/>
        </w:rPr>
        <w:t>ECS</w:t>
      </w:r>
      <w:r w:rsidRPr="00AD0F58">
        <w:rPr>
          <w:rFonts w:ascii="Segoe UI" w:hAnsi="Segoe UI" w:cs="Segoe UI"/>
          <w:color w:val="000000"/>
        </w:rPr>
        <w:t>的</w:t>
      </w:r>
      <w:r w:rsidRPr="00AD0F58">
        <w:rPr>
          <w:rFonts w:ascii="Segoe UI" w:hAnsi="Segoe UI" w:cs="Segoe UI"/>
          <w:color w:val="000000"/>
        </w:rPr>
        <w:t>CPU</w:t>
      </w:r>
      <w:r w:rsidRPr="00AD0F58">
        <w:rPr>
          <w:rFonts w:ascii="Segoe UI" w:hAnsi="Segoe UI" w:cs="Segoe UI"/>
          <w:color w:val="000000"/>
        </w:rPr>
        <w:t>平均利用率趋势，或对比不同</w:t>
      </w:r>
      <w:r w:rsidRPr="00AD0F58">
        <w:rPr>
          <w:rFonts w:ascii="Segoe UI" w:hAnsi="Segoe UI" w:cs="Segoe UI"/>
          <w:color w:val="000000"/>
        </w:rPr>
        <w:t>Region</w:t>
      </w:r>
      <w:r w:rsidRPr="00AD0F58">
        <w:rPr>
          <w:rFonts w:ascii="Segoe UI" w:hAnsi="Segoe UI" w:cs="Segoe UI"/>
          <w:color w:val="000000"/>
        </w:rPr>
        <w:t>的网络延迟差异，为资源扩容与架构优化提供数据依据。</w:t>
      </w:r>
    </w:p>
    <w:p w14:paraId="67A297E3" w14:textId="079656FE" w:rsidR="00AD0F58" w:rsidRPr="00AD0F58" w:rsidRDefault="00AD0F58" w:rsidP="00AD0F58">
      <w:pPr>
        <w:pStyle w:val="6"/>
        <w:rPr>
          <w:rFonts w:hint="eastAsia"/>
        </w:rPr>
      </w:pPr>
      <w:r w:rsidRPr="00AD0F58">
        <w:rPr>
          <w:rFonts w:hint="eastAsia"/>
        </w:rPr>
        <w:t>分布式链路追踪</w:t>
      </w:r>
    </w:p>
    <w:p w14:paraId="63A9D015" w14:textId="2238DC65"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应用实时监控服务（</w:t>
      </w:r>
      <w:r w:rsidRPr="00AD0F58">
        <w:rPr>
          <w:rFonts w:ascii="Segoe UI" w:hAnsi="Segoe UI" w:cs="Segoe UI"/>
          <w:color w:val="000000"/>
        </w:rPr>
        <w:t>ARMS</w:t>
      </w:r>
      <w:r w:rsidRPr="00AD0F58">
        <w:rPr>
          <w:rFonts w:ascii="Segoe UI" w:hAnsi="Segoe UI" w:cs="Segoe UI"/>
          <w:color w:val="000000"/>
        </w:rPr>
        <w:t>）作为链路追踪的核心组件，通过在微服务框架中植入探针，实现跨服务调用链的自动采集与分析。在混合云架构中，</w:t>
      </w:r>
      <w:r w:rsidRPr="00AD0F58">
        <w:rPr>
          <w:rFonts w:ascii="Segoe UI" w:hAnsi="Segoe UI" w:cs="Segoe UI"/>
          <w:color w:val="000000"/>
        </w:rPr>
        <w:t>ARMS</w:t>
      </w:r>
      <w:r w:rsidRPr="00AD0F58">
        <w:rPr>
          <w:rFonts w:ascii="Segoe UI" w:hAnsi="Segoe UI" w:cs="Segoe UI"/>
          <w:color w:val="000000"/>
        </w:rPr>
        <w:t>支持对部署于华为云</w:t>
      </w:r>
      <w:r w:rsidRPr="00AD0F58">
        <w:rPr>
          <w:rFonts w:ascii="Segoe UI" w:hAnsi="Segoe UI" w:cs="Segoe UI"/>
          <w:color w:val="000000"/>
        </w:rPr>
        <w:t>ECS</w:t>
      </w:r>
      <w:r w:rsidRPr="00AD0F58">
        <w:rPr>
          <w:rFonts w:ascii="Segoe UI" w:hAnsi="Segoe UI" w:cs="Segoe UI"/>
          <w:color w:val="000000"/>
        </w:rPr>
        <w:t>、容器服务（</w:t>
      </w:r>
      <w:r w:rsidRPr="00AD0F58">
        <w:rPr>
          <w:rFonts w:ascii="Segoe UI" w:hAnsi="Segoe UI" w:cs="Segoe UI"/>
          <w:color w:val="000000"/>
        </w:rPr>
        <w:t>CCE</w:t>
      </w:r>
      <w:r w:rsidRPr="00AD0F58">
        <w:rPr>
          <w:rFonts w:ascii="Segoe UI" w:hAnsi="Segoe UI" w:cs="Segoe UI"/>
          <w:color w:val="000000"/>
        </w:rPr>
        <w:t>）及自建</w:t>
      </w:r>
      <w:r w:rsidRPr="00AD0F58">
        <w:rPr>
          <w:rFonts w:ascii="Segoe UI" w:hAnsi="Segoe UI" w:cs="Segoe UI"/>
          <w:color w:val="000000"/>
        </w:rPr>
        <w:t>IDC</w:t>
      </w:r>
      <w:r w:rsidRPr="00AD0F58">
        <w:rPr>
          <w:rFonts w:ascii="Segoe UI" w:hAnsi="Segoe UI" w:cs="Segoe UI"/>
          <w:color w:val="000000"/>
        </w:rPr>
        <w:t>的应用进行统一追踪：当用户请求进入系统时，</w:t>
      </w:r>
      <w:r w:rsidRPr="00AD0F58">
        <w:rPr>
          <w:rFonts w:ascii="Segoe UI" w:hAnsi="Segoe UI" w:cs="Segoe UI"/>
          <w:color w:val="000000"/>
        </w:rPr>
        <w:t>ARMS</w:t>
      </w:r>
      <w:r w:rsidRPr="00AD0F58">
        <w:rPr>
          <w:rFonts w:ascii="Segoe UI" w:hAnsi="Segoe UI" w:cs="Segoe UI"/>
          <w:color w:val="000000"/>
        </w:rPr>
        <w:t>自动生成全局唯一的追踪</w:t>
      </w:r>
      <w:r w:rsidRPr="00AD0F58">
        <w:rPr>
          <w:rFonts w:ascii="Segoe UI" w:hAnsi="Segoe UI" w:cs="Segoe UI"/>
          <w:color w:val="000000"/>
        </w:rPr>
        <w:t>ID</w:t>
      </w:r>
      <w:r w:rsidRPr="00AD0F58">
        <w:rPr>
          <w:rFonts w:ascii="Segoe UI" w:hAnsi="Segoe UI" w:cs="Segoe UI"/>
          <w:color w:val="000000"/>
        </w:rPr>
        <w:t>，并随请求在微服务间传递，记录每个服务节点的调用耗时、参数、异常信息等。例如，电商平台的</w:t>
      </w:r>
      <w:r w:rsidRPr="00AD0F58">
        <w:rPr>
          <w:rFonts w:ascii="Segoe UI" w:hAnsi="Segoe UI" w:cs="Segoe UI"/>
          <w:color w:val="000000"/>
        </w:rPr>
        <w:t>“</w:t>
      </w:r>
      <w:r w:rsidRPr="00AD0F58">
        <w:rPr>
          <w:rFonts w:ascii="Segoe UI" w:hAnsi="Segoe UI" w:cs="Segoe UI"/>
          <w:color w:val="000000"/>
        </w:rPr>
        <w:t>下单</w:t>
      </w:r>
      <w:r w:rsidRPr="00AD0F58">
        <w:rPr>
          <w:rFonts w:ascii="Segoe UI" w:hAnsi="Segoe UI" w:cs="Segoe UI"/>
          <w:color w:val="000000"/>
        </w:rPr>
        <w:t>-</w:t>
      </w:r>
      <w:r w:rsidRPr="00AD0F58">
        <w:rPr>
          <w:rFonts w:ascii="Segoe UI" w:hAnsi="Segoe UI" w:cs="Segoe UI"/>
          <w:color w:val="000000"/>
        </w:rPr>
        <w:t>支付</w:t>
      </w:r>
      <w:r w:rsidRPr="00AD0F58">
        <w:rPr>
          <w:rFonts w:ascii="Segoe UI" w:hAnsi="Segoe UI" w:cs="Segoe UI"/>
          <w:color w:val="000000"/>
        </w:rPr>
        <w:t>-</w:t>
      </w:r>
      <w:r w:rsidRPr="00AD0F58">
        <w:rPr>
          <w:rFonts w:ascii="Segoe UI" w:hAnsi="Segoe UI" w:cs="Segoe UI"/>
          <w:color w:val="000000"/>
        </w:rPr>
        <w:t>库存扣减</w:t>
      </w:r>
      <w:r w:rsidRPr="00AD0F58">
        <w:rPr>
          <w:rFonts w:ascii="Segoe UI" w:hAnsi="Segoe UI" w:cs="Segoe UI"/>
          <w:color w:val="000000"/>
        </w:rPr>
        <w:t>”</w:t>
      </w:r>
      <w:r w:rsidRPr="00AD0F58">
        <w:rPr>
          <w:rFonts w:ascii="Segoe UI" w:hAnsi="Segoe UI" w:cs="Segoe UI"/>
          <w:color w:val="000000"/>
        </w:rPr>
        <w:t>流程中，</w:t>
      </w:r>
      <w:r w:rsidRPr="00AD0F58">
        <w:rPr>
          <w:rFonts w:ascii="Segoe UI" w:hAnsi="Segoe UI" w:cs="Segoe UI"/>
          <w:color w:val="000000"/>
        </w:rPr>
        <w:t>ARMS</w:t>
      </w:r>
      <w:r w:rsidRPr="00AD0F58">
        <w:rPr>
          <w:rFonts w:ascii="Segoe UI" w:hAnsi="Segoe UI" w:cs="Segoe UI"/>
          <w:color w:val="000000"/>
        </w:rPr>
        <w:t>可直观展示各微服务的调用顺序、耗时分布，快速定位响应缓慢的服务节点（如支付接口延迟过高）</w:t>
      </w:r>
      <w:r w:rsidRPr="00AD0F58">
        <w:rPr>
          <w:rFonts w:ascii="Segoe UI" w:hAnsi="Segoe UI" w:cs="Segoe UI" w:hint="eastAsia"/>
          <w:color w:val="000000"/>
        </w:rPr>
        <w:t>。</w:t>
      </w:r>
    </w:p>
    <w:p w14:paraId="04A08FB2" w14:textId="60E5FA5C"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color w:val="000000"/>
        </w:rPr>
        <w:t>ARMS</w:t>
      </w:r>
      <w:r w:rsidRPr="00AD0F58">
        <w:rPr>
          <w:rFonts w:ascii="Segoe UI" w:hAnsi="Segoe UI" w:cs="Segoe UI"/>
          <w:color w:val="000000"/>
        </w:rPr>
        <w:t>的链路追踪能力与日志、指标深度集成，形成</w:t>
      </w:r>
      <w:r w:rsidRPr="00AD0F58">
        <w:rPr>
          <w:rFonts w:ascii="Segoe UI" w:hAnsi="Segoe UI" w:cs="Segoe UI"/>
          <w:color w:val="000000"/>
        </w:rPr>
        <w:t>“</w:t>
      </w:r>
      <w:r w:rsidRPr="00AD0F58">
        <w:rPr>
          <w:rFonts w:ascii="Segoe UI" w:hAnsi="Segoe UI" w:cs="Segoe UI"/>
          <w:color w:val="000000"/>
        </w:rPr>
        <w:t>三位一体</w:t>
      </w:r>
      <w:r w:rsidRPr="00AD0F58">
        <w:rPr>
          <w:rFonts w:ascii="Segoe UI" w:hAnsi="Segoe UI" w:cs="Segoe UI"/>
          <w:color w:val="000000"/>
        </w:rPr>
        <w:t>”</w:t>
      </w:r>
      <w:r w:rsidRPr="00AD0F58">
        <w:rPr>
          <w:rFonts w:ascii="Segoe UI" w:hAnsi="Segoe UI" w:cs="Segoe UI"/>
          <w:color w:val="000000"/>
        </w:rPr>
        <w:t>的可观测性：当某链路出现异常时，可一键关联该请求的日志记录（如错误堆栈）与相关指标（如服务</w:t>
      </w:r>
      <w:r w:rsidRPr="00AD0F58">
        <w:rPr>
          <w:rFonts w:ascii="Segoe UI" w:hAnsi="Segoe UI" w:cs="Segoe UI"/>
          <w:color w:val="000000"/>
        </w:rPr>
        <w:t>CPU</w:t>
      </w:r>
      <w:r w:rsidRPr="00AD0F58">
        <w:rPr>
          <w:rFonts w:ascii="Segoe UI" w:hAnsi="Segoe UI" w:cs="Segoe UI"/>
          <w:color w:val="000000"/>
        </w:rPr>
        <w:t>飙升），实现从现象到根因的快速定位。此外，</w:t>
      </w:r>
      <w:r w:rsidRPr="00AD0F58">
        <w:rPr>
          <w:rFonts w:ascii="Segoe UI" w:hAnsi="Segoe UI" w:cs="Segoe UI"/>
          <w:color w:val="000000"/>
        </w:rPr>
        <w:t>ARMS</w:t>
      </w:r>
      <w:r w:rsidRPr="00AD0F58">
        <w:rPr>
          <w:rFonts w:ascii="Segoe UI" w:hAnsi="Segoe UI" w:cs="Segoe UI"/>
          <w:color w:val="000000"/>
        </w:rPr>
        <w:t>支持自定义业务标签，例如将用户</w:t>
      </w:r>
      <w:r w:rsidRPr="00AD0F58">
        <w:rPr>
          <w:rFonts w:ascii="Segoe UI" w:hAnsi="Segoe UI" w:cs="Segoe UI"/>
          <w:color w:val="000000"/>
        </w:rPr>
        <w:t>ID</w:t>
      </w:r>
      <w:r w:rsidRPr="00AD0F58">
        <w:rPr>
          <w:rFonts w:ascii="Segoe UI" w:hAnsi="Segoe UI" w:cs="Segoe UI"/>
          <w:color w:val="000000"/>
        </w:rPr>
        <w:t>、订单</w:t>
      </w:r>
      <w:r w:rsidRPr="00AD0F58">
        <w:rPr>
          <w:rFonts w:ascii="Segoe UI" w:hAnsi="Segoe UI" w:cs="Segoe UI"/>
          <w:color w:val="000000"/>
        </w:rPr>
        <w:t>ID</w:t>
      </w:r>
      <w:r w:rsidRPr="00AD0F58">
        <w:rPr>
          <w:rFonts w:ascii="Segoe UI" w:hAnsi="Segoe UI" w:cs="Segoe UI"/>
          <w:color w:val="000000"/>
        </w:rPr>
        <w:t>等关键信息注入追踪链，便于按业务维度筛选和分析调用链数据，满足复杂业务场景下的故障排查需求。</w:t>
      </w:r>
    </w:p>
    <w:p w14:paraId="1EB55FE1" w14:textId="0A03F918" w:rsidR="00AD0F58" w:rsidRPr="00AD0F58" w:rsidRDefault="00AD0F58" w:rsidP="00AD0F58">
      <w:pPr>
        <w:pStyle w:val="6"/>
        <w:rPr>
          <w:rFonts w:hint="eastAsia"/>
        </w:rPr>
      </w:pPr>
      <w:r w:rsidRPr="00AD0F58">
        <w:rPr>
          <w:rFonts w:hint="eastAsia"/>
        </w:rPr>
        <w:t>定制化监控看板</w:t>
      </w:r>
    </w:p>
    <w:p w14:paraId="2F2C07C4" w14:textId="704C8922"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监控看板基于</w:t>
      </w:r>
      <w:r w:rsidRPr="00AD0F58">
        <w:rPr>
          <w:rFonts w:ascii="Segoe UI" w:hAnsi="Segoe UI" w:cs="Segoe UI"/>
          <w:color w:val="000000"/>
        </w:rPr>
        <w:t>Grafana</w:t>
      </w:r>
      <w:r w:rsidRPr="00AD0F58">
        <w:rPr>
          <w:rFonts w:ascii="Segoe UI" w:hAnsi="Segoe UI" w:cs="Segoe UI"/>
          <w:color w:val="000000"/>
        </w:rPr>
        <w:t>的灵活可视化能力，整合华为云各服务的数据源，构建面向不同角色的定制化监控视图。运维团队可创建</w:t>
      </w:r>
      <w:r w:rsidRPr="00AD0F58">
        <w:rPr>
          <w:rFonts w:ascii="Segoe UI" w:hAnsi="Segoe UI" w:cs="Segoe UI"/>
          <w:color w:val="000000"/>
        </w:rPr>
        <w:t>“</w:t>
      </w:r>
      <w:r w:rsidRPr="00AD0F58">
        <w:rPr>
          <w:rFonts w:ascii="Segoe UI" w:hAnsi="Segoe UI" w:cs="Segoe UI"/>
          <w:color w:val="000000"/>
        </w:rPr>
        <w:t>基础设施监控看板</w:t>
      </w:r>
      <w:r w:rsidRPr="00AD0F58">
        <w:rPr>
          <w:rFonts w:ascii="Segoe UI" w:hAnsi="Segoe UI" w:cs="Segoe UI"/>
          <w:color w:val="000000"/>
        </w:rPr>
        <w:t>”</w:t>
      </w:r>
      <w:r w:rsidRPr="00AD0F58">
        <w:rPr>
          <w:rFonts w:ascii="Segoe UI" w:hAnsi="Segoe UI" w:cs="Segoe UI"/>
          <w:color w:val="000000"/>
        </w:rPr>
        <w:t>，集中展示</w:t>
      </w:r>
      <w:r w:rsidRPr="00AD0F58">
        <w:rPr>
          <w:rFonts w:ascii="Segoe UI" w:hAnsi="Segoe UI" w:cs="Segoe UI"/>
          <w:color w:val="000000"/>
        </w:rPr>
        <w:t>ECS</w:t>
      </w:r>
      <w:r w:rsidRPr="00AD0F58">
        <w:rPr>
          <w:rFonts w:ascii="Segoe UI" w:hAnsi="Segoe UI" w:cs="Segoe UI"/>
          <w:color w:val="000000"/>
        </w:rPr>
        <w:t>资源利用率、网络流量、存储容量等指标，通过折线图、仪表盘等组件实时监控资源水位；开发团队则可定制</w:t>
      </w:r>
      <w:r w:rsidRPr="00AD0F58">
        <w:rPr>
          <w:rFonts w:ascii="Segoe UI" w:hAnsi="Segoe UI" w:cs="Segoe UI"/>
          <w:color w:val="000000"/>
        </w:rPr>
        <w:t>“</w:t>
      </w:r>
      <w:r w:rsidRPr="00AD0F58">
        <w:rPr>
          <w:rFonts w:ascii="Segoe UI" w:hAnsi="Segoe UI" w:cs="Segoe UI"/>
          <w:color w:val="000000"/>
        </w:rPr>
        <w:t>应用性能看板</w:t>
      </w:r>
      <w:r w:rsidRPr="00AD0F58">
        <w:rPr>
          <w:rFonts w:ascii="Segoe UI" w:hAnsi="Segoe UI" w:cs="Segoe UI"/>
          <w:color w:val="000000"/>
        </w:rPr>
        <w:t>”</w:t>
      </w:r>
      <w:r w:rsidRPr="00AD0F58">
        <w:rPr>
          <w:rFonts w:ascii="Segoe UI" w:hAnsi="Segoe UI" w:cs="Segoe UI"/>
          <w:color w:val="000000"/>
        </w:rPr>
        <w:t>，直观呈现微服务调用成功率、响应时间、异常分布等，结合热力图展示服务间调用关系；业务团队可获取</w:t>
      </w:r>
      <w:r w:rsidRPr="00AD0F58">
        <w:rPr>
          <w:rFonts w:ascii="Segoe UI" w:hAnsi="Segoe UI" w:cs="Segoe UI"/>
          <w:color w:val="000000"/>
        </w:rPr>
        <w:t>“</w:t>
      </w:r>
      <w:r w:rsidRPr="00AD0F58">
        <w:rPr>
          <w:rFonts w:ascii="Segoe UI" w:hAnsi="Segoe UI" w:cs="Segoe UI"/>
          <w:color w:val="000000"/>
        </w:rPr>
        <w:t>业务指标看板</w:t>
      </w:r>
      <w:r w:rsidRPr="00AD0F58">
        <w:rPr>
          <w:rFonts w:ascii="Segoe UI" w:hAnsi="Segoe UI" w:cs="Segoe UI"/>
          <w:color w:val="000000"/>
        </w:rPr>
        <w:t>”</w:t>
      </w:r>
      <w:r w:rsidRPr="00AD0F58">
        <w:rPr>
          <w:rFonts w:ascii="Segoe UI" w:hAnsi="Segoe UI" w:cs="Segoe UI"/>
          <w:color w:val="000000"/>
        </w:rPr>
        <w:t>，追踪订单量、用户活跃度、转化率等关键业务数据，实现技术与业务指标的联动分析。</w:t>
      </w:r>
    </w:p>
    <w:p w14:paraId="4732B98D" w14:textId="67C9FEE4"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color w:val="000000"/>
        </w:rPr>
        <w:lastRenderedPageBreak/>
        <w:t>Grafana</w:t>
      </w:r>
      <w:r w:rsidRPr="00AD0F58">
        <w:rPr>
          <w:rFonts w:ascii="Segoe UI" w:hAnsi="Segoe UI" w:cs="Segoe UI"/>
          <w:color w:val="000000"/>
        </w:rPr>
        <w:t>看板支持跨数据源查询，例如同时展示</w:t>
      </w:r>
      <w:r w:rsidRPr="00AD0F58">
        <w:rPr>
          <w:rFonts w:ascii="Segoe UI" w:hAnsi="Segoe UI" w:cs="Segoe UI"/>
          <w:color w:val="000000"/>
        </w:rPr>
        <w:t>CES</w:t>
      </w:r>
      <w:r w:rsidRPr="00AD0F58">
        <w:rPr>
          <w:rFonts w:ascii="Segoe UI" w:hAnsi="Segoe UI" w:cs="Segoe UI"/>
          <w:color w:val="000000"/>
        </w:rPr>
        <w:t>的基础设施指标、</w:t>
      </w:r>
      <w:r w:rsidRPr="00AD0F58">
        <w:rPr>
          <w:rFonts w:ascii="Segoe UI" w:hAnsi="Segoe UI" w:cs="Segoe UI"/>
          <w:color w:val="000000"/>
        </w:rPr>
        <w:t>ARMS</w:t>
      </w:r>
      <w:r w:rsidRPr="00AD0F58">
        <w:rPr>
          <w:rFonts w:ascii="Segoe UI" w:hAnsi="Segoe UI" w:cs="Segoe UI"/>
          <w:color w:val="000000"/>
        </w:rPr>
        <w:t>的链路耗时、</w:t>
      </w:r>
      <w:proofErr w:type="spellStart"/>
      <w:r w:rsidRPr="00AD0F58">
        <w:rPr>
          <w:rFonts w:ascii="Segoe UI" w:hAnsi="Segoe UI" w:cs="Segoe UI"/>
          <w:color w:val="000000"/>
        </w:rPr>
        <w:t>LogTank</w:t>
      </w:r>
      <w:proofErr w:type="spellEnd"/>
      <w:r w:rsidRPr="00AD0F58">
        <w:rPr>
          <w:rFonts w:ascii="Segoe UI" w:hAnsi="Segoe UI" w:cs="Segoe UI"/>
          <w:color w:val="000000"/>
        </w:rPr>
        <w:t>的日志统计，形成综合监控视图。告警阈值可直接在看板中配置，当指标超过阈值时，看板对应组件自动高亮预警，例如</w:t>
      </w:r>
      <w:r w:rsidRPr="00AD0F58">
        <w:rPr>
          <w:rFonts w:ascii="Segoe UI" w:hAnsi="Segoe UI" w:cs="Segoe UI"/>
          <w:color w:val="000000"/>
        </w:rPr>
        <w:t>ECSCPU</w:t>
      </w:r>
      <w:r w:rsidRPr="00AD0F58">
        <w:rPr>
          <w:rFonts w:ascii="Segoe UI" w:hAnsi="Segoe UI" w:cs="Segoe UI"/>
          <w:color w:val="000000"/>
        </w:rPr>
        <w:t>利用率超过</w:t>
      </w:r>
      <w:r w:rsidRPr="00AD0F58">
        <w:rPr>
          <w:rFonts w:ascii="Segoe UI" w:hAnsi="Segoe UI" w:cs="Segoe UI"/>
          <w:color w:val="000000"/>
        </w:rPr>
        <w:t>80%</w:t>
      </w:r>
      <w:r w:rsidRPr="00AD0F58">
        <w:rPr>
          <w:rFonts w:ascii="Segoe UI" w:hAnsi="Segoe UI" w:cs="Segoe UI"/>
          <w:color w:val="000000"/>
        </w:rPr>
        <w:t>时，仪表盘变为红色并触发告警。此外，看板支持模板导入导出，企业可基于行业最佳实践快速部署标准化监控视图，提升运维效率。</w:t>
      </w:r>
    </w:p>
    <w:p w14:paraId="00053DC7" w14:textId="3C92ADEF" w:rsidR="00AD0F58" w:rsidRPr="00AD0F58" w:rsidRDefault="00AD0F58" w:rsidP="00AD0F58">
      <w:pPr>
        <w:pStyle w:val="6"/>
        <w:rPr>
          <w:rFonts w:hint="eastAsia"/>
        </w:rPr>
      </w:pPr>
      <w:r w:rsidRPr="00AD0F58">
        <w:rPr>
          <w:rFonts w:hint="eastAsia"/>
        </w:rPr>
        <w:t>事件告警与故障定位机制</w:t>
      </w:r>
    </w:p>
    <w:p w14:paraId="641FAFD1" w14:textId="4004BA19"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事件告警体系结合指标阈值、日志模式与链路异常，构建多维度的告警触发规则。华为云监控服务（</w:t>
      </w:r>
      <w:r w:rsidRPr="00AD0F58">
        <w:rPr>
          <w:rFonts w:ascii="Segoe UI" w:hAnsi="Segoe UI" w:cs="Segoe UI"/>
          <w:color w:val="000000"/>
        </w:rPr>
        <w:t>CES</w:t>
      </w:r>
      <w:r w:rsidRPr="00AD0F58">
        <w:rPr>
          <w:rFonts w:ascii="Segoe UI" w:hAnsi="Segoe UI" w:cs="Segoe UI"/>
          <w:color w:val="000000"/>
        </w:rPr>
        <w:t>）支持基于指标的动态阈值告警，例如当某</w:t>
      </w:r>
      <w:r w:rsidRPr="00AD0F58">
        <w:rPr>
          <w:rFonts w:ascii="Segoe UI" w:hAnsi="Segoe UI" w:cs="Segoe UI"/>
          <w:color w:val="000000"/>
        </w:rPr>
        <w:t>ECS</w:t>
      </w:r>
      <w:r w:rsidRPr="00AD0F58">
        <w:rPr>
          <w:rFonts w:ascii="Segoe UI" w:hAnsi="Segoe UI" w:cs="Segoe UI"/>
          <w:color w:val="000000"/>
        </w:rPr>
        <w:t>的</w:t>
      </w:r>
      <w:r w:rsidRPr="00AD0F58">
        <w:rPr>
          <w:rFonts w:ascii="Segoe UI" w:hAnsi="Segoe UI" w:cs="Segoe UI"/>
          <w:color w:val="000000"/>
        </w:rPr>
        <w:t>CPU</w:t>
      </w:r>
      <w:r w:rsidRPr="00AD0F58">
        <w:rPr>
          <w:rFonts w:ascii="Segoe UI" w:hAnsi="Segoe UI" w:cs="Segoe UI"/>
          <w:color w:val="000000"/>
        </w:rPr>
        <w:t>利用率连续</w:t>
      </w:r>
      <w:r w:rsidRPr="00AD0F58">
        <w:rPr>
          <w:rFonts w:ascii="Segoe UI" w:hAnsi="Segoe UI" w:cs="Segoe UI"/>
          <w:color w:val="000000"/>
        </w:rPr>
        <w:t>5</w:t>
      </w:r>
      <w:r w:rsidRPr="00AD0F58">
        <w:rPr>
          <w:rFonts w:ascii="Segoe UI" w:hAnsi="Segoe UI" w:cs="Segoe UI"/>
          <w:color w:val="000000"/>
        </w:rPr>
        <w:t>分钟超过</w:t>
      </w:r>
      <w:r w:rsidRPr="00AD0F58">
        <w:rPr>
          <w:rFonts w:ascii="Segoe UI" w:hAnsi="Segoe UI" w:cs="Segoe UI"/>
          <w:color w:val="000000"/>
        </w:rPr>
        <w:t>70%</w:t>
      </w:r>
      <w:r w:rsidRPr="00AD0F58">
        <w:rPr>
          <w:rFonts w:ascii="Segoe UI" w:hAnsi="Segoe UI" w:cs="Segoe UI"/>
          <w:color w:val="000000"/>
        </w:rPr>
        <w:t>时触发告警；</w:t>
      </w:r>
      <w:proofErr w:type="spellStart"/>
      <w:r w:rsidRPr="00AD0F58">
        <w:rPr>
          <w:rFonts w:ascii="Segoe UI" w:hAnsi="Segoe UI" w:cs="Segoe UI"/>
          <w:color w:val="000000"/>
        </w:rPr>
        <w:t>LogTank</w:t>
      </w:r>
      <w:proofErr w:type="spellEnd"/>
      <w:r w:rsidRPr="00AD0F58">
        <w:rPr>
          <w:rFonts w:ascii="Segoe UI" w:hAnsi="Segoe UI" w:cs="Segoe UI"/>
          <w:color w:val="000000"/>
        </w:rPr>
        <w:t>日志服务可通过正则表达式匹配异常日志（如</w:t>
      </w:r>
      <w:r w:rsidRPr="00AD0F58">
        <w:rPr>
          <w:rFonts w:ascii="Segoe UI" w:hAnsi="Segoe UI" w:cs="Segoe UI"/>
          <w:color w:val="000000"/>
        </w:rPr>
        <w:t>“SQL</w:t>
      </w:r>
      <w:r w:rsidRPr="00AD0F58">
        <w:rPr>
          <w:rFonts w:ascii="Segoe UI" w:hAnsi="Segoe UI" w:cs="Segoe UI"/>
          <w:color w:val="000000"/>
        </w:rPr>
        <w:t>注入</w:t>
      </w:r>
      <w:r w:rsidRPr="00AD0F58">
        <w:rPr>
          <w:rFonts w:ascii="Segoe UI" w:hAnsi="Segoe UI" w:cs="Segoe UI"/>
          <w:color w:val="000000"/>
        </w:rPr>
        <w:t>”“</w:t>
      </w:r>
      <w:proofErr w:type="spellStart"/>
      <w:r w:rsidRPr="00AD0F58">
        <w:rPr>
          <w:rFonts w:ascii="Segoe UI" w:hAnsi="Segoe UI" w:cs="Segoe UI"/>
          <w:color w:val="000000"/>
        </w:rPr>
        <w:t>OutofMemory</w:t>
      </w:r>
      <w:proofErr w:type="spellEnd"/>
      <w:r w:rsidRPr="00AD0F58">
        <w:rPr>
          <w:rFonts w:ascii="Segoe UI" w:hAnsi="Segoe UI" w:cs="Segoe UI"/>
          <w:color w:val="000000"/>
        </w:rPr>
        <w:t>”</w:t>
      </w:r>
      <w:r w:rsidRPr="00AD0F58">
        <w:rPr>
          <w:rFonts w:ascii="Segoe UI" w:hAnsi="Segoe UI" w:cs="Segoe UI"/>
          <w:color w:val="000000"/>
        </w:rPr>
        <w:t>），实时生成告警事件；</w:t>
      </w:r>
      <w:r w:rsidRPr="00AD0F58">
        <w:rPr>
          <w:rFonts w:ascii="Segoe UI" w:hAnsi="Segoe UI" w:cs="Segoe UI"/>
          <w:color w:val="000000"/>
        </w:rPr>
        <w:t>ARMS</w:t>
      </w:r>
      <w:r w:rsidRPr="00AD0F58">
        <w:rPr>
          <w:rFonts w:ascii="Segoe UI" w:hAnsi="Segoe UI" w:cs="Segoe UI"/>
          <w:color w:val="000000"/>
        </w:rPr>
        <w:t>则可检测链路中的超时、异常调用，自动触发应用层告警。</w:t>
      </w:r>
    </w:p>
    <w:p w14:paraId="2EA8CB6E" w14:textId="5CAF51EA"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响应遵循分级机制：高危告警（如核心数据库连接中断）通过短信、电话实时通知核心运维人员，中危告警（如服务响应时间波动）发送至运维钉钉群，低危告警（如非核心服务日志异常）则记录至工单系统。华为云告警中心支持告警聚合与去重，避免同类告警刷屏，例如将同一可用区内多台</w:t>
      </w:r>
      <w:r w:rsidRPr="00AD0F58">
        <w:rPr>
          <w:rFonts w:ascii="Segoe UI" w:hAnsi="Segoe UI" w:cs="Segoe UI"/>
          <w:color w:val="000000"/>
        </w:rPr>
        <w:t>ECS</w:t>
      </w:r>
      <w:r w:rsidRPr="00AD0F58">
        <w:rPr>
          <w:rFonts w:ascii="Segoe UI" w:hAnsi="Segoe UI" w:cs="Segoe UI"/>
          <w:color w:val="000000"/>
        </w:rPr>
        <w:t>的网络异常告警合并为</w:t>
      </w:r>
      <w:r w:rsidRPr="00AD0F58">
        <w:rPr>
          <w:rFonts w:ascii="Segoe UI" w:hAnsi="Segoe UI" w:cs="Segoe UI"/>
          <w:color w:val="000000"/>
        </w:rPr>
        <w:t>“</w:t>
      </w:r>
      <w:r w:rsidRPr="00AD0F58">
        <w:rPr>
          <w:rFonts w:ascii="Segoe UI" w:hAnsi="Segoe UI" w:cs="Segoe UI"/>
          <w:color w:val="000000"/>
        </w:rPr>
        <w:t>区域网络波动</w:t>
      </w:r>
      <w:r w:rsidRPr="00AD0F58">
        <w:rPr>
          <w:rFonts w:ascii="Segoe UI" w:hAnsi="Segoe UI" w:cs="Segoe UI"/>
          <w:color w:val="000000"/>
        </w:rPr>
        <w:t>”</w:t>
      </w:r>
      <w:r w:rsidRPr="00AD0F58">
        <w:rPr>
          <w:rFonts w:ascii="Segoe UI" w:hAnsi="Segoe UI" w:cs="Segoe UI"/>
          <w:color w:val="000000"/>
        </w:rPr>
        <w:t>事件，提升告警可读性。</w:t>
      </w:r>
    </w:p>
    <w:p w14:paraId="1C910EE2" w14:textId="3B7C2FA8"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故障定位机制依托</w:t>
      </w:r>
      <w:r w:rsidRPr="00AD0F58">
        <w:rPr>
          <w:rFonts w:ascii="Segoe UI" w:hAnsi="Segoe UI" w:cs="Segoe UI"/>
          <w:color w:val="000000"/>
        </w:rPr>
        <w:t>“</w:t>
      </w:r>
      <w:r w:rsidRPr="00AD0F58">
        <w:rPr>
          <w:rFonts w:ascii="Segoe UI" w:hAnsi="Segoe UI" w:cs="Segoe UI"/>
          <w:color w:val="000000"/>
        </w:rPr>
        <w:t>指标</w:t>
      </w:r>
      <w:r w:rsidRPr="00AD0F58">
        <w:rPr>
          <w:rFonts w:ascii="Segoe UI" w:hAnsi="Segoe UI" w:cs="Segoe UI"/>
          <w:color w:val="000000"/>
        </w:rPr>
        <w:t>-</w:t>
      </w:r>
      <w:r w:rsidRPr="00AD0F58">
        <w:rPr>
          <w:rFonts w:ascii="Segoe UI" w:hAnsi="Segoe UI" w:cs="Segoe UI"/>
          <w:color w:val="000000"/>
        </w:rPr>
        <w:t>链路</w:t>
      </w:r>
      <w:r w:rsidRPr="00AD0F58">
        <w:rPr>
          <w:rFonts w:ascii="Segoe UI" w:hAnsi="Segoe UI" w:cs="Segoe UI"/>
          <w:color w:val="000000"/>
        </w:rPr>
        <w:t>-</w:t>
      </w:r>
      <w:r w:rsidRPr="00AD0F58">
        <w:rPr>
          <w:rFonts w:ascii="Segoe UI" w:hAnsi="Segoe UI" w:cs="Segoe UI"/>
          <w:color w:val="000000"/>
        </w:rPr>
        <w:t>日志</w:t>
      </w:r>
      <w:r w:rsidRPr="00AD0F58">
        <w:rPr>
          <w:rFonts w:ascii="Segoe UI" w:hAnsi="Segoe UI" w:cs="Segoe UI"/>
          <w:color w:val="000000"/>
        </w:rPr>
        <w:t>”</w:t>
      </w:r>
      <w:r w:rsidRPr="00AD0F58">
        <w:rPr>
          <w:rFonts w:ascii="Segoe UI" w:hAnsi="Segoe UI" w:cs="Segoe UI"/>
          <w:color w:val="000000"/>
        </w:rPr>
        <w:t>的关联分析能力：当告警触发时，系统自动调取相关指标趋势、调用链路与日志记录，生成故障分析报告。例如，某</w:t>
      </w:r>
      <w:r w:rsidRPr="00AD0F58">
        <w:rPr>
          <w:rFonts w:ascii="Segoe UI" w:hAnsi="Segoe UI" w:cs="Segoe UI"/>
          <w:color w:val="000000"/>
        </w:rPr>
        <w:t>API</w:t>
      </w:r>
      <w:r w:rsidRPr="00AD0F58">
        <w:rPr>
          <w:rFonts w:ascii="Segoe UI" w:hAnsi="Segoe UI" w:cs="Segoe UI"/>
          <w:color w:val="000000"/>
        </w:rPr>
        <w:t>响应时间突增告警触发后，系统会展示该</w:t>
      </w:r>
      <w:r w:rsidRPr="00AD0F58">
        <w:rPr>
          <w:rFonts w:ascii="Segoe UI" w:hAnsi="Segoe UI" w:cs="Segoe UI"/>
          <w:color w:val="000000"/>
        </w:rPr>
        <w:t>API</w:t>
      </w:r>
      <w:r w:rsidRPr="00AD0F58">
        <w:rPr>
          <w:rFonts w:ascii="Segoe UI" w:hAnsi="Segoe UI" w:cs="Segoe UI"/>
          <w:color w:val="000000"/>
        </w:rPr>
        <w:t>的调用链耗时分布，定位到具体微服务节点，并关联该节点的</w:t>
      </w:r>
      <w:r w:rsidRPr="00AD0F58">
        <w:rPr>
          <w:rFonts w:ascii="Segoe UI" w:hAnsi="Segoe UI" w:cs="Segoe UI"/>
          <w:color w:val="000000"/>
        </w:rPr>
        <w:t>CPU/</w:t>
      </w:r>
      <w:r w:rsidRPr="00AD0F58">
        <w:rPr>
          <w:rFonts w:ascii="Segoe UI" w:hAnsi="Segoe UI" w:cs="Segoe UI"/>
          <w:color w:val="000000"/>
        </w:rPr>
        <w:t>内存指标及错误日志，形成</w:t>
      </w:r>
      <w:r w:rsidRPr="00AD0F58">
        <w:rPr>
          <w:rFonts w:ascii="Segoe UI" w:hAnsi="Segoe UI" w:cs="Segoe UI"/>
          <w:color w:val="000000"/>
        </w:rPr>
        <w:t>“</w:t>
      </w:r>
      <w:r w:rsidRPr="00AD0F58">
        <w:rPr>
          <w:rFonts w:ascii="Segoe UI" w:hAnsi="Segoe UI" w:cs="Segoe UI"/>
          <w:color w:val="000000"/>
        </w:rPr>
        <w:t>异常现象</w:t>
      </w:r>
      <w:r w:rsidRPr="00AD0F58">
        <w:rPr>
          <w:rFonts w:ascii="Segoe UI" w:hAnsi="Segoe UI" w:cs="Segoe UI"/>
          <w:color w:val="000000"/>
        </w:rPr>
        <w:t>-</w:t>
      </w:r>
      <w:r w:rsidRPr="00AD0F58">
        <w:rPr>
          <w:rFonts w:ascii="Segoe UI" w:hAnsi="Segoe UI" w:cs="Segoe UI"/>
          <w:color w:val="000000"/>
        </w:rPr>
        <w:t>影响范围</w:t>
      </w:r>
      <w:r w:rsidRPr="00AD0F58">
        <w:rPr>
          <w:rFonts w:ascii="Segoe UI" w:hAnsi="Segoe UI" w:cs="Segoe UI"/>
          <w:color w:val="000000"/>
        </w:rPr>
        <w:t>-</w:t>
      </w:r>
      <w:r w:rsidRPr="00AD0F58">
        <w:rPr>
          <w:rFonts w:ascii="Segoe UI" w:hAnsi="Segoe UI" w:cs="Segoe UI"/>
          <w:color w:val="000000"/>
        </w:rPr>
        <w:t>根因推测</w:t>
      </w:r>
      <w:r w:rsidRPr="00AD0F58">
        <w:rPr>
          <w:rFonts w:ascii="Segoe UI" w:hAnsi="Segoe UI" w:cs="Segoe UI"/>
          <w:color w:val="000000"/>
        </w:rPr>
        <w:t>”</w:t>
      </w:r>
      <w:r w:rsidRPr="00AD0F58">
        <w:rPr>
          <w:rFonts w:ascii="Segoe UI" w:hAnsi="Segoe UI" w:cs="Segoe UI"/>
          <w:color w:val="000000"/>
        </w:rPr>
        <w:t>的完整分析链，将传统需要数小时的故障排查缩短至分钟级。此外，结合华为云配置审计与操作日志，可追溯故障发生前的配置变更或人为操作，进一步提升定位效率。</w:t>
      </w:r>
    </w:p>
    <w:p w14:paraId="0DEFA03F" w14:textId="073723D1" w:rsidR="008B6551"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该可观测性体系通过华为云</w:t>
      </w:r>
      <w:r w:rsidRPr="00AD0F58">
        <w:rPr>
          <w:rFonts w:ascii="Segoe UI" w:hAnsi="Segoe UI" w:cs="Segoe UI"/>
          <w:color w:val="000000"/>
        </w:rPr>
        <w:t>CES</w:t>
      </w:r>
      <w:r w:rsidRPr="00AD0F58">
        <w:rPr>
          <w:rFonts w:ascii="Segoe UI" w:hAnsi="Segoe UI" w:cs="Segoe UI"/>
          <w:color w:val="000000"/>
        </w:rPr>
        <w:t>、</w:t>
      </w:r>
      <w:r w:rsidRPr="00AD0F58">
        <w:rPr>
          <w:rFonts w:ascii="Segoe UI" w:hAnsi="Segoe UI" w:cs="Segoe UI"/>
          <w:color w:val="000000"/>
        </w:rPr>
        <w:t>ARMS</w:t>
      </w:r>
      <w:r w:rsidRPr="00AD0F58">
        <w:rPr>
          <w:rFonts w:ascii="Segoe UI" w:hAnsi="Segoe UI" w:cs="Segoe UI"/>
          <w:color w:val="000000"/>
        </w:rPr>
        <w:t>、</w:t>
      </w:r>
      <w:proofErr w:type="spellStart"/>
      <w:r w:rsidRPr="00AD0F58">
        <w:rPr>
          <w:rFonts w:ascii="Segoe UI" w:hAnsi="Segoe UI" w:cs="Segoe UI"/>
          <w:color w:val="000000"/>
        </w:rPr>
        <w:t>LogTank</w:t>
      </w:r>
      <w:proofErr w:type="spellEnd"/>
      <w:r w:rsidRPr="00AD0F58">
        <w:rPr>
          <w:rFonts w:ascii="Segoe UI" w:hAnsi="Segoe UI" w:cs="Segoe UI"/>
          <w:color w:val="000000"/>
        </w:rPr>
        <w:t>等组件的深度协同，实现了混合云环境下</w:t>
      </w:r>
      <w:r w:rsidRPr="00AD0F58">
        <w:rPr>
          <w:rFonts w:ascii="Segoe UI" w:hAnsi="Segoe UI" w:cs="Segoe UI"/>
          <w:color w:val="000000"/>
        </w:rPr>
        <w:t>“</w:t>
      </w:r>
      <w:r w:rsidRPr="00AD0F58">
        <w:rPr>
          <w:rFonts w:ascii="Segoe UI" w:hAnsi="Segoe UI" w:cs="Segoe UI"/>
          <w:color w:val="000000"/>
        </w:rPr>
        <w:t>监控</w:t>
      </w:r>
      <w:r w:rsidRPr="00AD0F58">
        <w:rPr>
          <w:rFonts w:ascii="Segoe UI" w:hAnsi="Segoe UI" w:cs="Segoe UI"/>
          <w:color w:val="000000"/>
        </w:rPr>
        <w:t>-</w:t>
      </w:r>
      <w:r w:rsidRPr="00AD0F58">
        <w:rPr>
          <w:rFonts w:ascii="Segoe UI" w:hAnsi="Segoe UI" w:cs="Segoe UI"/>
          <w:color w:val="000000"/>
        </w:rPr>
        <w:t>分析</w:t>
      </w:r>
      <w:r w:rsidRPr="00AD0F58">
        <w:rPr>
          <w:rFonts w:ascii="Segoe UI" w:hAnsi="Segoe UI" w:cs="Segoe UI"/>
          <w:color w:val="000000"/>
        </w:rPr>
        <w:t>-</w:t>
      </w:r>
      <w:r w:rsidRPr="00AD0F58">
        <w:rPr>
          <w:rFonts w:ascii="Segoe UI" w:hAnsi="Segoe UI" w:cs="Segoe UI"/>
          <w:color w:val="000000"/>
        </w:rPr>
        <w:t>告警</w:t>
      </w:r>
      <w:r w:rsidRPr="00AD0F58">
        <w:rPr>
          <w:rFonts w:ascii="Segoe UI" w:hAnsi="Segoe UI" w:cs="Segoe UI"/>
          <w:color w:val="000000"/>
        </w:rPr>
        <w:t>-</w:t>
      </w:r>
      <w:r w:rsidRPr="00AD0F58">
        <w:rPr>
          <w:rFonts w:ascii="Segoe UI" w:hAnsi="Segoe UI" w:cs="Segoe UI"/>
          <w:color w:val="000000"/>
        </w:rPr>
        <w:t>定位</w:t>
      </w:r>
      <w:r w:rsidRPr="00AD0F58">
        <w:rPr>
          <w:rFonts w:ascii="Segoe UI" w:hAnsi="Segoe UI" w:cs="Segoe UI"/>
          <w:color w:val="000000"/>
        </w:rPr>
        <w:t>”</w:t>
      </w:r>
      <w:r w:rsidRPr="00AD0F58">
        <w:rPr>
          <w:rFonts w:ascii="Segoe UI" w:hAnsi="Segoe UI" w:cs="Segoe UI"/>
          <w:color w:val="000000"/>
        </w:rPr>
        <w:t>的闭环管理，为企业数字化转型提供了坚实的运维保障。例如，某金融企业通过该体系实时监控核心交易系统，在某次区域性网络波动中，系统通过链路追踪快速定位到跨</w:t>
      </w:r>
      <w:r w:rsidRPr="00AD0F58">
        <w:rPr>
          <w:rFonts w:ascii="Segoe UI" w:hAnsi="Segoe UI" w:cs="Segoe UI"/>
          <w:color w:val="000000"/>
        </w:rPr>
        <w:t>Region</w:t>
      </w:r>
      <w:r w:rsidRPr="00AD0F58">
        <w:rPr>
          <w:rFonts w:ascii="Segoe UI" w:hAnsi="Segoe UI" w:cs="Segoe UI"/>
          <w:color w:val="000000"/>
        </w:rPr>
        <w:t>调用延迟问题，结合监控看板的流量趋势分析，提前将流量切换至本地集群，避免了服务中断，体现了可观测性体系在保障业务连续性中的关键价值。</w:t>
      </w:r>
    </w:p>
    <w:p w14:paraId="3CE34556" w14:textId="52E6A30E" w:rsidR="008B6551" w:rsidRDefault="008B6551" w:rsidP="001F4BFA">
      <w:pPr>
        <w:pStyle w:val="4"/>
        <w:shd w:val="clear" w:color="auto" w:fill="F9FAFB"/>
        <w:rPr>
          <w:rFonts w:ascii="Segoe UI" w:hAnsi="Segoe UI" w:cs="Segoe UI"/>
          <w:color w:val="000000"/>
        </w:rPr>
      </w:pPr>
      <w:r>
        <w:rPr>
          <w:rFonts w:ascii="Segoe UI" w:hAnsi="Segoe UI" w:cs="Segoe UI"/>
          <w:color w:val="000000"/>
        </w:rPr>
        <w:t>安全防护体系设计</w:t>
      </w:r>
    </w:p>
    <w:p w14:paraId="75E7D3C6" w14:textId="750A267A" w:rsidR="008B6551" w:rsidRDefault="008B6551" w:rsidP="001F4BFA">
      <w:pPr>
        <w:pStyle w:val="5"/>
        <w:shd w:val="clear" w:color="auto" w:fill="F9FAFB"/>
        <w:rPr>
          <w:rFonts w:ascii="Segoe UI" w:hAnsi="Segoe UI" w:cs="Segoe UI"/>
          <w:color w:val="000000"/>
        </w:rPr>
      </w:pPr>
      <w:r>
        <w:rPr>
          <w:rFonts w:ascii="Segoe UI" w:hAnsi="Segoe UI" w:cs="Segoe UI"/>
          <w:color w:val="000000"/>
        </w:rPr>
        <w:t>云安全基础架构</w:t>
      </w:r>
    </w:p>
    <w:p w14:paraId="13A5A758" w14:textId="70120966" w:rsidR="00073A51" w:rsidRPr="00073A51" w:rsidRDefault="00073A51" w:rsidP="00073A51">
      <w:pPr>
        <w:pStyle w:val="6"/>
        <w:rPr>
          <w:rFonts w:hint="eastAsia"/>
        </w:rPr>
      </w:pPr>
      <w:r w:rsidRPr="00073A51">
        <w:rPr>
          <w:rFonts w:hint="eastAsia"/>
        </w:rPr>
        <w:t>物理与虚拟化安全</w:t>
      </w:r>
    </w:p>
    <w:p w14:paraId="55118F58" w14:textId="7EBD0CF3"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华为云的物理安全体系以数据中心为核心，构建多层级防护屏障。数据中心选址遵循严苛标准，避开地震带、洪涝区等高危区域，并采用全封闭园区设计，通过生物识别门禁（指</w:t>
      </w:r>
      <w:r w:rsidRPr="00073A51">
        <w:rPr>
          <w:rFonts w:ascii="Segoe UI" w:hAnsi="Segoe UI" w:cs="Segoe UI" w:hint="eastAsia"/>
          <w:color w:val="000000"/>
        </w:rPr>
        <w:lastRenderedPageBreak/>
        <w:t>纹</w:t>
      </w:r>
      <w:r w:rsidRPr="00073A51">
        <w:rPr>
          <w:rFonts w:ascii="Segoe UI" w:hAnsi="Segoe UI" w:cs="Segoe UI"/>
          <w:color w:val="000000"/>
        </w:rPr>
        <w:t>+</w:t>
      </w:r>
      <w:r w:rsidRPr="00073A51">
        <w:rPr>
          <w:rFonts w:ascii="Segoe UI" w:hAnsi="Segoe UI" w:cs="Segoe UI"/>
          <w:color w:val="000000"/>
        </w:rPr>
        <w:t>人脸识别）、</w:t>
      </w:r>
      <w:r w:rsidRPr="00073A51">
        <w:rPr>
          <w:rFonts w:ascii="Segoe UI" w:hAnsi="Segoe UI" w:cs="Segoe UI"/>
          <w:color w:val="000000"/>
        </w:rPr>
        <w:t>24</w:t>
      </w:r>
      <w:r w:rsidRPr="00073A51">
        <w:rPr>
          <w:rFonts w:ascii="Segoe UI" w:hAnsi="Segoe UI" w:cs="Segoe UI"/>
          <w:color w:val="000000"/>
        </w:rPr>
        <w:t>小时红外监控及周界防护系统，实现物理访问的严格控制。内部基础设施采用模块化部署，电力系统配置双路市电</w:t>
      </w:r>
      <w:r w:rsidRPr="00073A51">
        <w:rPr>
          <w:rFonts w:ascii="Segoe UI" w:hAnsi="Segoe UI" w:cs="Segoe UI"/>
          <w:color w:val="000000"/>
        </w:rPr>
        <w:t>+</w:t>
      </w:r>
      <w:r w:rsidRPr="00073A51">
        <w:rPr>
          <w:rFonts w:ascii="Segoe UI" w:hAnsi="Segoe UI" w:cs="Segoe UI"/>
          <w:color w:val="000000"/>
        </w:rPr>
        <w:t>柴油发电机</w:t>
      </w:r>
      <w:r w:rsidRPr="00073A51">
        <w:rPr>
          <w:rFonts w:ascii="Segoe UI" w:hAnsi="Segoe UI" w:cs="Segoe UI"/>
          <w:color w:val="000000"/>
        </w:rPr>
        <w:t>+UPS</w:t>
      </w:r>
      <w:r w:rsidRPr="00073A51">
        <w:rPr>
          <w:rFonts w:ascii="Segoe UI" w:hAnsi="Segoe UI" w:cs="Segoe UI"/>
          <w:color w:val="000000"/>
        </w:rPr>
        <w:t>不间断电源，网络接入支持多运营商冗余，确保硬件层面的高可用性。例如，核心数据中心均通过</w:t>
      </w:r>
      <w:r w:rsidRPr="00073A51">
        <w:rPr>
          <w:rFonts w:ascii="Segoe UI" w:hAnsi="Segoe UI" w:cs="Segoe UI"/>
          <w:color w:val="000000"/>
        </w:rPr>
        <w:t>UptimeInstituteTier4</w:t>
      </w:r>
      <w:r w:rsidRPr="00073A51">
        <w:rPr>
          <w:rFonts w:ascii="Segoe UI" w:hAnsi="Segoe UI" w:cs="Segoe UI"/>
          <w:color w:val="000000"/>
        </w:rPr>
        <w:t>认证，保障</w:t>
      </w:r>
      <w:r w:rsidRPr="00073A51">
        <w:rPr>
          <w:rFonts w:ascii="Segoe UI" w:hAnsi="Segoe UI" w:cs="Segoe UI"/>
          <w:color w:val="000000"/>
        </w:rPr>
        <w:t>99.99%</w:t>
      </w:r>
      <w:r w:rsidRPr="00073A51">
        <w:rPr>
          <w:rFonts w:ascii="Segoe UI" w:hAnsi="Segoe UI" w:cs="Segoe UI"/>
          <w:color w:val="000000"/>
        </w:rPr>
        <w:t>以上的电力和网络可用性。</w:t>
      </w:r>
    </w:p>
    <w:p w14:paraId="1DB4FB89" w14:textId="130E4B9B"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虚拟化安全层面，华为云通过自研</w:t>
      </w:r>
      <w:proofErr w:type="spellStart"/>
      <w:r w:rsidRPr="00073A51">
        <w:rPr>
          <w:rFonts w:ascii="Segoe UI" w:hAnsi="Segoe UI" w:cs="Segoe UI"/>
          <w:color w:val="000000"/>
        </w:rPr>
        <w:t>FusionSphere</w:t>
      </w:r>
      <w:proofErr w:type="spellEnd"/>
      <w:r w:rsidRPr="00073A51">
        <w:rPr>
          <w:rFonts w:ascii="Segoe UI" w:hAnsi="Segoe UI" w:cs="Segoe UI"/>
          <w:color w:val="000000"/>
        </w:rPr>
        <w:t>虚拟化平台实现计算资源的安全隔离。</w:t>
      </w:r>
      <w:r w:rsidRPr="00073A51">
        <w:rPr>
          <w:rFonts w:ascii="Segoe UI" w:hAnsi="Segoe UI" w:cs="Segoe UI"/>
          <w:color w:val="000000"/>
        </w:rPr>
        <w:t>Hypervisor</w:t>
      </w:r>
      <w:r w:rsidRPr="00073A51">
        <w:rPr>
          <w:rFonts w:ascii="Segoe UI" w:hAnsi="Segoe UI" w:cs="Segoe UI"/>
          <w:color w:val="000000"/>
        </w:rPr>
        <w:t>层经过内核加固，移除非必要服务与端口，降低攻击面；虚拟机之间通过硬件级别的</w:t>
      </w:r>
      <w:r w:rsidRPr="00073A51">
        <w:rPr>
          <w:rFonts w:ascii="Segoe UI" w:hAnsi="Segoe UI" w:cs="Segoe UI"/>
          <w:color w:val="000000"/>
        </w:rPr>
        <w:t>CPU</w:t>
      </w:r>
      <w:r w:rsidRPr="00073A51">
        <w:rPr>
          <w:rFonts w:ascii="Segoe UI" w:hAnsi="Segoe UI" w:cs="Segoe UI"/>
          <w:color w:val="000000"/>
        </w:rPr>
        <w:t>指令集（如</w:t>
      </w:r>
      <w:proofErr w:type="spellStart"/>
      <w:r w:rsidRPr="00073A51">
        <w:rPr>
          <w:rFonts w:ascii="Segoe UI" w:hAnsi="Segoe UI" w:cs="Segoe UI"/>
          <w:color w:val="000000"/>
        </w:rPr>
        <w:t>IntelVT</w:t>
      </w:r>
      <w:proofErr w:type="spellEnd"/>
      <w:r w:rsidRPr="00073A51">
        <w:rPr>
          <w:rFonts w:ascii="Segoe UI" w:hAnsi="Segoe UI" w:cs="Segoe UI"/>
          <w:color w:val="000000"/>
        </w:rPr>
        <w:t>-x/AMD-V</w:t>
      </w:r>
      <w:r w:rsidRPr="00073A51">
        <w:rPr>
          <w:rFonts w:ascii="Segoe UI" w:hAnsi="Segoe UI" w:cs="Segoe UI"/>
          <w:color w:val="000000"/>
        </w:rPr>
        <w:t>）与内存隔离技术，确保单虚拟机漏洞无法渗透至其他实例或宿主机。此外，虚拟化平台内置实时监控模块，对虚拟机的</w:t>
      </w:r>
      <w:r w:rsidRPr="00073A51">
        <w:rPr>
          <w:rFonts w:ascii="Segoe UI" w:hAnsi="Segoe UI" w:cs="Segoe UI"/>
          <w:color w:val="000000"/>
        </w:rPr>
        <w:t>CPU</w:t>
      </w:r>
      <w:r w:rsidRPr="00073A51">
        <w:rPr>
          <w:rFonts w:ascii="Segoe UI" w:hAnsi="Segoe UI" w:cs="Segoe UI"/>
          <w:color w:val="000000"/>
        </w:rPr>
        <w:t>、内存、磁盘</w:t>
      </w:r>
      <w:r w:rsidRPr="00073A51">
        <w:rPr>
          <w:rFonts w:ascii="Segoe UI" w:hAnsi="Segoe UI" w:cs="Segoe UI"/>
          <w:color w:val="000000"/>
        </w:rPr>
        <w:t>I/O</w:t>
      </w:r>
      <w:r w:rsidRPr="00073A51">
        <w:rPr>
          <w:rFonts w:ascii="Segoe UI" w:hAnsi="Segoe UI" w:cs="Segoe UI"/>
          <w:color w:val="000000"/>
        </w:rPr>
        <w:t>等资源进行细粒度监控，异常时自动触发资源隔离或迁移，例如当某虚拟机出现异常流量时，系统可自动将其迁移至隔离集群并阻断网络连接。</w:t>
      </w:r>
    </w:p>
    <w:p w14:paraId="43228512" w14:textId="67AD4398"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针对虚拟化环境的漏洞管理，华为云采用</w:t>
      </w:r>
      <w:r w:rsidRPr="00073A51">
        <w:rPr>
          <w:rFonts w:ascii="Segoe UI" w:hAnsi="Segoe UI" w:cs="Segoe UI"/>
          <w:color w:val="000000"/>
        </w:rPr>
        <w:t>“</w:t>
      </w:r>
      <w:r w:rsidRPr="00073A51">
        <w:rPr>
          <w:rFonts w:ascii="Segoe UI" w:hAnsi="Segoe UI" w:cs="Segoe UI"/>
          <w:color w:val="000000"/>
        </w:rPr>
        <w:t>主动扫描</w:t>
      </w:r>
      <w:r w:rsidRPr="00073A51">
        <w:rPr>
          <w:rFonts w:ascii="Segoe UI" w:hAnsi="Segoe UI" w:cs="Segoe UI"/>
          <w:color w:val="000000"/>
        </w:rPr>
        <w:t>+</w:t>
      </w:r>
      <w:r w:rsidRPr="00073A51">
        <w:rPr>
          <w:rFonts w:ascii="Segoe UI" w:hAnsi="Segoe UI" w:cs="Segoe UI"/>
          <w:color w:val="000000"/>
        </w:rPr>
        <w:t>自动修复</w:t>
      </w:r>
      <w:r w:rsidRPr="00073A51">
        <w:rPr>
          <w:rFonts w:ascii="Segoe UI" w:hAnsi="Segoe UI" w:cs="Segoe UI"/>
          <w:color w:val="000000"/>
        </w:rPr>
        <w:t>”</w:t>
      </w:r>
      <w:r w:rsidRPr="00073A51">
        <w:rPr>
          <w:rFonts w:ascii="Segoe UI" w:hAnsi="Segoe UI" w:cs="Segoe UI"/>
          <w:color w:val="000000"/>
        </w:rPr>
        <w:t>机制：定期对</w:t>
      </w:r>
      <w:r w:rsidRPr="00073A51">
        <w:rPr>
          <w:rFonts w:ascii="Segoe UI" w:hAnsi="Segoe UI" w:cs="Segoe UI"/>
          <w:color w:val="000000"/>
        </w:rPr>
        <w:t>hypervisor</w:t>
      </w:r>
      <w:r w:rsidRPr="00073A51">
        <w:rPr>
          <w:rFonts w:ascii="Segoe UI" w:hAnsi="Segoe UI" w:cs="Segoe UI"/>
          <w:color w:val="000000"/>
        </w:rPr>
        <w:t>、虚拟机镜像进行漏洞扫描，支持热补丁技术避免重启中断；通过安全组与网络</w:t>
      </w:r>
      <w:r w:rsidRPr="00073A51">
        <w:rPr>
          <w:rFonts w:ascii="Segoe UI" w:hAnsi="Segoe UI" w:cs="Segoe UI"/>
          <w:color w:val="000000"/>
        </w:rPr>
        <w:t>ACL</w:t>
      </w:r>
      <w:r w:rsidRPr="00073A51">
        <w:rPr>
          <w:rFonts w:ascii="Segoe UI" w:hAnsi="Segoe UI" w:cs="Segoe UI"/>
          <w:color w:val="000000"/>
        </w:rPr>
        <w:t>（访问控制列表）实现虚拟机间的网络隔离，例如生产域与开发测试域的虚拟机默认禁止互访，需通过单独的安全策略授权。数据在虚拟化层实现全生命周期加密，包括虚拟机磁盘加密、内存数据加密及迁移流量加密，确保数据在存储、计算、传输过程中的安全性。</w:t>
      </w:r>
    </w:p>
    <w:p w14:paraId="1E57D643" w14:textId="7971492C" w:rsidR="00073A51" w:rsidRPr="00073A51" w:rsidRDefault="00073A51" w:rsidP="00073A51">
      <w:pPr>
        <w:pStyle w:val="6"/>
        <w:rPr>
          <w:rFonts w:hint="eastAsia"/>
        </w:rPr>
      </w:pPr>
      <w:r w:rsidRPr="00073A51">
        <w:rPr>
          <w:rFonts w:hint="eastAsia"/>
        </w:rPr>
        <w:t>安全情报中心</w:t>
      </w:r>
    </w:p>
    <w:p w14:paraId="2AC39033" w14:textId="39523738"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华为云安全情报中心作为主动防御的核心枢纽，集成全球威胁情报网络与本地化威胁分析能力。该中心持续采集互联网公开威胁源、合作安全厂商情报及自身云平台的攻击数据，构建包含恶意</w:t>
      </w:r>
      <w:r w:rsidRPr="00073A51">
        <w:rPr>
          <w:rFonts w:ascii="Segoe UI" w:hAnsi="Segoe UI" w:cs="Segoe UI"/>
          <w:color w:val="000000"/>
        </w:rPr>
        <w:t>IP</w:t>
      </w:r>
      <w:r w:rsidRPr="00073A51">
        <w:rPr>
          <w:rFonts w:ascii="Segoe UI" w:hAnsi="Segoe UI" w:cs="Segoe UI"/>
          <w:color w:val="000000"/>
        </w:rPr>
        <w:t>库、勒索软件特征库、漏洞利用规则库等在内的多维情报数据库。例如，恶意</w:t>
      </w:r>
      <w:r w:rsidRPr="00073A51">
        <w:rPr>
          <w:rFonts w:ascii="Segoe UI" w:hAnsi="Segoe UI" w:cs="Segoe UI"/>
          <w:color w:val="000000"/>
        </w:rPr>
        <w:t>IP</w:t>
      </w:r>
      <w:r w:rsidRPr="00073A51">
        <w:rPr>
          <w:rFonts w:ascii="Segoe UI" w:hAnsi="Segoe UI" w:cs="Segoe UI"/>
          <w:color w:val="000000"/>
        </w:rPr>
        <w:t>库实时更新全球范围内的攻击源</w:t>
      </w:r>
      <w:r w:rsidRPr="00073A51">
        <w:rPr>
          <w:rFonts w:ascii="Segoe UI" w:hAnsi="Segoe UI" w:cs="Segoe UI"/>
          <w:color w:val="000000"/>
        </w:rPr>
        <w:t>IP</w:t>
      </w:r>
      <w:r w:rsidRPr="00073A51">
        <w:rPr>
          <w:rFonts w:ascii="Segoe UI" w:hAnsi="Segoe UI" w:cs="Segoe UI"/>
          <w:color w:val="000000"/>
        </w:rPr>
        <w:t>，覆盖</w:t>
      </w:r>
      <w:r w:rsidRPr="00073A51">
        <w:rPr>
          <w:rFonts w:ascii="Segoe UI" w:hAnsi="Segoe UI" w:cs="Segoe UI"/>
          <w:color w:val="000000"/>
        </w:rPr>
        <w:t>DDoS</w:t>
      </w:r>
      <w:r w:rsidRPr="00073A51">
        <w:rPr>
          <w:rFonts w:ascii="Segoe UI" w:hAnsi="Segoe UI" w:cs="Segoe UI"/>
          <w:color w:val="000000"/>
        </w:rPr>
        <w:t>攻击节点、钓鱼网站服务器及僵尸网络主控端，日均更新量达百万级。</w:t>
      </w:r>
    </w:p>
    <w:p w14:paraId="2B7FAF6C" w14:textId="4A5E2582"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情报中心通过分布式架构实现情报的实时分析与分发：边缘节点就近采集各</w:t>
      </w:r>
      <w:r w:rsidRPr="00073A51">
        <w:rPr>
          <w:rFonts w:ascii="Segoe UI" w:hAnsi="Segoe UI" w:cs="Segoe UI"/>
          <w:color w:val="000000"/>
        </w:rPr>
        <w:t>Region</w:t>
      </w:r>
      <w:r w:rsidRPr="00073A51">
        <w:rPr>
          <w:rFonts w:ascii="Segoe UI" w:hAnsi="Segoe UI" w:cs="Segoe UI"/>
          <w:color w:val="000000"/>
        </w:rPr>
        <w:t>的攻击流量，通过机器学习算法识别新型威胁模式，例如基于行为分析检测零日漏洞攻击；中央节点则整合全局情报，生成统一的威胁特征库，并同步至各云产品组件。当用户部署华为云</w:t>
      </w:r>
      <w:r w:rsidRPr="00073A51">
        <w:rPr>
          <w:rFonts w:ascii="Segoe UI" w:hAnsi="Segoe UI" w:cs="Segoe UI"/>
          <w:color w:val="000000"/>
        </w:rPr>
        <w:t>WAF</w:t>
      </w:r>
      <w:r w:rsidRPr="00073A51">
        <w:rPr>
          <w:rFonts w:ascii="Segoe UI" w:hAnsi="Segoe UI" w:cs="Segoe UI"/>
          <w:color w:val="000000"/>
        </w:rPr>
        <w:t>（</w:t>
      </w:r>
      <w:r w:rsidRPr="00073A51">
        <w:rPr>
          <w:rFonts w:ascii="Segoe UI" w:hAnsi="Segoe UI" w:cs="Segoe UI"/>
          <w:color w:val="000000"/>
        </w:rPr>
        <w:t>Web</w:t>
      </w:r>
      <w:r w:rsidRPr="00073A51">
        <w:rPr>
          <w:rFonts w:ascii="Segoe UI" w:hAnsi="Segoe UI" w:cs="Segoe UI"/>
          <w:color w:val="000000"/>
        </w:rPr>
        <w:t>应用防火墙）、</w:t>
      </w:r>
      <w:r w:rsidRPr="00073A51">
        <w:rPr>
          <w:rFonts w:ascii="Segoe UI" w:hAnsi="Segoe UI" w:cs="Segoe UI"/>
          <w:color w:val="000000"/>
        </w:rPr>
        <w:t>DDoS</w:t>
      </w:r>
      <w:r w:rsidRPr="00073A51">
        <w:rPr>
          <w:rFonts w:ascii="Segoe UI" w:hAnsi="Segoe UI" w:cs="Segoe UI"/>
          <w:color w:val="000000"/>
        </w:rPr>
        <w:t>防护等产品时，安全情报中心会自动推送最新的威胁特征，例如某恶意</w:t>
      </w:r>
      <w:r w:rsidRPr="00073A51">
        <w:rPr>
          <w:rFonts w:ascii="Segoe UI" w:hAnsi="Segoe UI" w:cs="Segoe UI"/>
          <w:color w:val="000000"/>
        </w:rPr>
        <w:t>IP</w:t>
      </w:r>
      <w:r w:rsidRPr="00073A51">
        <w:rPr>
          <w:rFonts w:ascii="Segoe UI" w:hAnsi="Segoe UI" w:cs="Segoe UI"/>
          <w:color w:val="000000"/>
        </w:rPr>
        <w:t>发起</w:t>
      </w:r>
      <w:r w:rsidRPr="00073A51">
        <w:rPr>
          <w:rFonts w:ascii="Segoe UI" w:hAnsi="Segoe UI" w:cs="Segoe UI"/>
          <w:color w:val="000000"/>
        </w:rPr>
        <w:t>SQL</w:t>
      </w:r>
      <w:r w:rsidRPr="00073A51">
        <w:rPr>
          <w:rFonts w:ascii="Segoe UI" w:hAnsi="Segoe UI" w:cs="Segoe UI"/>
          <w:color w:val="000000"/>
        </w:rPr>
        <w:t>注入攻击时，</w:t>
      </w:r>
      <w:r w:rsidRPr="00073A51">
        <w:rPr>
          <w:rFonts w:ascii="Segoe UI" w:hAnsi="Segoe UI" w:cs="Segoe UI"/>
          <w:color w:val="000000"/>
        </w:rPr>
        <w:t>WAF</w:t>
      </w:r>
      <w:r w:rsidRPr="00073A51">
        <w:rPr>
          <w:rFonts w:ascii="Segoe UI" w:hAnsi="Segoe UI" w:cs="Segoe UI"/>
          <w:color w:val="000000"/>
        </w:rPr>
        <w:t>可基于情报中心的实时数据立即阻断该</w:t>
      </w:r>
      <w:r w:rsidRPr="00073A51">
        <w:rPr>
          <w:rFonts w:ascii="Segoe UI" w:hAnsi="Segoe UI" w:cs="Segoe UI"/>
          <w:color w:val="000000"/>
        </w:rPr>
        <w:t>IP</w:t>
      </w:r>
      <w:r w:rsidRPr="00073A51">
        <w:rPr>
          <w:rFonts w:ascii="Segoe UI" w:hAnsi="Segoe UI" w:cs="Segoe UI"/>
          <w:color w:val="000000"/>
        </w:rPr>
        <w:t>的所有请求。</w:t>
      </w:r>
    </w:p>
    <w:p w14:paraId="5C79933B" w14:textId="42486E04"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威胁情报的应用覆盖从预防到响应的全流程：事前，情报中心支持用户基于恶意</w:t>
      </w:r>
      <w:r w:rsidRPr="00073A51">
        <w:rPr>
          <w:rFonts w:ascii="Segoe UI" w:hAnsi="Segoe UI" w:cs="Segoe UI"/>
          <w:color w:val="000000"/>
        </w:rPr>
        <w:t>IP</w:t>
      </w:r>
      <w:r w:rsidRPr="00073A51">
        <w:rPr>
          <w:rFonts w:ascii="Segoe UI" w:hAnsi="Segoe UI" w:cs="Segoe UI"/>
          <w:color w:val="000000"/>
        </w:rPr>
        <w:t>库配置访问黑白名单，例如禁止来自高风险地区的</w:t>
      </w:r>
      <w:r w:rsidRPr="00073A51">
        <w:rPr>
          <w:rFonts w:ascii="Segoe UI" w:hAnsi="Segoe UI" w:cs="Segoe UI"/>
          <w:color w:val="000000"/>
        </w:rPr>
        <w:t>IP</w:t>
      </w:r>
      <w:r w:rsidRPr="00073A51">
        <w:rPr>
          <w:rFonts w:ascii="Segoe UI" w:hAnsi="Segoe UI" w:cs="Segoe UI"/>
          <w:color w:val="000000"/>
        </w:rPr>
        <w:t>访问业务系统；事中，安全产品结合情报特征进行实时检测，如入侵检测系统（</w:t>
      </w:r>
      <w:r w:rsidRPr="00073A51">
        <w:rPr>
          <w:rFonts w:ascii="Segoe UI" w:hAnsi="Segoe UI" w:cs="Segoe UI"/>
          <w:color w:val="000000"/>
        </w:rPr>
        <w:t>IDS</w:t>
      </w:r>
      <w:r w:rsidRPr="00073A51">
        <w:rPr>
          <w:rFonts w:ascii="Segoe UI" w:hAnsi="Segoe UI" w:cs="Segoe UI"/>
          <w:color w:val="000000"/>
        </w:rPr>
        <w:t>）利用漏洞特征库识别针对</w:t>
      </w:r>
      <w:r w:rsidRPr="00073A51">
        <w:rPr>
          <w:rFonts w:ascii="Segoe UI" w:hAnsi="Segoe UI" w:cs="Segoe UI"/>
          <w:color w:val="000000"/>
        </w:rPr>
        <w:t>ApacheLog4j</w:t>
      </w:r>
      <w:r w:rsidRPr="00073A51">
        <w:rPr>
          <w:rFonts w:ascii="Segoe UI" w:hAnsi="Segoe UI" w:cs="Segoe UI"/>
          <w:color w:val="000000"/>
        </w:rPr>
        <w:t>的攻击行为，并联动防火墙阻断；事后，情报中心对攻击事件进行溯源分析，关联攻击</w:t>
      </w:r>
      <w:r w:rsidRPr="00073A51">
        <w:rPr>
          <w:rFonts w:ascii="Segoe UI" w:hAnsi="Segoe UI" w:cs="Segoe UI"/>
          <w:color w:val="000000"/>
        </w:rPr>
        <w:t>IP</w:t>
      </w:r>
      <w:r w:rsidRPr="00073A51">
        <w:rPr>
          <w:rFonts w:ascii="Segoe UI" w:hAnsi="Segoe UI" w:cs="Segoe UI"/>
          <w:color w:val="000000"/>
        </w:rPr>
        <w:t>的历史行为、所属僵尸网络等信息，生成可视化的攻击链报告，辅助用户进行漏洞修复与防御优化。</w:t>
      </w:r>
    </w:p>
    <w:p w14:paraId="738D4C33" w14:textId="2DD7ADF0" w:rsidR="008B65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华为云安全情报中心还支持与用户自有安全系统的联动，通过</w:t>
      </w:r>
      <w:r w:rsidRPr="00073A51">
        <w:rPr>
          <w:rFonts w:ascii="Segoe UI" w:hAnsi="Segoe UI" w:cs="Segoe UI"/>
          <w:color w:val="000000"/>
        </w:rPr>
        <w:t>API</w:t>
      </w:r>
      <w:r w:rsidRPr="00073A51">
        <w:rPr>
          <w:rFonts w:ascii="Segoe UI" w:hAnsi="Segoe UI" w:cs="Segoe UI"/>
          <w:color w:val="000000"/>
        </w:rPr>
        <w:t>接口将情报数据同步至企业本地安全设备，实现混合云环境下的统一威胁管理。例如，企业自建</w:t>
      </w:r>
      <w:r w:rsidRPr="00073A51">
        <w:rPr>
          <w:rFonts w:ascii="Segoe UI" w:hAnsi="Segoe UI" w:cs="Segoe UI"/>
          <w:color w:val="000000"/>
        </w:rPr>
        <w:t>IDC</w:t>
      </w:r>
      <w:r w:rsidRPr="00073A51">
        <w:rPr>
          <w:rFonts w:ascii="Segoe UI" w:hAnsi="Segoe UI" w:cs="Segoe UI"/>
          <w:color w:val="000000"/>
        </w:rPr>
        <w:t>的防火墙可定期拉取云安全情报中心的恶意</w:t>
      </w:r>
      <w:r w:rsidRPr="00073A51">
        <w:rPr>
          <w:rFonts w:ascii="Segoe UI" w:hAnsi="Segoe UI" w:cs="Segoe UI"/>
          <w:color w:val="000000"/>
        </w:rPr>
        <w:t>IP</w:t>
      </w:r>
      <w:r w:rsidRPr="00073A51">
        <w:rPr>
          <w:rFonts w:ascii="Segoe UI" w:hAnsi="Segoe UI" w:cs="Segoe UI"/>
          <w:color w:val="000000"/>
        </w:rPr>
        <w:t>库，实现与云上资源一致的防护策略，确保混合云架构的安全一致性。这种</w:t>
      </w:r>
      <w:r w:rsidRPr="00073A51">
        <w:rPr>
          <w:rFonts w:ascii="Segoe UI" w:hAnsi="Segoe UI" w:cs="Segoe UI"/>
          <w:color w:val="000000"/>
        </w:rPr>
        <w:t>“</w:t>
      </w:r>
      <w:r w:rsidRPr="00073A51">
        <w:rPr>
          <w:rFonts w:ascii="Segoe UI" w:hAnsi="Segoe UI" w:cs="Segoe UI"/>
          <w:color w:val="000000"/>
        </w:rPr>
        <w:t>云端情报</w:t>
      </w:r>
      <w:r w:rsidRPr="00073A51">
        <w:rPr>
          <w:rFonts w:ascii="Segoe UI" w:hAnsi="Segoe UI" w:cs="Segoe UI"/>
          <w:color w:val="000000"/>
        </w:rPr>
        <w:t>+</w:t>
      </w:r>
      <w:r w:rsidRPr="00073A51">
        <w:rPr>
          <w:rFonts w:ascii="Segoe UI" w:hAnsi="Segoe UI" w:cs="Segoe UI"/>
          <w:color w:val="000000"/>
        </w:rPr>
        <w:t>本地执行</w:t>
      </w:r>
      <w:r w:rsidRPr="00073A51">
        <w:rPr>
          <w:rFonts w:ascii="Segoe UI" w:hAnsi="Segoe UI" w:cs="Segoe UI"/>
          <w:color w:val="000000"/>
        </w:rPr>
        <w:t>”</w:t>
      </w:r>
      <w:r w:rsidRPr="00073A51">
        <w:rPr>
          <w:rFonts w:ascii="Segoe UI" w:hAnsi="Segoe UI" w:cs="Segoe UI"/>
          <w:color w:val="000000"/>
        </w:rPr>
        <w:t>的模式，使企业能够基于华为云的全球威胁感知</w:t>
      </w:r>
      <w:r w:rsidRPr="00073A51">
        <w:rPr>
          <w:rFonts w:ascii="Segoe UI" w:hAnsi="Segoe UI" w:cs="Segoe UI"/>
          <w:color w:val="000000"/>
        </w:rPr>
        <w:lastRenderedPageBreak/>
        <w:t>能力，构建更智能、更高效的安全防护体系。</w:t>
      </w:r>
    </w:p>
    <w:p w14:paraId="0EB1392A" w14:textId="217300B8" w:rsidR="008B6551" w:rsidRDefault="008B6551" w:rsidP="001F4BFA">
      <w:pPr>
        <w:pStyle w:val="5"/>
        <w:shd w:val="clear" w:color="auto" w:fill="F9FAFB"/>
        <w:rPr>
          <w:rFonts w:ascii="Segoe UI" w:hAnsi="Segoe UI" w:cs="Segoe UI"/>
          <w:color w:val="000000"/>
        </w:rPr>
      </w:pPr>
      <w:r>
        <w:rPr>
          <w:rFonts w:ascii="Segoe UI" w:hAnsi="Segoe UI" w:cs="Segoe UI"/>
          <w:color w:val="000000"/>
        </w:rPr>
        <w:t>网络安全设计</w:t>
      </w:r>
    </w:p>
    <w:p w14:paraId="5DAE575F" w14:textId="67E18F08" w:rsidR="00A759E7" w:rsidRPr="00A759E7" w:rsidRDefault="00A759E7" w:rsidP="00A759E7">
      <w:pPr>
        <w:pStyle w:val="6"/>
        <w:rPr>
          <w:rFonts w:hint="eastAsia"/>
        </w:rPr>
      </w:pPr>
      <w:r w:rsidRPr="00A759E7">
        <w:rPr>
          <w:rFonts w:hint="eastAsia"/>
        </w:rPr>
        <w:t>边界安全</w:t>
      </w:r>
    </w:p>
    <w:p w14:paraId="045ACB0E" w14:textId="7D95ADF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混合云边界安全以华为云防火墙与</w:t>
      </w:r>
      <w:r w:rsidRPr="00A759E7">
        <w:rPr>
          <w:rFonts w:ascii="Segoe UI" w:hAnsi="Segoe UI" w:cs="Segoe UI"/>
          <w:color w:val="000000"/>
        </w:rPr>
        <w:t>Web</w:t>
      </w:r>
      <w:r w:rsidRPr="00A759E7">
        <w:rPr>
          <w:rFonts w:ascii="Segoe UI" w:hAnsi="Segoe UI" w:cs="Segoe UI"/>
          <w:color w:val="000000"/>
        </w:rPr>
        <w:t>应用防火墙（</w:t>
      </w:r>
      <w:r w:rsidRPr="00A759E7">
        <w:rPr>
          <w:rFonts w:ascii="Segoe UI" w:hAnsi="Segoe UI" w:cs="Segoe UI"/>
          <w:color w:val="000000"/>
        </w:rPr>
        <w:t>WAF</w:t>
      </w:r>
      <w:r w:rsidRPr="00A759E7">
        <w:rPr>
          <w:rFonts w:ascii="Segoe UI" w:hAnsi="Segoe UI" w:cs="Segoe UI"/>
          <w:color w:val="000000"/>
        </w:rPr>
        <w:t>）为核心，构建抵御外部攻击的第一道防线。华为云防火墙部署于混合云边界，支持基于五元组（源</w:t>
      </w:r>
      <w:r w:rsidRPr="00A759E7">
        <w:rPr>
          <w:rFonts w:ascii="Segoe UI" w:hAnsi="Segoe UI" w:cs="Segoe UI"/>
          <w:color w:val="000000"/>
        </w:rPr>
        <w:t>IP</w:t>
      </w:r>
      <w:r w:rsidRPr="00A759E7">
        <w:rPr>
          <w:rFonts w:ascii="Segoe UI" w:hAnsi="Segoe UI" w:cs="Segoe UI"/>
          <w:color w:val="000000"/>
        </w:rPr>
        <w:t>、目的</w:t>
      </w:r>
      <w:r w:rsidRPr="00A759E7">
        <w:rPr>
          <w:rFonts w:ascii="Segoe UI" w:hAnsi="Segoe UI" w:cs="Segoe UI"/>
          <w:color w:val="000000"/>
        </w:rPr>
        <w:t>IP</w:t>
      </w:r>
      <w:r w:rsidRPr="00A759E7">
        <w:rPr>
          <w:rFonts w:ascii="Segoe UI" w:hAnsi="Segoe UI" w:cs="Segoe UI"/>
          <w:color w:val="000000"/>
        </w:rPr>
        <w:t>、源端口、目的端口、协议）的精细访问控制，可阻断未经授权的外部访问，同时对进出流量进行状态检测，识别并拦截异常连接（如半开连接攻击）。针对</w:t>
      </w:r>
      <w:r w:rsidRPr="00A759E7">
        <w:rPr>
          <w:rFonts w:ascii="Segoe UI" w:hAnsi="Segoe UI" w:cs="Segoe UI"/>
          <w:color w:val="000000"/>
        </w:rPr>
        <w:t>DDoS</w:t>
      </w:r>
      <w:r w:rsidRPr="00A759E7">
        <w:rPr>
          <w:rFonts w:ascii="Segoe UI" w:hAnsi="Segoe UI" w:cs="Segoe UI"/>
          <w:color w:val="000000"/>
        </w:rPr>
        <w:t>攻击，边界部署</w:t>
      </w:r>
      <w:r w:rsidRPr="00A759E7">
        <w:rPr>
          <w:rFonts w:ascii="Segoe UI" w:hAnsi="Segoe UI" w:cs="Segoe UI"/>
          <w:color w:val="000000"/>
        </w:rPr>
        <w:t>DDoS</w:t>
      </w:r>
      <w:r w:rsidRPr="00A759E7">
        <w:rPr>
          <w:rFonts w:ascii="Segoe UI" w:hAnsi="Segoe UI" w:cs="Segoe UI"/>
          <w:color w:val="000000"/>
        </w:rPr>
        <w:t>高防</w:t>
      </w:r>
      <w:r w:rsidRPr="00A759E7">
        <w:rPr>
          <w:rFonts w:ascii="Segoe UI" w:hAnsi="Segoe UI" w:cs="Segoe UI"/>
          <w:color w:val="000000"/>
        </w:rPr>
        <w:t>IP</w:t>
      </w:r>
      <w:r w:rsidRPr="00A759E7">
        <w:rPr>
          <w:rFonts w:ascii="Segoe UI" w:hAnsi="Segoe UI" w:cs="Segoe UI"/>
          <w:color w:val="000000"/>
        </w:rPr>
        <w:t>，通过流量清洗技术过滤超大流量攻击（支持</w:t>
      </w:r>
      <w:r w:rsidRPr="00A759E7">
        <w:rPr>
          <w:rFonts w:ascii="Segoe UI" w:hAnsi="Segoe UI" w:cs="Segoe UI"/>
          <w:color w:val="000000"/>
        </w:rPr>
        <w:t>T</w:t>
      </w:r>
      <w:r w:rsidRPr="00A759E7">
        <w:rPr>
          <w:rFonts w:ascii="Segoe UI" w:hAnsi="Segoe UI" w:cs="Segoe UI"/>
          <w:color w:val="000000"/>
        </w:rPr>
        <w:t>级流量清洗），确保业务带宽不被恶意占用，例如某金融企业通过高防</w:t>
      </w:r>
      <w:r w:rsidRPr="00A759E7">
        <w:rPr>
          <w:rFonts w:ascii="Segoe UI" w:hAnsi="Segoe UI" w:cs="Segoe UI"/>
          <w:color w:val="000000"/>
        </w:rPr>
        <w:t>IP</w:t>
      </w:r>
      <w:r w:rsidRPr="00A759E7">
        <w:rPr>
          <w:rFonts w:ascii="Segoe UI" w:hAnsi="Segoe UI" w:cs="Segoe UI"/>
          <w:color w:val="000000"/>
        </w:rPr>
        <w:t>成功抵御日均</w:t>
      </w:r>
      <w:r w:rsidRPr="00A759E7">
        <w:rPr>
          <w:rFonts w:ascii="Segoe UI" w:hAnsi="Segoe UI" w:cs="Segoe UI"/>
          <w:color w:val="000000"/>
        </w:rPr>
        <w:t>10Gbps</w:t>
      </w:r>
      <w:r w:rsidRPr="00A759E7">
        <w:rPr>
          <w:rFonts w:ascii="Segoe UI" w:hAnsi="Segoe UI" w:cs="Segoe UI"/>
          <w:color w:val="000000"/>
        </w:rPr>
        <w:t>的</w:t>
      </w:r>
      <w:r w:rsidRPr="00A759E7">
        <w:rPr>
          <w:rFonts w:ascii="Segoe UI" w:hAnsi="Segoe UI" w:cs="Segoe UI"/>
          <w:color w:val="000000"/>
        </w:rPr>
        <w:t>UDP</w:t>
      </w:r>
      <w:r w:rsidRPr="00A759E7">
        <w:rPr>
          <w:rFonts w:ascii="Segoe UI" w:hAnsi="Segoe UI" w:cs="Segoe UI"/>
          <w:color w:val="000000"/>
        </w:rPr>
        <w:t>洪水攻</w:t>
      </w:r>
      <w:r w:rsidRPr="00A759E7">
        <w:rPr>
          <w:rFonts w:ascii="Segoe UI" w:hAnsi="Segoe UI" w:cs="Segoe UI" w:hint="eastAsia"/>
          <w:color w:val="000000"/>
        </w:rPr>
        <w:t>击，保障核心交易系统稳定运行。</w:t>
      </w:r>
    </w:p>
    <w:p w14:paraId="2A2C8F03" w14:textId="0D41B4D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color w:val="000000"/>
        </w:rPr>
        <w:t>WAF</w:t>
      </w:r>
      <w:r w:rsidRPr="00A759E7">
        <w:rPr>
          <w:rFonts w:ascii="Segoe UI" w:hAnsi="Segoe UI" w:cs="Segoe UI"/>
          <w:color w:val="000000"/>
        </w:rPr>
        <w:t>作为应用层防护组件，深度集成威胁特征库与智能识别算法，实时检测并拦截</w:t>
      </w:r>
      <w:r w:rsidRPr="00A759E7">
        <w:rPr>
          <w:rFonts w:ascii="Segoe UI" w:hAnsi="Segoe UI" w:cs="Segoe UI"/>
          <w:color w:val="000000"/>
        </w:rPr>
        <w:t>SQL</w:t>
      </w:r>
      <w:r w:rsidRPr="00A759E7">
        <w:rPr>
          <w:rFonts w:ascii="Segoe UI" w:hAnsi="Segoe UI" w:cs="Segoe UI"/>
          <w:color w:val="000000"/>
        </w:rPr>
        <w:t>注入、</w:t>
      </w:r>
      <w:r w:rsidRPr="00A759E7">
        <w:rPr>
          <w:rFonts w:ascii="Segoe UI" w:hAnsi="Segoe UI" w:cs="Segoe UI"/>
          <w:color w:val="000000"/>
        </w:rPr>
        <w:t>XSS</w:t>
      </w:r>
      <w:r w:rsidRPr="00A759E7">
        <w:rPr>
          <w:rFonts w:ascii="Segoe UI" w:hAnsi="Segoe UI" w:cs="Segoe UI"/>
          <w:color w:val="000000"/>
        </w:rPr>
        <w:t>跨站脚本、命令注入等</w:t>
      </w:r>
      <w:r w:rsidRPr="00A759E7">
        <w:rPr>
          <w:rFonts w:ascii="Segoe UI" w:hAnsi="Segoe UI" w:cs="Segoe UI"/>
          <w:color w:val="000000"/>
        </w:rPr>
        <w:t>Web</w:t>
      </w:r>
      <w:r w:rsidRPr="00A759E7">
        <w:rPr>
          <w:rFonts w:ascii="Segoe UI" w:hAnsi="Segoe UI" w:cs="Segoe UI"/>
          <w:color w:val="000000"/>
        </w:rPr>
        <w:t>攻击。华为云</w:t>
      </w:r>
      <w:r w:rsidRPr="00A759E7">
        <w:rPr>
          <w:rFonts w:ascii="Segoe UI" w:hAnsi="Segoe UI" w:cs="Segoe UI"/>
          <w:color w:val="000000"/>
        </w:rPr>
        <w:t>WAF</w:t>
      </w:r>
      <w:r w:rsidRPr="00A759E7">
        <w:rPr>
          <w:rFonts w:ascii="Segoe UI" w:hAnsi="Segoe UI" w:cs="Segoe UI"/>
          <w:color w:val="000000"/>
        </w:rPr>
        <w:t>支持基于规则引擎的自定义防护策略，例如针对电商平台的支付接口，可定制规则拦截包含特定恶意参数的请求；同时具备机器学习能力，通过分析正常业务流量模式，自动识别异常行为，减少误报率。边界安全组件与华为云安全情报中心联动，实时同步全球恶意</w:t>
      </w:r>
      <w:r w:rsidRPr="00A759E7">
        <w:rPr>
          <w:rFonts w:ascii="Segoe UI" w:hAnsi="Segoe UI" w:cs="Segoe UI"/>
          <w:color w:val="000000"/>
        </w:rPr>
        <w:t>IP</w:t>
      </w:r>
      <w:r w:rsidRPr="00A759E7">
        <w:rPr>
          <w:rFonts w:ascii="Segoe UI" w:hAnsi="Segoe UI" w:cs="Segoe UI"/>
          <w:color w:val="000000"/>
        </w:rPr>
        <w:t>库与最新漏洞特征，例如当某漏洞利用工具在互联网传播时，</w:t>
      </w:r>
      <w:r w:rsidRPr="00A759E7">
        <w:rPr>
          <w:rFonts w:ascii="Segoe UI" w:hAnsi="Segoe UI" w:cs="Segoe UI"/>
          <w:color w:val="000000"/>
        </w:rPr>
        <w:t>WAF</w:t>
      </w:r>
      <w:r w:rsidRPr="00A759E7">
        <w:rPr>
          <w:rFonts w:ascii="Segoe UI" w:hAnsi="Segoe UI" w:cs="Segoe UI"/>
          <w:color w:val="000000"/>
        </w:rPr>
        <w:t>可通过情报中心自动更新防护规则，提前阻断攻击尝试。</w:t>
      </w:r>
    </w:p>
    <w:p w14:paraId="0A771F0A" w14:textId="3E1BA078" w:rsidR="00A759E7" w:rsidRPr="00A759E7" w:rsidRDefault="00A759E7" w:rsidP="00A759E7">
      <w:pPr>
        <w:pStyle w:val="6"/>
        <w:rPr>
          <w:rFonts w:hint="eastAsia"/>
        </w:rPr>
      </w:pPr>
      <w:r w:rsidRPr="00A759E7">
        <w:rPr>
          <w:rFonts w:hint="eastAsia"/>
        </w:rPr>
        <w:t>传输安全</w:t>
      </w:r>
    </w:p>
    <w:p w14:paraId="16EE77E9" w14:textId="6BEC856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混合云传输安全通过全站</w:t>
      </w:r>
      <w:r w:rsidRPr="00A759E7">
        <w:rPr>
          <w:rFonts w:ascii="Segoe UI" w:hAnsi="Segoe UI" w:cs="Segoe UI"/>
          <w:color w:val="000000"/>
        </w:rPr>
        <w:t>HTTPS</w:t>
      </w:r>
      <w:r w:rsidRPr="00A759E7">
        <w:rPr>
          <w:rFonts w:ascii="Segoe UI" w:hAnsi="Segoe UI" w:cs="Segoe UI"/>
          <w:color w:val="000000"/>
        </w:rPr>
        <w:t>加密与自动化</w:t>
      </w:r>
      <w:r w:rsidRPr="00A759E7">
        <w:rPr>
          <w:rFonts w:ascii="Segoe UI" w:hAnsi="Segoe UI" w:cs="Segoe UI"/>
          <w:color w:val="000000"/>
        </w:rPr>
        <w:t>CA</w:t>
      </w:r>
      <w:r w:rsidRPr="00A759E7">
        <w:rPr>
          <w:rFonts w:ascii="Segoe UI" w:hAnsi="Segoe UI" w:cs="Segoe UI"/>
          <w:color w:val="000000"/>
        </w:rPr>
        <w:t>证书管理，确保数据在网络传输中的机密性与完整性。华为云提供公共</w:t>
      </w:r>
      <w:r w:rsidRPr="00A759E7">
        <w:rPr>
          <w:rFonts w:ascii="Segoe UI" w:hAnsi="Segoe UI" w:cs="Segoe UI"/>
          <w:color w:val="000000"/>
        </w:rPr>
        <w:t>CA</w:t>
      </w:r>
      <w:r w:rsidRPr="00A759E7">
        <w:rPr>
          <w:rFonts w:ascii="Segoe UI" w:hAnsi="Segoe UI" w:cs="Segoe UI"/>
          <w:color w:val="000000"/>
        </w:rPr>
        <w:t>证书管理服务，支持</w:t>
      </w:r>
      <w:proofErr w:type="spellStart"/>
      <w:r w:rsidRPr="00A759E7">
        <w:rPr>
          <w:rFonts w:ascii="Segoe UI" w:hAnsi="Segoe UI" w:cs="Segoe UI"/>
          <w:color w:val="000000"/>
        </w:rPr>
        <w:t>Let’sEncrypt</w:t>
      </w:r>
      <w:proofErr w:type="spellEnd"/>
      <w:r w:rsidRPr="00A759E7">
        <w:rPr>
          <w:rFonts w:ascii="Segoe UI" w:hAnsi="Segoe UI" w:cs="Segoe UI"/>
          <w:color w:val="000000"/>
        </w:rPr>
        <w:t>、</w:t>
      </w:r>
      <w:r w:rsidRPr="00A759E7">
        <w:rPr>
          <w:rFonts w:ascii="Segoe UI" w:hAnsi="Segoe UI" w:cs="Segoe UI"/>
          <w:color w:val="000000"/>
        </w:rPr>
        <w:t>Symantec</w:t>
      </w:r>
      <w:r w:rsidRPr="00A759E7">
        <w:rPr>
          <w:rFonts w:ascii="Segoe UI" w:hAnsi="Segoe UI" w:cs="Segoe UI"/>
          <w:color w:val="000000"/>
        </w:rPr>
        <w:t>等主流</w:t>
      </w:r>
      <w:r w:rsidRPr="00A759E7">
        <w:rPr>
          <w:rFonts w:ascii="Segoe UI" w:hAnsi="Segoe UI" w:cs="Segoe UI"/>
          <w:color w:val="000000"/>
        </w:rPr>
        <w:t>CA</w:t>
      </w:r>
      <w:r w:rsidRPr="00A759E7">
        <w:rPr>
          <w:rFonts w:ascii="Segoe UI" w:hAnsi="Segoe UI" w:cs="Segoe UI"/>
          <w:color w:val="000000"/>
        </w:rPr>
        <w:t>机构的证书申请、部署与更新，用户可通过控制台一键为</w:t>
      </w:r>
      <w:r w:rsidRPr="00A759E7">
        <w:rPr>
          <w:rFonts w:ascii="Segoe UI" w:hAnsi="Segoe UI" w:cs="Segoe UI"/>
          <w:color w:val="000000"/>
        </w:rPr>
        <w:t>ELB</w:t>
      </w:r>
      <w:r w:rsidRPr="00A759E7">
        <w:rPr>
          <w:rFonts w:ascii="Segoe UI" w:hAnsi="Segoe UI" w:cs="Segoe UI"/>
          <w:color w:val="000000"/>
        </w:rPr>
        <w:t>、</w:t>
      </w:r>
      <w:r w:rsidRPr="00A759E7">
        <w:rPr>
          <w:rFonts w:ascii="Segoe UI" w:hAnsi="Segoe UI" w:cs="Segoe UI"/>
          <w:color w:val="000000"/>
        </w:rPr>
        <w:t>API</w:t>
      </w:r>
      <w:r w:rsidRPr="00A759E7">
        <w:rPr>
          <w:rFonts w:ascii="Segoe UI" w:hAnsi="Segoe UI" w:cs="Segoe UI"/>
          <w:color w:val="000000"/>
        </w:rPr>
        <w:t>网关等服务绑定证书，实现</w:t>
      </w:r>
      <w:r w:rsidRPr="00A759E7">
        <w:rPr>
          <w:rFonts w:ascii="Segoe UI" w:hAnsi="Segoe UI" w:cs="Segoe UI"/>
          <w:color w:val="000000"/>
        </w:rPr>
        <w:t>HTTP</w:t>
      </w:r>
      <w:r w:rsidRPr="00A759E7">
        <w:rPr>
          <w:rFonts w:ascii="Segoe UI" w:hAnsi="Segoe UI" w:cs="Segoe UI"/>
          <w:color w:val="000000"/>
        </w:rPr>
        <w:t>到</w:t>
      </w:r>
      <w:r w:rsidRPr="00A759E7">
        <w:rPr>
          <w:rFonts w:ascii="Segoe UI" w:hAnsi="Segoe UI" w:cs="Segoe UI"/>
          <w:color w:val="000000"/>
        </w:rPr>
        <w:t>HTTPS</w:t>
      </w:r>
      <w:r w:rsidRPr="00A759E7">
        <w:rPr>
          <w:rFonts w:ascii="Segoe UI" w:hAnsi="Segoe UI" w:cs="Segoe UI"/>
          <w:color w:val="000000"/>
        </w:rPr>
        <w:t>的自动跳转。</w:t>
      </w:r>
      <w:r w:rsidRPr="00A759E7">
        <w:rPr>
          <w:rFonts w:ascii="Segoe UI" w:hAnsi="Segoe UI" w:cs="Segoe UI"/>
          <w:color w:val="000000"/>
        </w:rPr>
        <w:t>HTTPS</w:t>
      </w:r>
      <w:r w:rsidRPr="00A759E7">
        <w:rPr>
          <w:rFonts w:ascii="Segoe UI" w:hAnsi="Segoe UI" w:cs="Segoe UI"/>
          <w:color w:val="000000"/>
        </w:rPr>
        <w:t>加密采用</w:t>
      </w:r>
      <w:r w:rsidRPr="00A759E7">
        <w:rPr>
          <w:rFonts w:ascii="Segoe UI" w:hAnsi="Segoe UI" w:cs="Segoe UI"/>
          <w:color w:val="000000"/>
        </w:rPr>
        <w:t>TLS1.3</w:t>
      </w:r>
      <w:r w:rsidRPr="00A759E7">
        <w:rPr>
          <w:rFonts w:ascii="Segoe UI" w:hAnsi="Segoe UI" w:cs="Segoe UI"/>
          <w:color w:val="000000"/>
        </w:rPr>
        <w:t>协议，结合国密算法（</w:t>
      </w:r>
      <w:r w:rsidRPr="00A759E7">
        <w:rPr>
          <w:rFonts w:ascii="Segoe UI" w:hAnsi="Segoe UI" w:cs="Segoe UI"/>
          <w:color w:val="000000"/>
        </w:rPr>
        <w:t>SM2/SM4</w:t>
      </w:r>
      <w:r w:rsidRPr="00A759E7">
        <w:rPr>
          <w:rFonts w:ascii="Segoe UI" w:hAnsi="Segoe UI" w:cs="Segoe UI"/>
          <w:color w:val="000000"/>
        </w:rPr>
        <w:t>），保障数据传输过程中不被窃听或篡改，例如金融交易数据在从用户端到云端的传输中，通过</w:t>
      </w:r>
      <w:r w:rsidRPr="00A759E7">
        <w:rPr>
          <w:rFonts w:ascii="Segoe UI" w:hAnsi="Segoe UI" w:cs="Segoe UI"/>
          <w:color w:val="000000"/>
        </w:rPr>
        <w:t>HTTPS</w:t>
      </w:r>
      <w:r w:rsidRPr="00A759E7">
        <w:rPr>
          <w:rFonts w:ascii="Segoe UI" w:hAnsi="Segoe UI" w:cs="Segoe UI"/>
          <w:color w:val="000000"/>
        </w:rPr>
        <w:t>加密</w:t>
      </w:r>
      <w:r w:rsidRPr="00A759E7">
        <w:rPr>
          <w:rFonts w:ascii="Segoe UI" w:hAnsi="Segoe UI" w:cs="Segoe UI" w:hint="eastAsia"/>
          <w:color w:val="000000"/>
        </w:rPr>
        <w:t>确保账户信息、交易金额等敏感数据的安全性。</w:t>
      </w:r>
    </w:p>
    <w:p w14:paraId="557ADEBD" w14:textId="3B333BFE"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color w:val="000000"/>
        </w:rPr>
        <w:t>CA</w:t>
      </w:r>
      <w:r w:rsidRPr="00A759E7">
        <w:rPr>
          <w:rFonts w:ascii="Segoe UI" w:hAnsi="Segoe UI" w:cs="Segoe UI"/>
          <w:color w:val="000000"/>
        </w:rPr>
        <w:t>证书的全生命周期管理由华为云密钥管理服务（</w:t>
      </w:r>
      <w:r w:rsidRPr="00A759E7">
        <w:rPr>
          <w:rFonts w:ascii="Segoe UI" w:hAnsi="Segoe UI" w:cs="Segoe UI"/>
          <w:color w:val="000000"/>
        </w:rPr>
        <w:t>KMS</w:t>
      </w:r>
      <w:r w:rsidRPr="00A759E7">
        <w:rPr>
          <w:rFonts w:ascii="Segoe UI" w:hAnsi="Segoe UI" w:cs="Segoe UI"/>
          <w:color w:val="000000"/>
        </w:rPr>
        <w:t>）与证书服务（</w:t>
      </w:r>
      <w:proofErr w:type="spellStart"/>
      <w:r w:rsidRPr="00A759E7">
        <w:rPr>
          <w:rFonts w:ascii="Segoe UI" w:hAnsi="Segoe UI" w:cs="Segoe UI"/>
          <w:color w:val="000000"/>
        </w:rPr>
        <w:t>SSLCertificate</w:t>
      </w:r>
      <w:proofErr w:type="spellEnd"/>
      <w:r w:rsidRPr="00A759E7">
        <w:rPr>
          <w:rFonts w:ascii="Segoe UI" w:hAnsi="Segoe UI" w:cs="Segoe UI"/>
          <w:color w:val="000000"/>
        </w:rPr>
        <w:t>）协同完成：证书申请时，</w:t>
      </w:r>
      <w:r w:rsidRPr="00A759E7">
        <w:rPr>
          <w:rFonts w:ascii="Segoe UI" w:hAnsi="Segoe UI" w:cs="Segoe UI"/>
          <w:color w:val="000000"/>
        </w:rPr>
        <w:t>KMS</w:t>
      </w:r>
      <w:r w:rsidRPr="00A759E7">
        <w:rPr>
          <w:rFonts w:ascii="Segoe UI" w:hAnsi="Segoe UI" w:cs="Segoe UI"/>
          <w:color w:val="000000"/>
        </w:rPr>
        <w:t>生成密钥对并加密存储，避免私钥泄露；证书部署后，系统自动监控到期时间，提前</w:t>
      </w:r>
      <w:r w:rsidRPr="00A759E7">
        <w:rPr>
          <w:rFonts w:ascii="Segoe UI" w:hAnsi="Segoe UI" w:cs="Segoe UI"/>
          <w:color w:val="000000"/>
        </w:rPr>
        <w:t>30</w:t>
      </w:r>
      <w:r w:rsidRPr="00A759E7">
        <w:rPr>
          <w:rFonts w:ascii="Segoe UI" w:hAnsi="Segoe UI" w:cs="Segoe UI"/>
          <w:color w:val="000000"/>
        </w:rPr>
        <w:t>天触发</w:t>
      </w:r>
      <w:r w:rsidRPr="00A759E7">
        <w:rPr>
          <w:rFonts w:ascii="Segoe UI" w:hAnsi="Segoe UI" w:cs="Segoe UI"/>
          <w:color w:val="000000"/>
        </w:rPr>
        <w:t>renewal</w:t>
      </w:r>
      <w:r w:rsidRPr="00A759E7">
        <w:rPr>
          <w:rFonts w:ascii="Segoe UI" w:hAnsi="Segoe UI" w:cs="Segoe UI"/>
          <w:color w:val="000000"/>
        </w:rPr>
        <w:t>流程，支持热更新（无需服务重启）；过期证书自动失效并触发告警，防止因证书过期导致的安全漏洞。对于企业自有</w:t>
      </w:r>
      <w:r w:rsidRPr="00A759E7">
        <w:rPr>
          <w:rFonts w:ascii="Segoe UI" w:hAnsi="Segoe UI" w:cs="Segoe UI"/>
          <w:color w:val="000000"/>
        </w:rPr>
        <w:t>CA</w:t>
      </w:r>
      <w:r w:rsidRPr="00A759E7">
        <w:rPr>
          <w:rFonts w:ascii="Segoe UI" w:hAnsi="Segoe UI" w:cs="Segoe UI"/>
          <w:color w:val="000000"/>
        </w:rPr>
        <w:t>证书，华为云支持本地生成密钥对后导入</w:t>
      </w:r>
      <w:r w:rsidRPr="00A759E7">
        <w:rPr>
          <w:rFonts w:ascii="Segoe UI" w:hAnsi="Segoe UI" w:cs="Segoe UI"/>
          <w:color w:val="000000"/>
        </w:rPr>
        <w:t>KMS</w:t>
      </w:r>
      <w:r w:rsidRPr="00A759E7">
        <w:rPr>
          <w:rFonts w:ascii="Segoe UI" w:hAnsi="Segoe UI" w:cs="Segoe UI"/>
          <w:color w:val="000000"/>
        </w:rPr>
        <w:t>管理，实现</w:t>
      </w:r>
      <w:r w:rsidRPr="00A759E7">
        <w:rPr>
          <w:rFonts w:ascii="Segoe UI" w:hAnsi="Segoe UI" w:cs="Segoe UI"/>
          <w:color w:val="000000"/>
        </w:rPr>
        <w:t>“</w:t>
      </w:r>
      <w:r w:rsidRPr="00A759E7">
        <w:rPr>
          <w:rFonts w:ascii="Segoe UI" w:hAnsi="Segoe UI" w:cs="Segoe UI"/>
          <w:color w:val="000000"/>
        </w:rPr>
        <w:t>自有证书</w:t>
      </w:r>
      <w:r w:rsidRPr="00A759E7">
        <w:rPr>
          <w:rFonts w:ascii="Segoe UI" w:hAnsi="Segoe UI" w:cs="Segoe UI"/>
          <w:color w:val="000000"/>
        </w:rPr>
        <w:t>+</w:t>
      </w:r>
      <w:r w:rsidRPr="00A759E7">
        <w:rPr>
          <w:rFonts w:ascii="Segoe UI" w:hAnsi="Segoe UI" w:cs="Segoe UI"/>
          <w:color w:val="000000"/>
        </w:rPr>
        <w:t>云端托管</w:t>
      </w:r>
      <w:r w:rsidRPr="00A759E7">
        <w:rPr>
          <w:rFonts w:ascii="Segoe UI" w:hAnsi="Segoe UI" w:cs="Segoe UI"/>
          <w:color w:val="000000"/>
        </w:rPr>
        <w:t>”</w:t>
      </w:r>
      <w:r w:rsidRPr="00A759E7">
        <w:rPr>
          <w:rFonts w:ascii="Segoe UI" w:hAnsi="Segoe UI" w:cs="Segoe UI"/>
          <w:color w:val="000000"/>
        </w:rPr>
        <w:t>的混合模式，满足金融、政府等行业的自主可控需求。</w:t>
      </w:r>
    </w:p>
    <w:p w14:paraId="65BFE23B" w14:textId="659EFC63" w:rsidR="00A759E7" w:rsidRPr="00A759E7" w:rsidRDefault="00A759E7" w:rsidP="00A759E7">
      <w:pPr>
        <w:pStyle w:val="6"/>
        <w:rPr>
          <w:rFonts w:hint="eastAsia"/>
        </w:rPr>
      </w:pPr>
      <w:r w:rsidRPr="00A759E7">
        <w:rPr>
          <w:rFonts w:hint="eastAsia"/>
        </w:rPr>
        <w:t>内部网络隔离</w:t>
      </w:r>
    </w:p>
    <w:p w14:paraId="0D56EF04" w14:textId="795B04B8"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混合云内部网络隔离基于华为云虚拟私有云（</w:t>
      </w:r>
      <w:r w:rsidRPr="00A759E7">
        <w:rPr>
          <w:rFonts w:ascii="Segoe UI" w:hAnsi="Segoe UI" w:cs="Segoe UI"/>
          <w:color w:val="000000"/>
        </w:rPr>
        <w:t>VPC</w:t>
      </w:r>
      <w:r w:rsidRPr="00A759E7">
        <w:rPr>
          <w:rFonts w:ascii="Segoe UI" w:hAnsi="Segoe UI" w:cs="Segoe UI"/>
          <w:color w:val="000000"/>
        </w:rPr>
        <w:t>）构建分层架构，通过安全组与网络</w:t>
      </w:r>
      <w:r w:rsidRPr="00A759E7">
        <w:rPr>
          <w:rFonts w:ascii="Segoe UI" w:hAnsi="Segoe UI" w:cs="Segoe UI"/>
          <w:color w:val="000000"/>
        </w:rPr>
        <w:t>ACL</w:t>
      </w:r>
      <w:r w:rsidRPr="00A759E7">
        <w:rPr>
          <w:rFonts w:ascii="Segoe UI" w:hAnsi="Segoe UI" w:cs="Segoe UI"/>
          <w:color w:val="000000"/>
        </w:rPr>
        <w:t>（访问控制列表）的协同，实现不同业务域的逻辑隔离与流量控制。</w:t>
      </w:r>
      <w:r w:rsidRPr="00A759E7">
        <w:rPr>
          <w:rFonts w:ascii="Segoe UI" w:hAnsi="Segoe UI" w:cs="Segoe UI"/>
          <w:color w:val="000000"/>
        </w:rPr>
        <w:t>VPC</w:t>
      </w:r>
      <w:r w:rsidRPr="00A759E7">
        <w:rPr>
          <w:rFonts w:ascii="Segoe UI" w:hAnsi="Segoe UI" w:cs="Segoe UI"/>
          <w:color w:val="000000"/>
        </w:rPr>
        <w:t>支持用户自定</w:t>
      </w:r>
      <w:r w:rsidRPr="00A759E7">
        <w:rPr>
          <w:rFonts w:ascii="Segoe UI" w:hAnsi="Segoe UI" w:cs="Segoe UI"/>
          <w:color w:val="000000"/>
        </w:rPr>
        <w:lastRenderedPageBreak/>
        <w:t>义网络拓扑，例如将混合云环境划分为互联网接入层、应用服务层、数据存储层，各层通过不同的安全组规则限制跨层访问</w:t>
      </w:r>
      <w:r w:rsidRPr="00A759E7">
        <w:rPr>
          <w:rFonts w:ascii="Segoe UI" w:hAnsi="Segoe UI" w:cs="Segoe UI"/>
          <w:color w:val="000000"/>
        </w:rPr>
        <w:t>——</w:t>
      </w:r>
      <w:r w:rsidRPr="00A759E7">
        <w:rPr>
          <w:rFonts w:ascii="Segoe UI" w:hAnsi="Segoe UI" w:cs="Segoe UI"/>
          <w:color w:val="000000"/>
        </w:rPr>
        <w:t>互联网接入层仅允许外部访问</w:t>
      </w:r>
      <w:r w:rsidRPr="00A759E7">
        <w:rPr>
          <w:rFonts w:ascii="Segoe UI" w:hAnsi="Segoe UI" w:cs="Segoe UI"/>
          <w:color w:val="000000"/>
        </w:rPr>
        <w:t>ELB</w:t>
      </w:r>
      <w:r w:rsidRPr="00A759E7">
        <w:rPr>
          <w:rFonts w:ascii="Segoe UI" w:hAnsi="Segoe UI" w:cs="Segoe UI"/>
          <w:color w:val="000000"/>
        </w:rPr>
        <w:t>的服务端口，应用服务层仅允许接入层访问业务</w:t>
      </w:r>
      <w:r w:rsidRPr="00A759E7">
        <w:rPr>
          <w:rFonts w:ascii="Segoe UI" w:hAnsi="Segoe UI" w:cs="Segoe UI"/>
          <w:color w:val="000000"/>
        </w:rPr>
        <w:t>API</w:t>
      </w:r>
      <w:r w:rsidRPr="00A759E7">
        <w:rPr>
          <w:rFonts w:ascii="Segoe UI" w:hAnsi="Segoe UI" w:cs="Segoe UI"/>
          <w:color w:val="000000"/>
        </w:rPr>
        <w:t>端口，数据存储层仅允许应用层访问数据库端口，形成</w:t>
      </w:r>
      <w:r w:rsidRPr="00A759E7">
        <w:rPr>
          <w:rFonts w:ascii="Segoe UI" w:hAnsi="Segoe UI" w:cs="Segoe UI"/>
          <w:color w:val="000000"/>
        </w:rPr>
        <w:t>“</w:t>
      </w:r>
      <w:r w:rsidRPr="00A759E7">
        <w:rPr>
          <w:rFonts w:ascii="Segoe UI" w:hAnsi="Segoe UI" w:cs="Segoe UI"/>
          <w:color w:val="000000"/>
        </w:rPr>
        <w:t>最小权限</w:t>
      </w:r>
      <w:r w:rsidRPr="00A759E7">
        <w:rPr>
          <w:rFonts w:ascii="Segoe UI" w:hAnsi="Segoe UI" w:cs="Segoe UI"/>
          <w:color w:val="000000"/>
        </w:rPr>
        <w:t>”</w:t>
      </w:r>
      <w:r w:rsidRPr="00A759E7">
        <w:rPr>
          <w:rFonts w:ascii="Segoe UI" w:hAnsi="Segoe UI" w:cs="Segoe UI"/>
          <w:color w:val="000000"/>
        </w:rPr>
        <w:t>的访问控制链。</w:t>
      </w:r>
    </w:p>
    <w:p w14:paraId="5B1C3069" w14:textId="4E06C58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安全组作为</w:t>
      </w:r>
      <w:r w:rsidRPr="00A759E7">
        <w:rPr>
          <w:rFonts w:ascii="Segoe UI" w:hAnsi="Segoe UI" w:cs="Segoe UI"/>
          <w:color w:val="000000"/>
        </w:rPr>
        <w:t>ECS</w:t>
      </w:r>
      <w:r w:rsidRPr="00A759E7">
        <w:rPr>
          <w:rFonts w:ascii="Segoe UI" w:hAnsi="Segoe UI" w:cs="Segoe UI"/>
          <w:color w:val="000000"/>
        </w:rPr>
        <w:t>实例的细粒度防火墙，支持基于</w:t>
      </w:r>
      <w:r w:rsidRPr="00A759E7">
        <w:rPr>
          <w:rFonts w:ascii="Segoe UI" w:hAnsi="Segoe UI" w:cs="Segoe UI"/>
          <w:color w:val="000000"/>
        </w:rPr>
        <w:t>IP</w:t>
      </w:r>
      <w:r w:rsidRPr="00A759E7">
        <w:rPr>
          <w:rFonts w:ascii="Segoe UI" w:hAnsi="Segoe UI" w:cs="Segoe UI"/>
          <w:color w:val="000000"/>
        </w:rPr>
        <w:t>地址、端口号、协议的入站</w:t>
      </w:r>
      <w:r w:rsidRPr="00A759E7">
        <w:rPr>
          <w:rFonts w:ascii="Segoe UI" w:hAnsi="Segoe UI" w:cs="Segoe UI"/>
          <w:color w:val="000000"/>
        </w:rPr>
        <w:t>/</w:t>
      </w:r>
      <w:r w:rsidRPr="00A759E7">
        <w:rPr>
          <w:rFonts w:ascii="Segoe UI" w:hAnsi="Segoe UI" w:cs="Segoe UI"/>
          <w:color w:val="000000"/>
        </w:rPr>
        <w:t>出站规则配置，例如生产域的数据库</w:t>
      </w:r>
      <w:r w:rsidRPr="00A759E7">
        <w:rPr>
          <w:rFonts w:ascii="Segoe UI" w:hAnsi="Segoe UI" w:cs="Segoe UI"/>
          <w:color w:val="000000"/>
        </w:rPr>
        <w:t>ECS</w:t>
      </w:r>
      <w:r w:rsidRPr="00A759E7">
        <w:rPr>
          <w:rFonts w:ascii="Segoe UI" w:hAnsi="Segoe UI" w:cs="Segoe UI"/>
          <w:color w:val="000000"/>
        </w:rPr>
        <w:t>仅允许应用服务器</w:t>
      </w:r>
      <w:r w:rsidRPr="00A759E7">
        <w:rPr>
          <w:rFonts w:ascii="Segoe UI" w:hAnsi="Segoe UI" w:cs="Segoe UI"/>
          <w:color w:val="000000"/>
        </w:rPr>
        <w:t>ECS</w:t>
      </w:r>
      <w:r w:rsidRPr="00A759E7">
        <w:rPr>
          <w:rFonts w:ascii="Segoe UI" w:hAnsi="Segoe UI" w:cs="Segoe UI"/>
          <w:color w:val="000000"/>
        </w:rPr>
        <w:t>的</w:t>
      </w:r>
      <w:r w:rsidRPr="00A759E7">
        <w:rPr>
          <w:rFonts w:ascii="Segoe UI" w:hAnsi="Segoe UI" w:cs="Segoe UI"/>
          <w:color w:val="000000"/>
        </w:rPr>
        <w:t>IP</w:t>
      </w:r>
      <w:r w:rsidRPr="00A759E7">
        <w:rPr>
          <w:rFonts w:ascii="Segoe UI" w:hAnsi="Segoe UI" w:cs="Segoe UI"/>
          <w:color w:val="000000"/>
        </w:rPr>
        <w:t>访问</w:t>
      </w:r>
      <w:r w:rsidRPr="00A759E7">
        <w:rPr>
          <w:rFonts w:ascii="Segoe UI" w:hAnsi="Segoe UI" w:cs="Segoe UI"/>
          <w:color w:val="000000"/>
        </w:rPr>
        <w:t>3306</w:t>
      </w:r>
      <w:r w:rsidRPr="00A759E7">
        <w:rPr>
          <w:rFonts w:ascii="Segoe UI" w:hAnsi="Segoe UI" w:cs="Segoe UI"/>
          <w:color w:val="000000"/>
        </w:rPr>
        <w:t>端口，拒绝其他所有访问；开发测试域的安全组则放宽规则，允许开发团队的</w:t>
      </w:r>
      <w:r w:rsidRPr="00A759E7">
        <w:rPr>
          <w:rFonts w:ascii="Segoe UI" w:hAnsi="Segoe UI" w:cs="Segoe UI"/>
          <w:color w:val="000000"/>
        </w:rPr>
        <w:t>IP</w:t>
      </w:r>
      <w:r w:rsidRPr="00A759E7">
        <w:rPr>
          <w:rFonts w:ascii="Segoe UI" w:hAnsi="Segoe UI" w:cs="Segoe UI"/>
          <w:color w:val="000000"/>
        </w:rPr>
        <w:t>段访问测试环境的所有端口。网络</w:t>
      </w:r>
      <w:r w:rsidRPr="00A759E7">
        <w:rPr>
          <w:rFonts w:ascii="Segoe UI" w:hAnsi="Segoe UI" w:cs="Segoe UI"/>
          <w:color w:val="000000"/>
        </w:rPr>
        <w:t>ACL</w:t>
      </w:r>
      <w:r w:rsidRPr="00A759E7">
        <w:rPr>
          <w:rFonts w:ascii="Segoe UI" w:hAnsi="Segoe UI" w:cs="Segoe UI"/>
          <w:color w:val="000000"/>
        </w:rPr>
        <w:t>作为子网级别的流量过滤器，提供二层网络的双向控制，可补充安全组的规则缺口，例如在子网层面禁止</w:t>
      </w:r>
      <w:r w:rsidRPr="00A759E7">
        <w:rPr>
          <w:rFonts w:ascii="Segoe UI" w:hAnsi="Segoe UI" w:cs="Segoe UI"/>
          <w:color w:val="000000"/>
        </w:rPr>
        <w:t>ICMP</w:t>
      </w:r>
      <w:r w:rsidRPr="00A759E7">
        <w:rPr>
          <w:rFonts w:ascii="Segoe UI" w:hAnsi="Segoe UI" w:cs="Segoe UI"/>
          <w:color w:val="000000"/>
        </w:rPr>
        <w:t>协议（</w:t>
      </w:r>
      <w:r w:rsidRPr="00A759E7">
        <w:rPr>
          <w:rFonts w:ascii="Segoe UI" w:hAnsi="Segoe UI" w:cs="Segoe UI"/>
          <w:color w:val="000000"/>
        </w:rPr>
        <w:t>Ping</w:t>
      </w:r>
      <w:r w:rsidRPr="00A759E7">
        <w:rPr>
          <w:rFonts w:ascii="Segoe UI" w:hAnsi="Segoe UI" w:cs="Segoe UI"/>
          <w:color w:val="000000"/>
        </w:rPr>
        <w:t>），防止内网主机被扫描发现。</w:t>
      </w:r>
    </w:p>
    <w:p w14:paraId="637A22AE" w14:textId="3DF4749E"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针对混合云场景下的内外网互通，</w:t>
      </w:r>
      <w:r w:rsidRPr="00A759E7">
        <w:rPr>
          <w:rFonts w:ascii="Segoe UI" w:hAnsi="Segoe UI" w:cs="Segoe UI"/>
          <w:color w:val="000000"/>
        </w:rPr>
        <w:t>VPC</w:t>
      </w:r>
      <w:r w:rsidRPr="00A759E7">
        <w:rPr>
          <w:rFonts w:ascii="Segoe UI" w:hAnsi="Segoe UI" w:cs="Segoe UI"/>
          <w:color w:val="000000"/>
        </w:rPr>
        <w:t>通过专线（</w:t>
      </w:r>
      <w:r w:rsidRPr="00A759E7">
        <w:rPr>
          <w:rFonts w:ascii="Segoe UI" w:hAnsi="Segoe UI" w:cs="Segoe UI"/>
          <w:color w:val="000000"/>
        </w:rPr>
        <w:t>DC</w:t>
      </w:r>
      <w:r w:rsidRPr="00A759E7">
        <w:rPr>
          <w:rFonts w:ascii="Segoe UI" w:hAnsi="Segoe UI" w:cs="Segoe UI"/>
          <w:color w:val="000000"/>
        </w:rPr>
        <w:t>）或</w:t>
      </w:r>
      <w:r w:rsidRPr="00A759E7">
        <w:rPr>
          <w:rFonts w:ascii="Segoe UI" w:hAnsi="Segoe UI" w:cs="Segoe UI"/>
          <w:color w:val="000000"/>
        </w:rPr>
        <w:t>VPN</w:t>
      </w:r>
      <w:r w:rsidRPr="00A759E7">
        <w:rPr>
          <w:rFonts w:ascii="Segoe UI" w:hAnsi="Segoe UI" w:cs="Segoe UI"/>
          <w:color w:val="000000"/>
        </w:rPr>
        <w:t>接入企业自建</w:t>
      </w:r>
      <w:r w:rsidRPr="00A759E7">
        <w:rPr>
          <w:rFonts w:ascii="Segoe UI" w:hAnsi="Segoe UI" w:cs="Segoe UI"/>
          <w:color w:val="000000"/>
        </w:rPr>
        <w:t>IDC</w:t>
      </w:r>
      <w:r w:rsidRPr="00A759E7">
        <w:rPr>
          <w:rFonts w:ascii="Segoe UI" w:hAnsi="Segoe UI" w:cs="Segoe UI"/>
          <w:color w:val="000000"/>
        </w:rPr>
        <w:t>时，采用</w:t>
      </w:r>
      <w:r w:rsidRPr="00A759E7">
        <w:rPr>
          <w:rFonts w:ascii="Segoe UI" w:hAnsi="Segoe UI" w:cs="Segoe UI"/>
          <w:color w:val="000000"/>
        </w:rPr>
        <w:t>“</w:t>
      </w:r>
      <w:r w:rsidRPr="00A759E7">
        <w:rPr>
          <w:rFonts w:ascii="Segoe UI" w:hAnsi="Segoe UI" w:cs="Segoe UI"/>
          <w:color w:val="000000"/>
        </w:rPr>
        <w:t>双防火墙</w:t>
      </w:r>
      <w:r w:rsidRPr="00A759E7">
        <w:rPr>
          <w:rFonts w:ascii="Segoe UI" w:hAnsi="Segoe UI" w:cs="Segoe UI"/>
          <w:color w:val="000000"/>
        </w:rPr>
        <w:t>”</w:t>
      </w:r>
      <w:r w:rsidRPr="00A759E7">
        <w:rPr>
          <w:rFonts w:ascii="Segoe UI" w:hAnsi="Segoe UI" w:cs="Segoe UI"/>
          <w:color w:val="000000"/>
        </w:rPr>
        <w:t>架构：云上</w:t>
      </w:r>
      <w:r w:rsidRPr="00A759E7">
        <w:rPr>
          <w:rFonts w:ascii="Segoe UI" w:hAnsi="Segoe UI" w:cs="Segoe UI"/>
          <w:color w:val="000000"/>
        </w:rPr>
        <w:t>VPC</w:t>
      </w:r>
      <w:r w:rsidRPr="00A759E7">
        <w:rPr>
          <w:rFonts w:ascii="Segoe UI" w:hAnsi="Segoe UI" w:cs="Segoe UI"/>
          <w:color w:val="000000"/>
        </w:rPr>
        <w:t>边界部署华为云防火墙，</w:t>
      </w:r>
      <w:r w:rsidRPr="00A759E7">
        <w:rPr>
          <w:rFonts w:ascii="Segoe UI" w:hAnsi="Segoe UI" w:cs="Segoe UI"/>
          <w:color w:val="000000"/>
        </w:rPr>
        <w:t>IDC</w:t>
      </w:r>
      <w:r w:rsidRPr="00A759E7">
        <w:rPr>
          <w:rFonts w:ascii="Segoe UI" w:hAnsi="Segoe UI" w:cs="Segoe UI"/>
          <w:color w:val="000000"/>
        </w:rPr>
        <w:t>侧部署硬件防火墙，双方通过</w:t>
      </w:r>
      <w:r w:rsidRPr="00A759E7">
        <w:rPr>
          <w:rFonts w:ascii="Segoe UI" w:hAnsi="Segoe UI" w:cs="Segoe UI"/>
          <w:color w:val="000000"/>
        </w:rPr>
        <w:t>BGP</w:t>
      </w:r>
      <w:r w:rsidRPr="00A759E7">
        <w:rPr>
          <w:rFonts w:ascii="Segoe UI" w:hAnsi="Segoe UI" w:cs="Segoe UI"/>
          <w:color w:val="000000"/>
        </w:rPr>
        <w:t>路由协议交换路由信息，同时各自配置访问策略，例如仅允许</w:t>
      </w:r>
      <w:r w:rsidRPr="00A759E7">
        <w:rPr>
          <w:rFonts w:ascii="Segoe UI" w:hAnsi="Segoe UI" w:cs="Segoe UI"/>
          <w:color w:val="000000"/>
        </w:rPr>
        <w:t>IDC</w:t>
      </w:r>
      <w:r w:rsidRPr="00A759E7">
        <w:rPr>
          <w:rFonts w:ascii="Segoe UI" w:hAnsi="Segoe UI" w:cs="Segoe UI"/>
          <w:color w:val="000000"/>
        </w:rPr>
        <w:t>的特定</w:t>
      </w:r>
      <w:r w:rsidRPr="00A759E7">
        <w:rPr>
          <w:rFonts w:ascii="Segoe UI" w:hAnsi="Segoe UI" w:cs="Segoe UI"/>
          <w:color w:val="000000"/>
        </w:rPr>
        <w:t>IP</w:t>
      </w:r>
      <w:r w:rsidRPr="00A759E7">
        <w:rPr>
          <w:rFonts w:ascii="Segoe UI" w:hAnsi="Segoe UI" w:cs="Segoe UI"/>
          <w:color w:val="000000"/>
        </w:rPr>
        <w:t>段访问云上数据库服务。这种双向隔离机制确保混合云环境中，外部攻击无法通过</w:t>
      </w:r>
      <w:r w:rsidRPr="00A759E7">
        <w:rPr>
          <w:rFonts w:ascii="Segoe UI" w:hAnsi="Segoe UI" w:cs="Segoe UI"/>
          <w:color w:val="000000"/>
        </w:rPr>
        <w:t>IDC</w:t>
      </w:r>
      <w:r w:rsidRPr="00A759E7">
        <w:rPr>
          <w:rFonts w:ascii="Segoe UI" w:hAnsi="Segoe UI" w:cs="Segoe UI"/>
          <w:color w:val="000000"/>
        </w:rPr>
        <w:t>渗透至云端，内部误操作也不会导致云上资源被非法访问。</w:t>
      </w:r>
    </w:p>
    <w:p w14:paraId="5F9154AF" w14:textId="59B29EB7" w:rsidR="00A759E7" w:rsidRPr="00A759E7" w:rsidRDefault="00A759E7" w:rsidP="00A759E7">
      <w:pPr>
        <w:pStyle w:val="6"/>
        <w:rPr>
          <w:rFonts w:hint="eastAsia"/>
        </w:rPr>
      </w:pPr>
      <w:r w:rsidRPr="00A759E7">
        <w:rPr>
          <w:rFonts w:hint="eastAsia"/>
        </w:rPr>
        <w:t>安全协同与合规支撑</w:t>
      </w:r>
    </w:p>
    <w:p w14:paraId="656AB7DB" w14:textId="4CC6FE5B"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网络安全设计与华为云其他安全组件深度协同，形成立体防护能力：</w:t>
      </w:r>
      <w:r w:rsidRPr="00A759E7">
        <w:rPr>
          <w:rFonts w:ascii="Segoe UI" w:hAnsi="Segoe UI" w:cs="Segoe UI"/>
          <w:color w:val="000000"/>
        </w:rPr>
        <w:t>ELB</w:t>
      </w:r>
      <w:r w:rsidRPr="00A759E7">
        <w:rPr>
          <w:rFonts w:ascii="Segoe UI" w:hAnsi="Segoe UI" w:cs="Segoe UI"/>
          <w:color w:val="000000"/>
        </w:rPr>
        <w:t>负载均衡与</w:t>
      </w:r>
      <w:r w:rsidRPr="00A759E7">
        <w:rPr>
          <w:rFonts w:ascii="Segoe UI" w:hAnsi="Segoe UI" w:cs="Segoe UI"/>
          <w:color w:val="000000"/>
        </w:rPr>
        <w:t>WAF</w:t>
      </w:r>
      <w:r w:rsidRPr="00A759E7">
        <w:rPr>
          <w:rFonts w:ascii="Segoe UI" w:hAnsi="Segoe UI" w:cs="Segoe UI"/>
          <w:color w:val="000000"/>
        </w:rPr>
        <w:t>联动，将</w:t>
      </w:r>
      <w:r w:rsidRPr="00A759E7">
        <w:rPr>
          <w:rFonts w:ascii="Segoe UI" w:hAnsi="Segoe UI" w:cs="Segoe UI"/>
          <w:color w:val="000000"/>
        </w:rPr>
        <w:t>HTTP/HTTPS</w:t>
      </w:r>
      <w:r w:rsidRPr="00A759E7">
        <w:rPr>
          <w:rFonts w:ascii="Segoe UI" w:hAnsi="Segoe UI" w:cs="Segoe UI"/>
          <w:color w:val="000000"/>
        </w:rPr>
        <w:t>流量引流至</w:t>
      </w:r>
      <w:r w:rsidRPr="00A759E7">
        <w:rPr>
          <w:rFonts w:ascii="Segoe UI" w:hAnsi="Segoe UI" w:cs="Segoe UI"/>
          <w:color w:val="000000"/>
        </w:rPr>
        <w:t>WAF</w:t>
      </w:r>
      <w:r w:rsidRPr="00A759E7">
        <w:rPr>
          <w:rFonts w:ascii="Segoe UI" w:hAnsi="Segoe UI" w:cs="Segoe UI"/>
          <w:color w:val="000000"/>
        </w:rPr>
        <w:t>检测后再分发至后端服务器；</w:t>
      </w:r>
      <w:r w:rsidRPr="00A759E7">
        <w:rPr>
          <w:rFonts w:ascii="Segoe UI" w:hAnsi="Segoe UI" w:cs="Segoe UI"/>
          <w:color w:val="000000"/>
        </w:rPr>
        <w:t>VPC</w:t>
      </w:r>
      <w:r w:rsidRPr="00A759E7">
        <w:rPr>
          <w:rFonts w:ascii="Segoe UI" w:hAnsi="Segoe UI" w:cs="Segoe UI"/>
          <w:color w:val="000000"/>
        </w:rPr>
        <w:t>流日志与日志服务（</w:t>
      </w:r>
      <w:proofErr w:type="spellStart"/>
      <w:r w:rsidRPr="00A759E7">
        <w:rPr>
          <w:rFonts w:ascii="Segoe UI" w:hAnsi="Segoe UI" w:cs="Segoe UI"/>
          <w:color w:val="000000"/>
        </w:rPr>
        <w:t>LogTank</w:t>
      </w:r>
      <w:proofErr w:type="spellEnd"/>
      <w:r w:rsidRPr="00A759E7">
        <w:rPr>
          <w:rFonts w:ascii="Segoe UI" w:hAnsi="Segoe UI" w:cs="Segoe UI"/>
          <w:color w:val="000000"/>
        </w:rPr>
        <w:t>）集成，实时分析网络流量元数据，识别异常流量模式（如端口扫描、暴力破解）；安全组规则变更与配置审计服务（</w:t>
      </w:r>
      <w:r w:rsidRPr="00A759E7">
        <w:rPr>
          <w:rFonts w:ascii="Segoe UI" w:hAnsi="Segoe UI" w:cs="Segoe UI"/>
          <w:color w:val="000000"/>
        </w:rPr>
        <w:t>Config</w:t>
      </w:r>
      <w:r w:rsidRPr="00A759E7">
        <w:rPr>
          <w:rFonts w:ascii="Segoe UI" w:hAnsi="Segoe UI" w:cs="Segoe UI"/>
          <w:color w:val="000000"/>
        </w:rPr>
        <w:t>）联动，每次规则修改均被记录并与合规基线对比，例如禁止公网访问</w:t>
      </w:r>
      <w:r w:rsidRPr="00A759E7">
        <w:rPr>
          <w:rFonts w:ascii="Segoe UI" w:hAnsi="Segoe UI" w:cs="Segoe UI"/>
          <w:color w:val="000000"/>
        </w:rPr>
        <w:t>3389</w:t>
      </w:r>
      <w:r w:rsidRPr="00A759E7">
        <w:rPr>
          <w:rFonts w:ascii="Segoe UI" w:hAnsi="Segoe UI" w:cs="Segoe UI"/>
          <w:color w:val="000000"/>
        </w:rPr>
        <w:t>（</w:t>
      </w:r>
      <w:r w:rsidRPr="00A759E7">
        <w:rPr>
          <w:rFonts w:ascii="Segoe UI" w:hAnsi="Segoe UI" w:cs="Segoe UI"/>
          <w:color w:val="000000"/>
        </w:rPr>
        <w:t>Windows</w:t>
      </w:r>
      <w:r w:rsidRPr="00A759E7">
        <w:rPr>
          <w:rFonts w:ascii="Segoe UI" w:hAnsi="Segoe UI" w:cs="Segoe UI"/>
          <w:color w:val="000000"/>
        </w:rPr>
        <w:t>远程桌面）端口，确保符合等保</w:t>
      </w:r>
      <w:r w:rsidRPr="00A759E7">
        <w:rPr>
          <w:rFonts w:ascii="Segoe UI" w:hAnsi="Segoe UI" w:cs="Segoe UI"/>
          <w:color w:val="000000"/>
        </w:rPr>
        <w:t>2.0</w:t>
      </w:r>
      <w:r w:rsidR="006C6F6D" w:rsidRPr="006C6F6D">
        <w:rPr>
          <w:rFonts w:ascii="Segoe UI" w:hAnsi="Segoe UI" w:cs="Segoe UI"/>
          <w:b/>
          <w:color w:val="000000"/>
        </w:rPr>
        <w:t>招标文件要求</w:t>
      </w:r>
      <w:r w:rsidRPr="00A759E7">
        <w:rPr>
          <w:rFonts w:ascii="Segoe UI" w:hAnsi="Segoe UI" w:cs="Segoe UI"/>
          <w:color w:val="000000"/>
        </w:rPr>
        <w:t>。</w:t>
      </w:r>
    </w:p>
    <w:p w14:paraId="47C7C68E" w14:textId="32337256" w:rsidR="008B6551"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该方案通过边界防护、传输加密与内部隔离的三层设计，使混合云网络环境满足金融级安全标准，例如某证券企业采用该架构后，网络攻击拦截率提升至</w:t>
      </w:r>
      <w:r w:rsidRPr="00A759E7">
        <w:rPr>
          <w:rFonts w:ascii="Segoe UI" w:hAnsi="Segoe UI" w:cs="Segoe UI"/>
          <w:color w:val="000000"/>
        </w:rPr>
        <w:t>99.8%</w:t>
      </w:r>
      <w:r w:rsidRPr="00A759E7">
        <w:rPr>
          <w:rFonts w:ascii="Segoe UI" w:hAnsi="Segoe UI" w:cs="Segoe UI"/>
          <w:color w:val="000000"/>
        </w:rPr>
        <w:t>，同时通过</w:t>
      </w:r>
      <w:r w:rsidRPr="00A759E7">
        <w:rPr>
          <w:rFonts w:ascii="Segoe UI" w:hAnsi="Segoe UI" w:cs="Segoe UI"/>
          <w:color w:val="000000"/>
        </w:rPr>
        <w:t>VPC</w:t>
      </w:r>
      <w:r w:rsidRPr="00A759E7">
        <w:rPr>
          <w:rFonts w:ascii="Segoe UI" w:hAnsi="Segoe UI" w:cs="Segoe UI"/>
          <w:color w:val="000000"/>
        </w:rPr>
        <w:t>隔离实现核心交易系统与测试环境的完全隔离，成功通过等保</w:t>
      </w:r>
      <w:r w:rsidRPr="00A759E7">
        <w:rPr>
          <w:rFonts w:ascii="Segoe UI" w:hAnsi="Segoe UI" w:cs="Segoe UI"/>
          <w:color w:val="000000"/>
        </w:rPr>
        <w:t>3.0</w:t>
      </w:r>
      <w:r w:rsidRPr="00A759E7">
        <w:rPr>
          <w:rFonts w:ascii="Segoe UI" w:hAnsi="Segoe UI" w:cs="Segoe UI"/>
          <w:color w:val="000000"/>
        </w:rPr>
        <w:t>认证。华为云网络安全方案不仅提供技术防护能力，还通过自动化管理、智能联动与合规集成，降低企业安全运维复杂度，为混合云业务的稳定运行提供坚实保障。</w:t>
      </w:r>
    </w:p>
    <w:p w14:paraId="56190C80" w14:textId="53EF69FC" w:rsidR="008B6551" w:rsidRDefault="008B6551" w:rsidP="001F4BFA">
      <w:pPr>
        <w:pStyle w:val="5"/>
        <w:shd w:val="clear" w:color="auto" w:fill="F9FAFB"/>
        <w:rPr>
          <w:rFonts w:ascii="Segoe UI" w:hAnsi="Segoe UI" w:cs="Segoe UI"/>
          <w:color w:val="000000"/>
        </w:rPr>
      </w:pPr>
      <w:r>
        <w:rPr>
          <w:rFonts w:ascii="Segoe UI" w:hAnsi="Segoe UI" w:cs="Segoe UI"/>
          <w:color w:val="000000"/>
        </w:rPr>
        <w:t>身份与访问控制</w:t>
      </w:r>
    </w:p>
    <w:p w14:paraId="4B3F4395" w14:textId="7BABCCD7" w:rsidR="00A759E7" w:rsidRPr="00A759E7" w:rsidRDefault="00A759E7" w:rsidP="00A759E7">
      <w:pPr>
        <w:pStyle w:val="6"/>
        <w:rPr>
          <w:rFonts w:hint="eastAsia"/>
        </w:rPr>
      </w:pPr>
      <w:r w:rsidRPr="00A759E7">
        <w:rPr>
          <w:rFonts w:hint="eastAsia"/>
        </w:rPr>
        <w:t>人员身份管理</w:t>
      </w:r>
    </w:p>
    <w:p w14:paraId="551080EC" w14:textId="16DFB8E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在混合云环境中，人员身份管理以</w:t>
      </w:r>
      <w:r w:rsidRPr="00A759E7">
        <w:rPr>
          <w:rFonts w:ascii="Segoe UI" w:hAnsi="Segoe UI" w:cs="Segoe UI"/>
          <w:color w:val="000000"/>
        </w:rPr>
        <w:t>“</w:t>
      </w:r>
      <w:r w:rsidRPr="00A759E7">
        <w:rPr>
          <w:rFonts w:ascii="Segoe UI" w:hAnsi="Segoe UI" w:cs="Segoe UI"/>
          <w:color w:val="000000"/>
        </w:rPr>
        <w:t>最小权限原则</w:t>
      </w:r>
      <w:r w:rsidRPr="00A759E7">
        <w:rPr>
          <w:rFonts w:ascii="Segoe UI" w:hAnsi="Segoe UI" w:cs="Segoe UI"/>
          <w:color w:val="000000"/>
        </w:rPr>
        <w:t>”</w:t>
      </w:r>
      <w:r w:rsidRPr="00A759E7">
        <w:rPr>
          <w:rFonts w:ascii="Segoe UI" w:hAnsi="Segoe UI" w:cs="Segoe UI"/>
          <w:color w:val="000000"/>
        </w:rPr>
        <w:t>为核心，通过华为云资源访问管理（</w:t>
      </w:r>
      <w:r w:rsidRPr="00A759E7">
        <w:rPr>
          <w:rFonts w:ascii="Segoe UI" w:hAnsi="Segoe UI" w:cs="Segoe UI"/>
          <w:color w:val="000000"/>
        </w:rPr>
        <w:t>RAM</w:t>
      </w:r>
      <w:r w:rsidRPr="00A759E7">
        <w:rPr>
          <w:rFonts w:ascii="Segoe UI" w:hAnsi="Segoe UI" w:cs="Segoe UI"/>
          <w:color w:val="000000"/>
        </w:rPr>
        <w:t>）体系构建精细化的权限控制体系。传统</w:t>
      </w:r>
      <w:r w:rsidRPr="00A759E7">
        <w:rPr>
          <w:rFonts w:ascii="Segoe UI" w:hAnsi="Segoe UI" w:cs="Segoe UI"/>
          <w:color w:val="000000"/>
        </w:rPr>
        <w:t>Root</w:t>
      </w:r>
      <w:r w:rsidRPr="00A759E7">
        <w:rPr>
          <w:rFonts w:ascii="Segoe UI" w:hAnsi="Segoe UI" w:cs="Segoe UI"/>
          <w:color w:val="000000"/>
        </w:rPr>
        <w:t>账号因具备云账号的完全管理权限，一旦泄露将导致全局风险，因此方案明确</w:t>
      </w:r>
      <w:r w:rsidR="006C6F6D" w:rsidRPr="006C6F6D">
        <w:rPr>
          <w:rFonts w:ascii="Segoe UI" w:hAnsi="Segoe UI" w:cs="Segoe UI"/>
          <w:b/>
          <w:color w:val="000000"/>
        </w:rPr>
        <w:t>招标文件要求</w:t>
      </w:r>
      <w:r w:rsidRPr="00A759E7">
        <w:rPr>
          <w:rFonts w:ascii="Segoe UI" w:hAnsi="Segoe UI" w:cs="Segoe UI"/>
          <w:color w:val="000000"/>
        </w:rPr>
        <w:t>避免直接使用</w:t>
      </w:r>
      <w:r w:rsidRPr="00A759E7">
        <w:rPr>
          <w:rFonts w:ascii="Segoe UI" w:hAnsi="Segoe UI" w:cs="Segoe UI"/>
          <w:color w:val="000000"/>
        </w:rPr>
        <w:t>Root</w:t>
      </w:r>
      <w:r w:rsidRPr="00A759E7">
        <w:rPr>
          <w:rFonts w:ascii="Segoe UI" w:hAnsi="Segoe UI" w:cs="Segoe UI"/>
          <w:color w:val="000000"/>
        </w:rPr>
        <w:t>身份，转而通过</w:t>
      </w:r>
      <w:r w:rsidRPr="00A759E7">
        <w:rPr>
          <w:rFonts w:ascii="Segoe UI" w:hAnsi="Segoe UI" w:cs="Segoe UI"/>
          <w:color w:val="000000"/>
        </w:rPr>
        <w:t>RAM</w:t>
      </w:r>
      <w:r w:rsidRPr="00A759E7">
        <w:rPr>
          <w:rFonts w:ascii="Segoe UI" w:hAnsi="Segoe UI" w:cs="Segoe UI"/>
          <w:color w:val="000000"/>
        </w:rPr>
        <w:t>创建子账号（</w:t>
      </w:r>
      <w:r w:rsidRPr="00A759E7">
        <w:rPr>
          <w:rFonts w:ascii="Segoe UI" w:hAnsi="Segoe UI" w:cs="Segoe UI"/>
          <w:color w:val="000000"/>
        </w:rPr>
        <w:t>RAM</w:t>
      </w:r>
      <w:r w:rsidRPr="00A759E7">
        <w:rPr>
          <w:rFonts w:ascii="Segoe UI" w:hAnsi="Segoe UI" w:cs="Segoe UI"/>
          <w:color w:val="000000"/>
        </w:rPr>
        <w:t>用户），根据职能划分权限边界。例如，开发团队仅赋予</w:t>
      </w:r>
      <w:r w:rsidRPr="00A759E7">
        <w:rPr>
          <w:rFonts w:ascii="Segoe UI" w:hAnsi="Segoe UI" w:cs="Segoe UI"/>
          <w:color w:val="000000"/>
        </w:rPr>
        <w:t>ECS</w:t>
      </w:r>
      <w:r w:rsidRPr="00A759E7">
        <w:rPr>
          <w:rFonts w:ascii="Segoe UI" w:hAnsi="Segoe UI" w:cs="Segoe UI"/>
          <w:color w:val="000000"/>
        </w:rPr>
        <w:t>实例的创建与管理权限，运维团队拥有网络配置权限，而数据库敏感操作权限则单独分配给</w:t>
      </w:r>
      <w:r w:rsidRPr="00A759E7">
        <w:rPr>
          <w:rFonts w:ascii="Segoe UI" w:hAnsi="Segoe UI" w:cs="Segoe UI"/>
          <w:color w:val="000000"/>
        </w:rPr>
        <w:t>DBA</w:t>
      </w:r>
      <w:r w:rsidRPr="00A759E7">
        <w:rPr>
          <w:rFonts w:ascii="Segoe UI" w:hAnsi="Segoe UI" w:cs="Segoe UI"/>
          <w:color w:val="000000"/>
        </w:rPr>
        <w:t>角色，所有操作通过</w:t>
      </w:r>
      <w:r w:rsidRPr="00A759E7">
        <w:rPr>
          <w:rFonts w:ascii="Segoe UI" w:hAnsi="Segoe UI" w:cs="Segoe UI"/>
          <w:color w:val="000000"/>
        </w:rPr>
        <w:t>RAM</w:t>
      </w:r>
      <w:r w:rsidRPr="00A759E7">
        <w:rPr>
          <w:rFonts w:ascii="Segoe UI" w:hAnsi="Segoe UI" w:cs="Segoe UI"/>
          <w:color w:val="000000"/>
        </w:rPr>
        <w:t>的访问策略（</w:t>
      </w:r>
      <w:r w:rsidRPr="00A759E7">
        <w:rPr>
          <w:rFonts w:ascii="Segoe UI" w:hAnsi="Segoe UI" w:cs="Segoe UI"/>
          <w:color w:val="000000"/>
        </w:rPr>
        <w:t>Policy</w:t>
      </w:r>
      <w:r w:rsidRPr="00A759E7">
        <w:rPr>
          <w:rFonts w:ascii="Segoe UI" w:hAnsi="Segoe UI" w:cs="Segoe UI"/>
          <w:color w:val="000000"/>
        </w:rPr>
        <w:t>）实现精准控制，权限颗粒度可细化至</w:t>
      </w:r>
      <w:r w:rsidRPr="00A759E7">
        <w:rPr>
          <w:rFonts w:ascii="Segoe UI" w:hAnsi="Segoe UI" w:cs="Segoe UI"/>
          <w:color w:val="000000"/>
        </w:rPr>
        <w:t>API</w:t>
      </w:r>
      <w:r w:rsidRPr="00A759E7">
        <w:rPr>
          <w:rFonts w:ascii="Segoe UI" w:hAnsi="Segoe UI" w:cs="Segoe UI"/>
          <w:color w:val="000000"/>
        </w:rPr>
        <w:t>接</w:t>
      </w:r>
      <w:r w:rsidRPr="00A759E7">
        <w:rPr>
          <w:rFonts w:ascii="Segoe UI" w:hAnsi="Segoe UI" w:cs="Segoe UI"/>
          <w:color w:val="000000"/>
        </w:rPr>
        <w:lastRenderedPageBreak/>
        <w:t>口级别。</w:t>
      </w:r>
    </w:p>
    <w:p w14:paraId="752EB6BF" w14:textId="1FD5AAA5"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统一认证体系基于</w:t>
      </w:r>
      <w:r w:rsidRPr="00A759E7">
        <w:rPr>
          <w:rFonts w:ascii="Segoe UI" w:hAnsi="Segoe UI" w:cs="Segoe UI"/>
          <w:color w:val="000000"/>
        </w:rPr>
        <w:t>SAML2.0</w:t>
      </w:r>
      <w:r w:rsidRPr="00A759E7">
        <w:rPr>
          <w:rFonts w:ascii="Segoe UI" w:hAnsi="Segoe UI" w:cs="Segoe UI"/>
          <w:color w:val="000000"/>
        </w:rPr>
        <w:t>协议集成企业现有身份提供商（</w:t>
      </w:r>
      <w:r w:rsidRPr="00A759E7">
        <w:rPr>
          <w:rFonts w:ascii="Segoe UI" w:hAnsi="Segoe UI" w:cs="Segoe UI"/>
          <w:color w:val="000000"/>
        </w:rPr>
        <w:t>IdP</w:t>
      </w:r>
      <w:r w:rsidRPr="00A759E7">
        <w:rPr>
          <w:rFonts w:ascii="Segoe UI" w:hAnsi="Segoe UI" w:cs="Segoe UI"/>
          <w:color w:val="000000"/>
        </w:rPr>
        <w:t>），实现云上云下的单点登录（</w:t>
      </w:r>
      <w:r w:rsidRPr="00A759E7">
        <w:rPr>
          <w:rFonts w:ascii="Segoe UI" w:hAnsi="Segoe UI" w:cs="Segoe UI"/>
          <w:color w:val="000000"/>
        </w:rPr>
        <w:t>SSO</w:t>
      </w:r>
      <w:r w:rsidRPr="00A759E7">
        <w:rPr>
          <w:rFonts w:ascii="Segoe UI" w:hAnsi="Segoe UI" w:cs="Segoe UI"/>
          <w:color w:val="000000"/>
        </w:rPr>
        <w:t>）。企业可通过</w:t>
      </w:r>
      <w:r w:rsidRPr="00A759E7">
        <w:rPr>
          <w:rFonts w:ascii="Segoe UI" w:hAnsi="Segoe UI" w:cs="Segoe UI"/>
          <w:color w:val="000000"/>
        </w:rPr>
        <w:t>RAMSSO</w:t>
      </w:r>
      <w:r w:rsidRPr="00A759E7">
        <w:rPr>
          <w:rFonts w:ascii="Segoe UI" w:hAnsi="Segoe UI" w:cs="Segoe UI"/>
          <w:color w:val="000000"/>
        </w:rPr>
        <w:t>功能将本地</w:t>
      </w:r>
      <w:proofErr w:type="spellStart"/>
      <w:r w:rsidRPr="00A759E7">
        <w:rPr>
          <w:rFonts w:ascii="Segoe UI" w:hAnsi="Segoe UI" w:cs="Segoe UI"/>
          <w:color w:val="000000"/>
        </w:rPr>
        <w:t>ActiveDirectory</w:t>
      </w:r>
      <w:proofErr w:type="spellEnd"/>
      <w:r w:rsidRPr="00A759E7">
        <w:rPr>
          <w:rFonts w:ascii="Segoe UI" w:hAnsi="Segoe UI" w:cs="Segoe UI"/>
          <w:color w:val="000000"/>
        </w:rPr>
        <w:t>或</w:t>
      </w:r>
      <w:r w:rsidRPr="00A759E7">
        <w:rPr>
          <w:rFonts w:ascii="Segoe UI" w:hAnsi="Segoe UI" w:cs="Segoe UI"/>
          <w:color w:val="000000"/>
        </w:rPr>
        <w:t>OAuth</w:t>
      </w:r>
      <w:r w:rsidRPr="00A759E7">
        <w:rPr>
          <w:rFonts w:ascii="Segoe UI" w:hAnsi="Segoe UI" w:cs="Segoe UI"/>
          <w:color w:val="000000"/>
        </w:rPr>
        <w:t>认证系统与华为云对接，用户无需记忆额外的</w:t>
      </w:r>
      <w:r w:rsidRPr="00A759E7">
        <w:rPr>
          <w:rFonts w:ascii="Segoe UI" w:hAnsi="Segoe UI" w:cs="Segoe UI"/>
          <w:color w:val="000000"/>
        </w:rPr>
        <w:t>RAM</w:t>
      </w:r>
      <w:r w:rsidRPr="00A759E7">
        <w:rPr>
          <w:rFonts w:ascii="Segoe UI" w:hAnsi="Segoe UI" w:cs="Segoe UI"/>
          <w:color w:val="000000"/>
        </w:rPr>
        <w:t>账号密码，直接使用企业统一身份凭据登录云端控制台或</w:t>
      </w:r>
      <w:r w:rsidRPr="00A759E7">
        <w:rPr>
          <w:rFonts w:ascii="Segoe UI" w:hAnsi="Segoe UI" w:cs="Segoe UI"/>
          <w:color w:val="000000"/>
        </w:rPr>
        <w:t>API</w:t>
      </w:r>
      <w:r w:rsidRPr="00A759E7">
        <w:rPr>
          <w:rFonts w:ascii="Segoe UI" w:hAnsi="Segoe UI" w:cs="Segoe UI"/>
          <w:color w:val="000000"/>
        </w:rPr>
        <w:t>服务。这种机制不仅简化了身份管理复杂度，还确保人员入职、离职时的权限同步</w:t>
      </w:r>
      <w:r w:rsidRPr="00A759E7">
        <w:rPr>
          <w:rFonts w:ascii="Segoe UI" w:hAnsi="Segoe UI" w:cs="Segoe UI"/>
          <w:color w:val="000000"/>
        </w:rPr>
        <w:t>——</w:t>
      </w:r>
      <w:r w:rsidRPr="00A759E7">
        <w:rPr>
          <w:rFonts w:ascii="Segoe UI" w:hAnsi="Segoe UI" w:cs="Segoe UI"/>
          <w:color w:val="000000"/>
        </w:rPr>
        <w:t>当人员在</w:t>
      </w:r>
      <w:r w:rsidRPr="00A759E7">
        <w:rPr>
          <w:rFonts w:ascii="Segoe UI" w:hAnsi="Segoe UI" w:cs="Segoe UI"/>
          <w:color w:val="000000"/>
        </w:rPr>
        <w:t>IdP</w:t>
      </w:r>
      <w:r w:rsidRPr="00A759E7">
        <w:rPr>
          <w:rFonts w:ascii="Segoe UI" w:hAnsi="Segoe UI" w:cs="Segoe UI"/>
          <w:color w:val="000000"/>
        </w:rPr>
        <w:t>中被禁用时，其云上访问权限自动失效，避免权限残留风险。对于多账号的复杂组织，可通过华为云</w:t>
      </w:r>
      <w:r w:rsidRPr="00A759E7">
        <w:rPr>
          <w:rFonts w:ascii="Segoe UI" w:hAnsi="Segoe UI" w:cs="Segoe UI"/>
          <w:color w:val="000000"/>
        </w:rPr>
        <w:t>SSO</w:t>
      </w:r>
      <w:r w:rsidRPr="00A759E7">
        <w:rPr>
          <w:rFonts w:ascii="Segoe UI" w:hAnsi="Segoe UI" w:cs="Segoe UI"/>
          <w:color w:val="000000"/>
        </w:rPr>
        <w:t>进一步实</w:t>
      </w:r>
      <w:r w:rsidRPr="00A759E7">
        <w:rPr>
          <w:rFonts w:ascii="Segoe UI" w:hAnsi="Segoe UI" w:cs="Segoe UI" w:hint="eastAsia"/>
          <w:color w:val="000000"/>
        </w:rPr>
        <w:t>现跨账号的集中身份管理，例如金融集团旗下子公司使用独立云账号时，总部</w:t>
      </w:r>
      <w:r w:rsidRPr="00A759E7">
        <w:rPr>
          <w:rFonts w:ascii="Segoe UI" w:hAnsi="Segoe UI" w:cs="Segoe UI"/>
          <w:color w:val="000000"/>
        </w:rPr>
        <w:t>IdP</w:t>
      </w:r>
      <w:r w:rsidRPr="00A759E7">
        <w:rPr>
          <w:rFonts w:ascii="Segoe UI" w:hAnsi="Segoe UI" w:cs="Segoe UI"/>
          <w:color w:val="000000"/>
        </w:rPr>
        <w:t>可统一管控所有子账号的访问权限。</w:t>
      </w:r>
    </w:p>
    <w:p w14:paraId="1C25B580" w14:textId="4F57CA5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多因素认证（</w:t>
      </w:r>
      <w:r w:rsidRPr="00A759E7">
        <w:rPr>
          <w:rFonts w:ascii="Segoe UI" w:hAnsi="Segoe UI" w:cs="Segoe UI"/>
          <w:color w:val="000000"/>
        </w:rPr>
        <w:t>MFA</w:t>
      </w:r>
      <w:r w:rsidRPr="00A759E7">
        <w:rPr>
          <w:rFonts w:ascii="Segoe UI" w:hAnsi="Segoe UI" w:cs="Segoe UI"/>
          <w:color w:val="000000"/>
        </w:rPr>
        <w:t>）作为人员身份的第二层防护，</w:t>
      </w:r>
      <w:r w:rsidR="006C6F6D" w:rsidRPr="006C6F6D">
        <w:rPr>
          <w:rFonts w:ascii="Segoe UI" w:hAnsi="Segoe UI" w:cs="Segoe UI"/>
          <w:b/>
          <w:color w:val="000000"/>
        </w:rPr>
        <w:t>招标文件要求</w:t>
      </w:r>
      <w:r w:rsidRPr="00A759E7">
        <w:rPr>
          <w:rFonts w:ascii="Segoe UI" w:hAnsi="Segoe UI" w:cs="Segoe UI"/>
          <w:color w:val="000000"/>
        </w:rPr>
        <w:t>关键操作（如</w:t>
      </w:r>
      <w:r w:rsidRPr="00A759E7">
        <w:rPr>
          <w:rFonts w:ascii="Segoe UI" w:hAnsi="Segoe UI" w:cs="Segoe UI"/>
          <w:color w:val="000000"/>
        </w:rPr>
        <w:t>Root</w:t>
      </w:r>
      <w:r w:rsidRPr="00A759E7">
        <w:rPr>
          <w:rFonts w:ascii="Segoe UI" w:hAnsi="Segoe UI" w:cs="Segoe UI"/>
          <w:color w:val="000000"/>
        </w:rPr>
        <w:t>账号登录、敏感资源删除）必须通过二次验证。华为云支持虚拟</w:t>
      </w:r>
      <w:r w:rsidRPr="00A759E7">
        <w:rPr>
          <w:rFonts w:ascii="Segoe UI" w:hAnsi="Segoe UI" w:cs="Segoe UI"/>
          <w:color w:val="000000"/>
        </w:rPr>
        <w:t>MFA</w:t>
      </w:r>
      <w:r w:rsidRPr="00A759E7">
        <w:rPr>
          <w:rFonts w:ascii="Segoe UI" w:hAnsi="Segoe UI" w:cs="Segoe UI"/>
          <w:color w:val="000000"/>
        </w:rPr>
        <w:t>（基于手机</w:t>
      </w:r>
      <w:r w:rsidRPr="00A759E7">
        <w:rPr>
          <w:rFonts w:ascii="Segoe UI" w:hAnsi="Segoe UI" w:cs="Segoe UI"/>
          <w:color w:val="000000"/>
        </w:rPr>
        <w:t>APP</w:t>
      </w:r>
      <w:r w:rsidRPr="00A759E7">
        <w:rPr>
          <w:rFonts w:ascii="Segoe UI" w:hAnsi="Segoe UI" w:cs="Segoe UI"/>
          <w:color w:val="000000"/>
        </w:rPr>
        <w:t>生成动态码）与</w:t>
      </w:r>
      <w:r w:rsidRPr="00A759E7">
        <w:rPr>
          <w:rFonts w:ascii="Segoe UI" w:hAnsi="Segoe UI" w:cs="Segoe UI"/>
          <w:color w:val="000000"/>
        </w:rPr>
        <w:t>U2F</w:t>
      </w:r>
      <w:r w:rsidRPr="00A759E7">
        <w:rPr>
          <w:rFonts w:ascii="Segoe UI" w:hAnsi="Segoe UI" w:cs="Segoe UI"/>
          <w:color w:val="000000"/>
        </w:rPr>
        <w:t>安全密钥等方式，例如运维人员登录控制台时，除密码外还需输入手机</w:t>
      </w:r>
      <w:r w:rsidRPr="00A759E7">
        <w:rPr>
          <w:rFonts w:ascii="Segoe UI" w:hAnsi="Segoe UI" w:cs="Segoe UI"/>
          <w:color w:val="000000"/>
        </w:rPr>
        <w:t>APP</w:t>
      </w:r>
      <w:r w:rsidRPr="00A759E7">
        <w:rPr>
          <w:rFonts w:ascii="Segoe UI" w:hAnsi="Segoe UI" w:cs="Segoe UI"/>
          <w:color w:val="000000"/>
        </w:rPr>
        <w:t>生成的</w:t>
      </w:r>
      <w:r w:rsidRPr="00A759E7">
        <w:rPr>
          <w:rFonts w:ascii="Segoe UI" w:hAnsi="Segoe UI" w:cs="Segoe UI"/>
          <w:color w:val="000000"/>
        </w:rPr>
        <w:t>6</w:t>
      </w:r>
      <w:r w:rsidRPr="00A759E7">
        <w:rPr>
          <w:rFonts w:ascii="Segoe UI" w:hAnsi="Segoe UI" w:cs="Segoe UI"/>
          <w:color w:val="000000"/>
        </w:rPr>
        <w:t>位动态码，或插入</w:t>
      </w:r>
      <w:r w:rsidRPr="00A759E7">
        <w:rPr>
          <w:rFonts w:ascii="Segoe UI" w:hAnsi="Segoe UI" w:cs="Segoe UI"/>
          <w:color w:val="000000"/>
        </w:rPr>
        <w:t>U2F</w:t>
      </w:r>
      <w:r w:rsidRPr="00A759E7">
        <w:rPr>
          <w:rFonts w:ascii="Segoe UI" w:hAnsi="Segoe UI" w:cs="Segoe UI"/>
          <w:color w:val="000000"/>
        </w:rPr>
        <w:t>密钥完成验证。这种机制有效抵御了密码泄露后的身份冒用风险，尤其适用于远程办公场景</w:t>
      </w:r>
      <w:r w:rsidRPr="00A759E7">
        <w:rPr>
          <w:rFonts w:ascii="Segoe UI" w:hAnsi="Segoe UI" w:cs="Segoe UI"/>
          <w:color w:val="000000"/>
        </w:rPr>
        <w:t>——</w:t>
      </w:r>
      <w:r w:rsidRPr="00A759E7">
        <w:rPr>
          <w:rFonts w:ascii="Segoe UI" w:hAnsi="Segoe UI" w:cs="Segoe UI"/>
          <w:color w:val="000000"/>
        </w:rPr>
        <w:t>某银行通过</w:t>
      </w:r>
      <w:r w:rsidRPr="00A759E7">
        <w:rPr>
          <w:rFonts w:ascii="Segoe UI" w:hAnsi="Segoe UI" w:cs="Segoe UI"/>
          <w:color w:val="000000"/>
        </w:rPr>
        <w:t>MFA</w:t>
      </w:r>
      <w:r w:rsidRPr="00A759E7">
        <w:rPr>
          <w:rFonts w:ascii="Segoe UI" w:hAnsi="Segoe UI" w:cs="Segoe UI"/>
          <w:color w:val="000000"/>
        </w:rPr>
        <w:t>将钓鱼攻击成功率降低</w:t>
      </w:r>
      <w:r w:rsidRPr="00A759E7">
        <w:rPr>
          <w:rFonts w:ascii="Segoe UI" w:hAnsi="Segoe UI" w:cs="Segoe UI"/>
          <w:color w:val="000000"/>
        </w:rPr>
        <w:t>99%</w:t>
      </w:r>
      <w:r w:rsidRPr="00A759E7">
        <w:rPr>
          <w:rFonts w:ascii="Segoe UI" w:hAnsi="Segoe UI" w:cs="Segoe UI"/>
          <w:color w:val="000000"/>
        </w:rPr>
        <w:t>，确保核心业务操作的安全性。</w:t>
      </w:r>
    </w:p>
    <w:p w14:paraId="6DB0A991" w14:textId="2A845194" w:rsidR="00A759E7" w:rsidRPr="00A759E7" w:rsidRDefault="00A759E7" w:rsidP="00A759E7">
      <w:pPr>
        <w:pStyle w:val="6"/>
        <w:rPr>
          <w:rFonts w:hint="eastAsia"/>
        </w:rPr>
      </w:pPr>
      <w:r w:rsidRPr="00A759E7">
        <w:rPr>
          <w:rFonts w:hint="eastAsia"/>
        </w:rPr>
        <w:t>程序身份管理</w:t>
      </w:r>
    </w:p>
    <w:p w14:paraId="2D66171D" w14:textId="76B2347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程序身份管理聚焦于应用程序访问云资源的凭据安全，核心在于避免使用固定凭据（如云账号</w:t>
      </w:r>
      <w:proofErr w:type="spellStart"/>
      <w:r w:rsidRPr="00A759E7">
        <w:rPr>
          <w:rFonts w:ascii="Segoe UI" w:hAnsi="Segoe UI" w:cs="Segoe UI"/>
          <w:color w:val="000000"/>
        </w:rPr>
        <w:t>AccessKey</w:t>
      </w:r>
      <w:proofErr w:type="spellEnd"/>
      <w:r w:rsidRPr="00A759E7">
        <w:rPr>
          <w:rFonts w:ascii="Segoe UI" w:hAnsi="Segoe UI" w:cs="Segoe UI"/>
          <w:color w:val="000000"/>
        </w:rPr>
        <w:t>），转而采用临时授权机制。云账号的</w:t>
      </w:r>
      <w:proofErr w:type="spellStart"/>
      <w:r w:rsidRPr="00A759E7">
        <w:rPr>
          <w:rFonts w:ascii="Segoe UI" w:hAnsi="Segoe UI" w:cs="Segoe UI"/>
          <w:color w:val="000000"/>
        </w:rPr>
        <w:t>AccessKey</w:t>
      </w:r>
      <w:proofErr w:type="spellEnd"/>
      <w:r w:rsidRPr="00A759E7">
        <w:rPr>
          <w:rFonts w:ascii="Segoe UI" w:hAnsi="Segoe UI" w:cs="Segoe UI"/>
          <w:color w:val="000000"/>
        </w:rPr>
        <w:t>等同于</w:t>
      </w:r>
      <w:r w:rsidRPr="00A759E7">
        <w:rPr>
          <w:rFonts w:ascii="Segoe UI" w:hAnsi="Segoe UI" w:cs="Segoe UI"/>
          <w:color w:val="000000"/>
        </w:rPr>
        <w:t>Root</w:t>
      </w:r>
      <w:r w:rsidRPr="00A759E7">
        <w:rPr>
          <w:rFonts w:ascii="Segoe UI" w:hAnsi="Segoe UI" w:cs="Segoe UI"/>
          <w:color w:val="000000"/>
        </w:rPr>
        <w:t>权限且无法限制访问条件，一旦嵌入代码或上传至代码仓库，将导致严重安全隐患。因此方案</w:t>
      </w:r>
      <w:r w:rsidR="006C6F6D" w:rsidRPr="006C6F6D">
        <w:rPr>
          <w:rFonts w:ascii="Segoe UI" w:hAnsi="Segoe UI" w:cs="Segoe UI"/>
          <w:b/>
          <w:color w:val="000000"/>
        </w:rPr>
        <w:t>招标文件要求</w:t>
      </w:r>
      <w:r w:rsidRPr="00A759E7">
        <w:rPr>
          <w:rFonts w:ascii="Segoe UI" w:hAnsi="Segoe UI" w:cs="Segoe UI"/>
          <w:color w:val="000000"/>
        </w:rPr>
        <w:t>所有程序访问必须使用</w:t>
      </w:r>
      <w:r w:rsidRPr="00A759E7">
        <w:rPr>
          <w:rFonts w:ascii="Segoe UI" w:hAnsi="Segoe UI" w:cs="Segoe UI"/>
          <w:color w:val="000000"/>
        </w:rPr>
        <w:t>RAM</w:t>
      </w:r>
      <w:r w:rsidRPr="00A759E7">
        <w:rPr>
          <w:rFonts w:ascii="Segoe UI" w:hAnsi="Segoe UI" w:cs="Segoe UI"/>
          <w:color w:val="000000"/>
        </w:rPr>
        <w:t>用户的</w:t>
      </w:r>
      <w:proofErr w:type="spellStart"/>
      <w:r w:rsidRPr="00A759E7">
        <w:rPr>
          <w:rFonts w:ascii="Segoe UI" w:hAnsi="Segoe UI" w:cs="Segoe UI"/>
          <w:color w:val="000000"/>
        </w:rPr>
        <w:t>AccessKey</w:t>
      </w:r>
      <w:proofErr w:type="spellEnd"/>
      <w:r w:rsidRPr="00A759E7">
        <w:rPr>
          <w:rFonts w:ascii="Segoe UI" w:hAnsi="Segoe UI" w:cs="Segoe UI"/>
          <w:color w:val="000000"/>
        </w:rPr>
        <w:t>，并针对不同应用、环境（生产</w:t>
      </w:r>
      <w:r w:rsidRPr="00A759E7">
        <w:rPr>
          <w:rFonts w:ascii="Segoe UI" w:hAnsi="Segoe UI" w:cs="Segoe UI"/>
          <w:color w:val="000000"/>
        </w:rPr>
        <w:t>/</w:t>
      </w:r>
      <w:r w:rsidRPr="00A759E7">
        <w:rPr>
          <w:rFonts w:ascii="Segoe UI" w:hAnsi="Segoe UI" w:cs="Segoe UI"/>
          <w:color w:val="000000"/>
        </w:rPr>
        <w:t>测试）创建独立凭据。例如，电商平台的支付系统与数据分析系统分别使用不同</w:t>
      </w:r>
      <w:r w:rsidRPr="00A759E7">
        <w:rPr>
          <w:rFonts w:ascii="Segoe UI" w:hAnsi="Segoe UI" w:cs="Segoe UI"/>
          <w:color w:val="000000"/>
        </w:rPr>
        <w:t>RAM</w:t>
      </w:r>
      <w:r w:rsidRPr="00A759E7">
        <w:rPr>
          <w:rFonts w:ascii="Segoe UI" w:hAnsi="Segoe UI" w:cs="Segoe UI"/>
          <w:color w:val="000000"/>
        </w:rPr>
        <w:t>用户的</w:t>
      </w:r>
      <w:proofErr w:type="spellStart"/>
      <w:r w:rsidRPr="00A759E7">
        <w:rPr>
          <w:rFonts w:ascii="Segoe UI" w:hAnsi="Segoe UI" w:cs="Segoe UI"/>
          <w:color w:val="000000"/>
        </w:rPr>
        <w:t>AccessKey</w:t>
      </w:r>
      <w:proofErr w:type="spellEnd"/>
      <w:r w:rsidRPr="00A759E7">
        <w:rPr>
          <w:rFonts w:ascii="Segoe UI" w:hAnsi="Segoe UI" w:cs="Segoe UI"/>
          <w:color w:val="000000"/>
        </w:rPr>
        <w:t>，且权限仅包含各自所需的</w:t>
      </w:r>
      <w:r w:rsidRPr="00A759E7">
        <w:rPr>
          <w:rFonts w:ascii="Segoe UI" w:hAnsi="Segoe UI" w:cs="Segoe UI"/>
          <w:color w:val="000000"/>
        </w:rPr>
        <w:t>API</w:t>
      </w:r>
      <w:r w:rsidRPr="00A759E7">
        <w:rPr>
          <w:rFonts w:ascii="Segoe UI" w:hAnsi="Segoe UI" w:cs="Segoe UI"/>
          <w:color w:val="000000"/>
        </w:rPr>
        <w:t>操作，实现</w:t>
      </w:r>
      <w:r w:rsidRPr="00A759E7">
        <w:rPr>
          <w:rFonts w:ascii="Segoe UI" w:hAnsi="Segoe UI" w:cs="Segoe UI"/>
          <w:color w:val="000000"/>
        </w:rPr>
        <w:t>“</w:t>
      </w:r>
      <w:r w:rsidRPr="00A759E7">
        <w:rPr>
          <w:rFonts w:ascii="Segoe UI" w:hAnsi="Segoe UI" w:cs="Segoe UI"/>
          <w:color w:val="000000"/>
        </w:rPr>
        <w:t>一应用</w:t>
      </w:r>
      <w:r w:rsidRPr="00A759E7">
        <w:rPr>
          <w:rFonts w:ascii="Segoe UI" w:hAnsi="Segoe UI" w:cs="Segoe UI" w:hint="eastAsia"/>
          <w:color w:val="000000"/>
        </w:rPr>
        <w:t>一凭据”</w:t>
      </w:r>
      <w:r w:rsidRPr="00A759E7">
        <w:rPr>
          <w:rFonts w:ascii="Segoe UI" w:hAnsi="Segoe UI" w:cs="Segoe UI"/>
          <w:color w:val="000000"/>
        </w:rPr>
        <w:t>的隔离策略。</w:t>
      </w:r>
    </w:p>
    <w:p w14:paraId="40917BB1" w14:textId="366F087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临时凭据（</w:t>
      </w:r>
      <w:proofErr w:type="spellStart"/>
      <w:r w:rsidRPr="00A759E7">
        <w:rPr>
          <w:rFonts w:ascii="Segoe UI" w:hAnsi="Segoe UI" w:cs="Segoe UI"/>
          <w:color w:val="000000"/>
        </w:rPr>
        <w:t>STSToken</w:t>
      </w:r>
      <w:proofErr w:type="spellEnd"/>
      <w:r w:rsidRPr="00A759E7">
        <w:rPr>
          <w:rFonts w:ascii="Segoe UI" w:hAnsi="Segoe UI" w:cs="Segoe UI"/>
          <w:color w:val="000000"/>
        </w:rPr>
        <w:t>）的应用是程序身份安全的关键创新。通过角色扮演（</w:t>
      </w:r>
      <w:r w:rsidRPr="00A759E7">
        <w:rPr>
          <w:rFonts w:ascii="Segoe UI" w:hAnsi="Segoe UI" w:cs="Segoe UI"/>
          <w:color w:val="000000"/>
        </w:rPr>
        <w:t>Role</w:t>
      </w:r>
      <w:r w:rsidRPr="00A759E7">
        <w:rPr>
          <w:rFonts w:ascii="Segoe UI" w:hAnsi="Segoe UI" w:cs="Segoe UI"/>
          <w:color w:val="000000"/>
        </w:rPr>
        <w:t>）机制，应用程序可动态获取短期有效的</w:t>
      </w:r>
      <w:proofErr w:type="spellStart"/>
      <w:r w:rsidRPr="00A759E7">
        <w:rPr>
          <w:rFonts w:ascii="Segoe UI" w:hAnsi="Segoe UI" w:cs="Segoe UI"/>
          <w:color w:val="000000"/>
        </w:rPr>
        <w:t>STSToken</w:t>
      </w:r>
      <w:proofErr w:type="spellEnd"/>
      <w:r w:rsidRPr="00A759E7">
        <w:rPr>
          <w:rFonts w:ascii="Segoe UI" w:hAnsi="Segoe UI" w:cs="Segoe UI"/>
          <w:color w:val="000000"/>
        </w:rPr>
        <w:t>，替代长期固定的</w:t>
      </w:r>
      <w:proofErr w:type="spellStart"/>
      <w:r w:rsidRPr="00A759E7">
        <w:rPr>
          <w:rFonts w:ascii="Segoe UI" w:hAnsi="Segoe UI" w:cs="Segoe UI"/>
          <w:color w:val="000000"/>
        </w:rPr>
        <w:t>AccessKey</w:t>
      </w:r>
      <w:proofErr w:type="spellEnd"/>
      <w:r w:rsidRPr="00A759E7">
        <w:rPr>
          <w:rFonts w:ascii="Segoe UI" w:hAnsi="Segoe UI" w:cs="Segoe UI"/>
          <w:color w:val="000000"/>
        </w:rPr>
        <w:t>。</w:t>
      </w:r>
      <w:proofErr w:type="spellStart"/>
      <w:r w:rsidRPr="00A759E7">
        <w:rPr>
          <w:rFonts w:ascii="Segoe UI" w:hAnsi="Segoe UI" w:cs="Segoe UI"/>
          <w:color w:val="000000"/>
        </w:rPr>
        <w:t>STSToken</w:t>
      </w:r>
      <w:proofErr w:type="spellEnd"/>
      <w:r w:rsidRPr="00A759E7">
        <w:rPr>
          <w:rFonts w:ascii="Segoe UI" w:hAnsi="Segoe UI" w:cs="Segoe UI"/>
          <w:color w:val="000000"/>
        </w:rPr>
        <w:t>默认有效期为</w:t>
      </w:r>
      <w:r w:rsidRPr="00A759E7">
        <w:rPr>
          <w:rFonts w:ascii="Segoe UI" w:hAnsi="Segoe UI" w:cs="Segoe UI"/>
          <w:color w:val="000000"/>
        </w:rPr>
        <w:t>1</w:t>
      </w:r>
      <w:r w:rsidRPr="00A759E7">
        <w:rPr>
          <w:rFonts w:ascii="Segoe UI" w:hAnsi="Segoe UI" w:cs="Segoe UI"/>
          <w:color w:val="000000"/>
        </w:rPr>
        <w:t>小时，过期自动失效，即使泄露也仅能在短时间内使用，极大降低了凭据泄露风险。华为云为不同部署场景提供了便捷的集成方式：部署在</w:t>
      </w:r>
      <w:r w:rsidRPr="00A759E7">
        <w:rPr>
          <w:rFonts w:ascii="Segoe UI" w:hAnsi="Segoe UI" w:cs="Segoe UI"/>
          <w:color w:val="000000"/>
        </w:rPr>
        <w:t>ECS</w:t>
      </w:r>
      <w:r w:rsidRPr="00A759E7">
        <w:rPr>
          <w:rFonts w:ascii="Segoe UI" w:hAnsi="Segoe UI" w:cs="Segoe UI"/>
          <w:color w:val="000000"/>
        </w:rPr>
        <w:t>实例上的应用，可通过实例角色（</w:t>
      </w:r>
      <w:proofErr w:type="spellStart"/>
      <w:r w:rsidRPr="00A759E7">
        <w:rPr>
          <w:rFonts w:ascii="Segoe UI" w:hAnsi="Segoe UI" w:cs="Segoe UI"/>
          <w:color w:val="000000"/>
        </w:rPr>
        <w:t>InstanceRole</w:t>
      </w:r>
      <w:proofErr w:type="spellEnd"/>
      <w:r w:rsidRPr="00A759E7">
        <w:rPr>
          <w:rFonts w:ascii="Segoe UI" w:hAnsi="Segoe UI" w:cs="Segoe UI"/>
          <w:color w:val="000000"/>
        </w:rPr>
        <w:t>）自动获取</w:t>
      </w:r>
      <w:proofErr w:type="spellStart"/>
      <w:r w:rsidRPr="00A759E7">
        <w:rPr>
          <w:rFonts w:ascii="Segoe UI" w:hAnsi="Segoe UI" w:cs="Segoe UI"/>
          <w:color w:val="000000"/>
        </w:rPr>
        <w:t>STSToken</w:t>
      </w:r>
      <w:proofErr w:type="spellEnd"/>
      <w:r w:rsidRPr="00A759E7">
        <w:rPr>
          <w:rFonts w:ascii="Segoe UI" w:hAnsi="Segoe UI" w:cs="Segoe UI"/>
          <w:color w:val="000000"/>
        </w:rPr>
        <w:t>，无需在代码中硬编码凭据；容器服务</w:t>
      </w:r>
      <w:r w:rsidRPr="00A759E7">
        <w:rPr>
          <w:rFonts w:ascii="Segoe UI" w:hAnsi="Segoe UI" w:cs="Segoe UI"/>
          <w:color w:val="000000"/>
        </w:rPr>
        <w:t>ACK</w:t>
      </w:r>
      <w:r w:rsidRPr="00A759E7">
        <w:rPr>
          <w:rFonts w:ascii="Segoe UI" w:hAnsi="Segoe UI" w:cs="Segoe UI"/>
          <w:color w:val="000000"/>
        </w:rPr>
        <w:t>中的应用，通过</w:t>
      </w:r>
      <w:r w:rsidRPr="00A759E7">
        <w:rPr>
          <w:rFonts w:ascii="Segoe UI" w:hAnsi="Segoe UI" w:cs="Segoe UI"/>
          <w:color w:val="000000"/>
        </w:rPr>
        <w:t>RRSA</w:t>
      </w:r>
      <w:r w:rsidRPr="00A759E7">
        <w:rPr>
          <w:rFonts w:ascii="Segoe UI" w:hAnsi="Segoe UI" w:cs="Segoe UI"/>
          <w:color w:val="000000"/>
        </w:rPr>
        <w:t>功能将</w:t>
      </w:r>
      <w:r w:rsidRPr="00A759E7">
        <w:rPr>
          <w:rFonts w:ascii="Segoe UI" w:hAnsi="Segoe UI" w:cs="Segoe UI"/>
          <w:color w:val="000000"/>
        </w:rPr>
        <w:t>RAM</w:t>
      </w:r>
      <w:r w:rsidRPr="00A759E7">
        <w:rPr>
          <w:rFonts w:ascii="Segoe UI" w:hAnsi="Segoe UI" w:cs="Segoe UI" w:hint="eastAsia"/>
          <w:color w:val="000000"/>
        </w:rPr>
        <w:t>角色与</w:t>
      </w:r>
      <w:proofErr w:type="spellStart"/>
      <w:r w:rsidRPr="00A759E7">
        <w:rPr>
          <w:rFonts w:ascii="Segoe UI" w:hAnsi="Segoe UI" w:cs="Segoe UI"/>
          <w:color w:val="000000"/>
        </w:rPr>
        <w:t>ServiceAccount</w:t>
      </w:r>
      <w:proofErr w:type="spellEnd"/>
      <w:r w:rsidRPr="00A759E7">
        <w:rPr>
          <w:rFonts w:ascii="Segoe UI" w:hAnsi="Segoe UI" w:cs="Segoe UI"/>
          <w:color w:val="000000"/>
        </w:rPr>
        <w:t>绑定，在</w:t>
      </w:r>
      <w:r w:rsidRPr="00A759E7">
        <w:rPr>
          <w:rFonts w:ascii="Segoe UI" w:hAnsi="Segoe UI" w:cs="Segoe UI"/>
          <w:color w:val="000000"/>
        </w:rPr>
        <w:t>Pod</w:t>
      </w:r>
      <w:r w:rsidRPr="00A759E7">
        <w:rPr>
          <w:rFonts w:ascii="Segoe UI" w:hAnsi="Segoe UI" w:cs="Segoe UI"/>
          <w:color w:val="000000"/>
        </w:rPr>
        <w:t>启动时自动注入临时凭据；函数计算</w:t>
      </w:r>
      <w:r w:rsidRPr="00A759E7">
        <w:rPr>
          <w:rFonts w:ascii="Segoe UI" w:hAnsi="Segoe UI" w:cs="Segoe UI"/>
          <w:color w:val="000000"/>
        </w:rPr>
        <w:t>FC</w:t>
      </w:r>
      <w:r w:rsidRPr="00A759E7">
        <w:rPr>
          <w:rFonts w:ascii="Segoe UI" w:hAnsi="Segoe UI" w:cs="Segoe UI"/>
          <w:color w:val="000000"/>
        </w:rPr>
        <w:t>的</w:t>
      </w:r>
      <w:r w:rsidRPr="00A759E7">
        <w:rPr>
          <w:rFonts w:ascii="Segoe UI" w:hAnsi="Segoe UI" w:cs="Segoe UI"/>
          <w:color w:val="000000"/>
        </w:rPr>
        <w:t>Serverless</w:t>
      </w:r>
      <w:r w:rsidRPr="00A759E7">
        <w:rPr>
          <w:rFonts w:ascii="Segoe UI" w:hAnsi="Segoe UI" w:cs="Segoe UI"/>
          <w:color w:val="000000"/>
        </w:rPr>
        <w:t>应用则通过函数角色直接关联权限，运行时动态获取授权。</w:t>
      </w:r>
    </w:p>
    <w:p w14:paraId="28430C12" w14:textId="55FDCF6E"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程序凭据的自动化轮转机制进一步增强安全性。通过华为云密钥管理服务（</w:t>
      </w:r>
      <w:r w:rsidRPr="00A759E7">
        <w:rPr>
          <w:rFonts w:ascii="Segoe UI" w:hAnsi="Segoe UI" w:cs="Segoe UI"/>
          <w:color w:val="000000"/>
        </w:rPr>
        <w:t>KMS</w:t>
      </w:r>
      <w:r w:rsidRPr="00A759E7">
        <w:rPr>
          <w:rFonts w:ascii="Segoe UI" w:hAnsi="Segoe UI" w:cs="Segoe UI"/>
          <w:color w:val="000000"/>
        </w:rPr>
        <w:t>）的凭据管家功能，可对</w:t>
      </w:r>
      <w:r w:rsidRPr="00A759E7">
        <w:rPr>
          <w:rFonts w:ascii="Segoe UI" w:hAnsi="Segoe UI" w:cs="Segoe UI"/>
          <w:color w:val="000000"/>
        </w:rPr>
        <w:t>RAM</w:t>
      </w:r>
      <w:r w:rsidRPr="00A759E7">
        <w:rPr>
          <w:rFonts w:ascii="Segoe UI" w:hAnsi="Segoe UI" w:cs="Segoe UI"/>
          <w:color w:val="000000"/>
        </w:rPr>
        <w:t>用户的</w:t>
      </w:r>
      <w:proofErr w:type="spellStart"/>
      <w:r w:rsidRPr="00A759E7">
        <w:rPr>
          <w:rFonts w:ascii="Segoe UI" w:hAnsi="Segoe UI" w:cs="Segoe UI"/>
          <w:color w:val="000000"/>
        </w:rPr>
        <w:t>AccessKey</w:t>
      </w:r>
      <w:proofErr w:type="spellEnd"/>
      <w:r w:rsidRPr="00A759E7">
        <w:rPr>
          <w:rFonts w:ascii="Segoe UI" w:hAnsi="Segoe UI" w:cs="Segoe UI"/>
          <w:color w:val="000000"/>
        </w:rPr>
        <w:t>设置自动轮转周期（如</w:t>
      </w:r>
      <w:r w:rsidRPr="00A759E7">
        <w:rPr>
          <w:rFonts w:ascii="Segoe UI" w:hAnsi="Segoe UI" w:cs="Segoe UI"/>
          <w:color w:val="000000"/>
        </w:rPr>
        <w:t>30</w:t>
      </w:r>
      <w:r w:rsidRPr="00A759E7">
        <w:rPr>
          <w:rFonts w:ascii="Segoe UI" w:hAnsi="Segoe UI" w:cs="Segoe UI"/>
          <w:color w:val="000000"/>
        </w:rPr>
        <w:t>天），到期时系统自动创建新凭据并更新至应用配置，旧凭据同步失效。这种机制避免了人工轮转的疏漏，例如某互联网企业通过自动化轮转将</w:t>
      </w:r>
      <w:proofErr w:type="spellStart"/>
      <w:r w:rsidRPr="00A759E7">
        <w:rPr>
          <w:rFonts w:ascii="Segoe UI" w:hAnsi="Segoe UI" w:cs="Segoe UI"/>
          <w:color w:val="000000"/>
        </w:rPr>
        <w:t>AccessKey</w:t>
      </w:r>
      <w:proofErr w:type="spellEnd"/>
      <w:r w:rsidRPr="00A759E7">
        <w:rPr>
          <w:rFonts w:ascii="Segoe UI" w:hAnsi="Segoe UI" w:cs="Segoe UI"/>
          <w:color w:val="000000"/>
        </w:rPr>
        <w:t>泄露事件减少</w:t>
      </w:r>
      <w:r w:rsidRPr="00A759E7">
        <w:rPr>
          <w:rFonts w:ascii="Segoe UI" w:hAnsi="Segoe UI" w:cs="Segoe UI"/>
          <w:color w:val="000000"/>
        </w:rPr>
        <w:t>80%</w:t>
      </w:r>
      <w:r w:rsidRPr="00A759E7">
        <w:rPr>
          <w:rFonts w:ascii="Segoe UI" w:hAnsi="Segoe UI" w:cs="Segoe UI"/>
          <w:color w:val="000000"/>
        </w:rPr>
        <w:t>，同时结合配置审计服务（</w:t>
      </w:r>
      <w:r w:rsidRPr="00A759E7">
        <w:rPr>
          <w:rFonts w:ascii="Segoe UI" w:hAnsi="Segoe UI" w:cs="Segoe UI"/>
          <w:color w:val="000000"/>
        </w:rPr>
        <w:t>Config</w:t>
      </w:r>
      <w:r w:rsidRPr="00A759E7">
        <w:rPr>
          <w:rFonts w:ascii="Segoe UI" w:hAnsi="Segoe UI" w:cs="Segoe UI"/>
          <w:color w:val="000000"/>
        </w:rPr>
        <w:t>）实时监控凭据变更，确保所有程序身份操作可追溯、可审计。</w:t>
      </w:r>
    </w:p>
    <w:p w14:paraId="2F32CF0E" w14:textId="0F80D75C" w:rsidR="00A759E7" w:rsidRPr="00A759E7" w:rsidRDefault="00A759E7" w:rsidP="00A759E7">
      <w:pPr>
        <w:pStyle w:val="6"/>
        <w:rPr>
          <w:rFonts w:hint="eastAsia"/>
        </w:rPr>
      </w:pPr>
      <w:r w:rsidRPr="00A759E7">
        <w:rPr>
          <w:rFonts w:hint="eastAsia"/>
        </w:rPr>
        <w:t>身份与访问控制的协同价值与安全闭环</w:t>
      </w:r>
    </w:p>
    <w:p w14:paraId="4B3E0E9F" w14:textId="7B08EDEF"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该方案通过人员与程序身份的分层管理，构建了</w:t>
      </w:r>
      <w:r w:rsidRPr="00A759E7">
        <w:rPr>
          <w:rFonts w:ascii="Segoe UI" w:hAnsi="Segoe UI" w:cs="Segoe UI"/>
          <w:color w:val="000000"/>
        </w:rPr>
        <w:t>“</w:t>
      </w:r>
      <w:r w:rsidRPr="00A759E7">
        <w:rPr>
          <w:rFonts w:ascii="Segoe UI" w:hAnsi="Segoe UI" w:cs="Segoe UI"/>
          <w:color w:val="000000"/>
        </w:rPr>
        <w:t>认证</w:t>
      </w:r>
      <w:r w:rsidRPr="00A759E7">
        <w:rPr>
          <w:rFonts w:ascii="Segoe UI" w:hAnsi="Segoe UI" w:cs="Segoe UI"/>
          <w:color w:val="000000"/>
        </w:rPr>
        <w:t>-</w:t>
      </w:r>
      <w:r w:rsidRPr="00A759E7">
        <w:rPr>
          <w:rFonts w:ascii="Segoe UI" w:hAnsi="Segoe UI" w:cs="Segoe UI"/>
          <w:color w:val="000000"/>
        </w:rPr>
        <w:t>授权</w:t>
      </w:r>
      <w:r w:rsidRPr="00A759E7">
        <w:rPr>
          <w:rFonts w:ascii="Segoe UI" w:hAnsi="Segoe UI" w:cs="Segoe UI"/>
          <w:color w:val="000000"/>
        </w:rPr>
        <w:t>-</w:t>
      </w:r>
      <w:r w:rsidRPr="00A759E7">
        <w:rPr>
          <w:rFonts w:ascii="Segoe UI" w:hAnsi="Segoe UI" w:cs="Segoe UI"/>
          <w:color w:val="000000"/>
        </w:rPr>
        <w:t>审计</w:t>
      </w:r>
      <w:r w:rsidRPr="00A759E7">
        <w:rPr>
          <w:rFonts w:ascii="Segoe UI" w:hAnsi="Segoe UI" w:cs="Segoe UI"/>
          <w:color w:val="000000"/>
        </w:rPr>
        <w:t>”</w:t>
      </w:r>
      <w:r w:rsidRPr="00A759E7">
        <w:rPr>
          <w:rFonts w:ascii="Segoe UI" w:hAnsi="Segoe UI" w:cs="Segoe UI"/>
          <w:color w:val="000000"/>
        </w:rPr>
        <w:t>的完整安全闭环。人</w:t>
      </w:r>
      <w:r w:rsidRPr="00A759E7">
        <w:rPr>
          <w:rFonts w:ascii="Segoe UI" w:hAnsi="Segoe UI" w:cs="Segoe UI"/>
          <w:color w:val="000000"/>
        </w:rPr>
        <w:lastRenderedPageBreak/>
        <w:t>员身份的细粒度权限控制与程序身份的临时授权机制形成互补，例如开发人员通过</w:t>
      </w:r>
      <w:r w:rsidRPr="00A759E7">
        <w:rPr>
          <w:rFonts w:ascii="Segoe UI" w:hAnsi="Segoe UI" w:cs="Segoe UI"/>
          <w:color w:val="000000"/>
        </w:rPr>
        <w:t>SSO</w:t>
      </w:r>
      <w:r w:rsidRPr="00A759E7">
        <w:rPr>
          <w:rFonts w:ascii="Segoe UI" w:hAnsi="Segoe UI" w:cs="Segoe UI"/>
          <w:color w:val="000000"/>
        </w:rPr>
        <w:t>登录后，仅能通过携带</w:t>
      </w:r>
      <w:proofErr w:type="spellStart"/>
      <w:r w:rsidRPr="00A759E7">
        <w:rPr>
          <w:rFonts w:ascii="Segoe UI" w:hAnsi="Segoe UI" w:cs="Segoe UI"/>
          <w:color w:val="000000"/>
        </w:rPr>
        <w:t>STSToken</w:t>
      </w:r>
      <w:proofErr w:type="spellEnd"/>
      <w:r w:rsidRPr="00A759E7">
        <w:rPr>
          <w:rFonts w:ascii="Segoe UI" w:hAnsi="Segoe UI" w:cs="Segoe UI"/>
          <w:color w:val="000000"/>
        </w:rPr>
        <w:t>的工具访问测试环境资源，无法直接操作生产数据，实现</w:t>
      </w:r>
      <w:r w:rsidRPr="00A759E7">
        <w:rPr>
          <w:rFonts w:ascii="Segoe UI" w:hAnsi="Segoe UI" w:cs="Segoe UI"/>
          <w:color w:val="000000"/>
        </w:rPr>
        <w:t>“</w:t>
      </w:r>
      <w:r w:rsidRPr="00A759E7">
        <w:rPr>
          <w:rFonts w:ascii="Segoe UI" w:hAnsi="Segoe UI" w:cs="Segoe UI"/>
          <w:color w:val="000000"/>
        </w:rPr>
        <w:t>人</w:t>
      </w:r>
      <w:r w:rsidRPr="00A759E7">
        <w:rPr>
          <w:rFonts w:ascii="Segoe UI" w:hAnsi="Segoe UI" w:cs="Segoe UI"/>
          <w:color w:val="000000"/>
        </w:rPr>
        <w:t>-</w:t>
      </w:r>
      <w:r w:rsidRPr="00A759E7">
        <w:rPr>
          <w:rFonts w:ascii="Segoe UI" w:hAnsi="Segoe UI" w:cs="Segoe UI"/>
          <w:color w:val="000000"/>
        </w:rPr>
        <w:t>程序</w:t>
      </w:r>
      <w:r w:rsidRPr="00A759E7">
        <w:rPr>
          <w:rFonts w:ascii="Segoe UI" w:hAnsi="Segoe UI" w:cs="Segoe UI"/>
          <w:color w:val="000000"/>
        </w:rPr>
        <w:t>-</w:t>
      </w:r>
      <w:r w:rsidRPr="00A759E7">
        <w:rPr>
          <w:rFonts w:ascii="Segoe UI" w:hAnsi="Segoe UI" w:cs="Segoe UI"/>
          <w:color w:val="000000"/>
        </w:rPr>
        <w:t>资源</w:t>
      </w:r>
      <w:r w:rsidRPr="00A759E7">
        <w:rPr>
          <w:rFonts w:ascii="Segoe UI" w:hAnsi="Segoe UI" w:cs="Segoe UI"/>
          <w:color w:val="000000"/>
        </w:rPr>
        <w:t>”</w:t>
      </w:r>
      <w:r w:rsidRPr="00A759E7">
        <w:rPr>
          <w:rFonts w:ascii="Segoe UI" w:hAnsi="Segoe UI" w:cs="Segoe UI"/>
          <w:color w:val="000000"/>
        </w:rPr>
        <w:t>的三重隔离。华为云操作审计服务（</w:t>
      </w:r>
      <w:r w:rsidRPr="00A759E7">
        <w:rPr>
          <w:rFonts w:ascii="Segoe UI" w:hAnsi="Segoe UI" w:cs="Segoe UI"/>
          <w:color w:val="000000"/>
        </w:rPr>
        <w:t>CloudTrail</w:t>
      </w:r>
      <w:r w:rsidRPr="00A759E7">
        <w:rPr>
          <w:rFonts w:ascii="Segoe UI" w:hAnsi="Segoe UI" w:cs="Segoe UI"/>
          <w:color w:val="000000"/>
        </w:rPr>
        <w:t>）全程记录所有身份的访问行为，包括人员的控制台操作与程序的</w:t>
      </w:r>
      <w:r w:rsidRPr="00A759E7">
        <w:rPr>
          <w:rFonts w:ascii="Segoe UI" w:hAnsi="Segoe UI" w:cs="Segoe UI"/>
          <w:color w:val="000000"/>
        </w:rPr>
        <w:t>API</w:t>
      </w:r>
      <w:r w:rsidRPr="00A759E7">
        <w:rPr>
          <w:rFonts w:ascii="Segoe UI" w:hAnsi="Segoe UI" w:cs="Segoe UI"/>
          <w:color w:val="000000"/>
        </w:rPr>
        <w:t>调用，日志中包含身份标识、操作对象、</w:t>
      </w:r>
      <w:r w:rsidRPr="00A759E7">
        <w:rPr>
          <w:rFonts w:ascii="Segoe UI" w:hAnsi="Segoe UI" w:cs="Segoe UI"/>
          <w:color w:val="000000"/>
        </w:rPr>
        <w:t>IP</w:t>
      </w:r>
      <w:r w:rsidRPr="00A759E7">
        <w:rPr>
          <w:rFonts w:ascii="Segoe UI" w:hAnsi="Segoe UI" w:cs="Segoe UI"/>
          <w:color w:val="000000"/>
        </w:rPr>
        <w:t>来源等信息，支持事后安全分析与合规审计，满足等保</w:t>
      </w:r>
      <w:r w:rsidRPr="00A759E7">
        <w:rPr>
          <w:rFonts w:ascii="Segoe UI" w:hAnsi="Segoe UI" w:cs="Segoe UI"/>
          <w:color w:val="000000"/>
        </w:rPr>
        <w:t>2.0</w:t>
      </w:r>
      <w:r w:rsidRPr="00A759E7">
        <w:rPr>
          <w:rFonts w:ascii="Segoe UI" w:hAnsi="Segoe UI" w:cs="Segoe UI" w:hint="eastAsia"/>
          <w:color w:val="000000"/>
        </w:rPr>
        <w:t>、</w:t>
      </w:r>
      <w:r w:rsidRPr="00A759E7">
        <w:rPr>
          <w:rFonts w:ascii="Segoe UI" w:hAnsi="Segoe UI" w:cs="Segoe UI"/>
          <w:color w:val="000000"/>
        </w:rPr>
        <w:t>GDPR</w:t>
      </w:r>
      <w:r w:rsidRPr="00A759E7">
        <w:rPr>
          <w:rFonts w:ascii="Segoe UI" w:hAnsi="Segoe UI" w:cs="Segoe UI"/>
          <w:color w:val="000000"/>
        </w:rPr>
        <w:t>等规范</w:t>
      </w:r>
      <w:r w:rsidR="006C6F6D" w:rsidRPr="006C6F6D">
        <w:rPr>
          <w:rFonts w:ascii="Segoe UI" w:hAnsi="Segoe UI" w:cs="Segoe UI"/>
          <w:b/>
          <w:color w:val="000000"/>
        </w:rPr>
        <w:t>招标文件要求</w:t>
      </w:r>
      <w:r w:rsidRPr="00A759E7">
        <w:rPr>
          <w:rFonts w:ascii="Segoe UI" w:hAnsi="Segoe UI" w:cs="Segoe UI"/>
          <w:color w:val="000000"/>
        </w:rPr>
        <w:t>。</w:t>
      </w:r>
    </w:p>
    <w:p w14:paraId="61DDBC58" w14:textId="613D8F8C" w:rsidR="008B6551"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在混合云场景中，身份与访问控制方案还支持跨环境的统一管理。企业自建</w:t>
      </w:r>
      <w:r w:rsidRPr="00A759E7">
        <w:rPr>
          <w:rFonts w:ascii="Segoe UI" w:hAnsi="Segoe UI" w:cs="Segoe UI"/>
          <w:color w:val="000000"/>
        </w:rPr>
        <w:t>IDC</w:t>
      </w:r>
      <w:r w:rsidRPr="00A759E7">
        <w:rPr>
          <w:rFonts w:ascii="Segoe UI" w:hAnsi="Segoe UI" w:cs="Segoe UI"/>
          <w:color w:val="000000"/>
        </w:rPr>
        <w:t>的用户可通过</w:t>
      </w:r>
      <w:r w:rsidRPr="00A759E7">
        <w:rPr>
          <w:rFonts w:ascii="Segoe UI" w:hAnsi="Segoe UI" w:cs="Segoe UI"/>
          <w:color w:val="000000"/>
        </w:rPr>
        <w:t>VPN</w:t>
      </w:r>
      <w:r w:rsidRPr="00A759E7">
        <w:rPr>
          <w:rFonts w:ascii="Segoe UI" w:hAnsi="Segoe UI" w:cs="Segoe UI"/>
          <w:color w:val="000000"/>
        </w:rPr>
        <w:t>接入后，使用同一套</w:t>
      </w:r>
      <w:r w:rsidRPr="00A759E7">
        <w:rPr>
          <w:rFonts w:ascii="Segoe UI" w:hAnsi="Segoe UI" w:cs="Segoe UI"/>
          <w:color w:val="000000"/>
        </w:rPr>
        <w:t>IdP</w:t>
      </w:r>
      <w:r w:rsidRPr="00A759E7">
        <w:rPr>
          <w:rFonts w:ascii="Segoe UI" w:hAnsi="Segoe UI" w:cs="Segoe UI"/>
          <w:color w:val="000000"/>
        </w:rPr>
        <w:t>凭据访问云上资源，权限策略自动同步；程序身份则通过专线与云上</w:t>
      </w:r>
      <w:r w:rsidRPr="00A759E7">
        <w:rPr>
          <w:rFonts w:ascii="Segoe UI" w:hAnsi="Segoe UI" w:cs="Segoe UI"/>
          <w:color w:val="000000"/>
        </w:rPr>
        <w:t>RAM</w:t>
      </w:r>
      <w:r w:rsidRPr="00A759E7">
        <w:rPr>
          <w:rFonts w:ascii="Segoe UI" w:hAnsi="Segoe UI" w:cs="Segoe UI"/>
          <w:color w:val="000000"/>
        </w:rPr>
        <w:t>体系对接，确保本地应用与云端服务的身份一致性。这种一体化设计既提升了运维效率，又避免了混合架构下的身份管理盲区，为企业构建了可信赖的数字身份安全底座。</w:t>
      </w:r>
    </w:p>
    <w:p w14:paraId="128F6DDD" w14:textId="22C1CBE7" w:rsidR="008B6551" w:rsidRDefault="008B6551" w:rsidP="001F4BFA">
      <w:pPr>
        <w:pStyle w:val="5"/>
        <w:shd w:val="clear" w:color="auto" w:fill="F9FAFB"/>
        <w:rPr>
          <w:rFonts w:ascii="Segoe UI" w:hAnsi="Segoe UI" w:cs="Segoe UI"/>
          <w:color w:val="000000"/>
        </w:rPr>
      </w:pPr>
      <w:r>
        <w:rPr>
          <w:rFonts w:ascii="Segoe UI" w:hAnsi="Segoe UI" w:cs="Segoe UI"/>
          <w:color w:val="000000"/>
        </w:rPr>
        <w:t>数据加密与安全审计</w:t>
      </w:r>
    </w:p>
    <w:p w14:paraId="60F550EC" w14:textId="3609B9B9" w:rsidR="00A759E7" w:rsidRPr="00A759E7" w:rsidRDefault="00A759E7" w:rsidP="00A759E7">
      <w:pPr>
        <w:pStyle w:val="6"/>
        <w:rPr>
          <w:rFonts w:hint="eastAsia"/>
        </w:rPr>
      </w:pPr>
      <w:r w:rsidRPr="00A759E7">
        <w:rPr>
          <w:rFonts w:hint="eastAsia"/>
        </w:rPr>
        <w:t>数据加密</w:t>
      </w:r>
    </w:p>
    <w:p w14:paraId="3E2E68EB" w14:textId="04C31AE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华为云数据加密体系以密钥管理服务（</w:t>
      </w:r>
      <w:r w:rsidRPr="00A759E7">
        <w:rPr>
          <w:rFonts w:ascii="Segoe UI" w:hAnsi="Segoe UI" w:cs="Segoe UI"/>
          <w:color w:val="000000"/>
        </w:rPr>
        <w:t>KMS</w:t>
      </w:r>
      <w:r w:rsidRPr="00A759E7">
        <w:rPr>
          <w:rFonts w:ascii="Segoe UI" w:hAnsi="Segoe UI" w:cs="Segoe UI"/>
          <w:color w:val="000000"/>
        </w:rPr>
        <w:t>）为核心，构建</w:t>
      </w:r>
      <w:r w:rsidRPr="00A759E7">
        <w:rPr>
          <w:rFonts w:ascii="Segoe UI" w:hAnsi="Segoe UI" w:cs="Segoe UI"/>
          <w:color w:val="000000"/>
        </w:rPr>
        <w:t>“</w:t>
      </w:r>
      <w:r w:rsidRPr="00A759E7">
        <w:rPr>
          <w:rFonts w:ascii="Segoe UI" w:hAnsi="Segoe UI" w:cs="Segoe UI"/>
          <w:color w:val="000000"/>
        </w:rPr>
        <w:t>密钥全生命周期管理</w:t>
      </w:r>
      <w:r w:rsidRPr="00A759E7">
        <w:rPr>
          <w:rFonts w:ascii="Segoe UI" w:hAnsi="Segoe UI" w:cs="Segoe UI"/>
          <w:color w:val="000000"/>
        </w:rPr>
        <w:t>+</w:t>
      </w:r>
      <w:r w:rsidRPr="00A759E7">
        <w:rPr>
          <w:rFonts w:ascii="Segoe UI" w:hAnsi="Segoe UI" w:cs="Segoe UI"/>
          <w:color w:val="000000"/>
        </w:rPr>
        <w:t>数据分类加密</w:t>
      </w:r>
      <w:r w:rsidRPr="00A759E7">
        <w:rPr>
          <w:rFonts w:ascii="Segoe UI" w:hAnsi="Segoe UI" w:cs="Segoe UI"/>
          <w:color w:val="000000"/>
        </w:rPr>
        <w:t>”</w:t>
      </w:r>
      <w:r w:rsidRPr="00A759E7">
        <w:rPr>
          <w:rFonts w:ascii="Segoe UI" w:hAnsi="Segoe UI" w:cs="Segoe UI"/>
          <w:color w:val="000000"/>
        </w:rPr>
        <w:t>的安全架构。</w:t>
      </w:r>
      <w:r w:rsidRPr="00A759E7">
        <w:rPr>
          <w:rFonts w:ascii="Segoe UI" w:hAnsi="Segoe UI" w:cs="Segoe UI"/>
          <w:color w:val="000000"/>
        </w:rPr>
        <w:t>KMS</w:t>
      </w:r>
      <w:r w:rsidRPr="00A759E7">
        <w:rPr>
          <w:rFonts w:ascii="Segoe UI" w:hAnsi="Segoe UI" w:cs="Segoe UI"/>
          <w:color w:val="000000"/>
        </w:rPr>
        <w:t>支持对称密钥与非对称密钥的创建、存储、轮换及销毁，用户可通过控制台或</w:t>
      </w:r>
      <w:r w:rsidRPr="00A759E7">
        <w:rPr>
          <w:rFonts w:ascii="Segoe UI" w:hAnsi="Segoe UI" w:cs="Segoe UI"/>
          <w:color w:val="000000"/>
        </w:rPr>
        <w:t>API</w:t>
      </w:r>
      <w:r w:rsidRPr="00A759E7">
        <w:rPr>
          <w:rFonts w:ascii="Segoe UI" w:hAnsi="Segoe UI" w:cs="Segoe UI"/>
          <w:color w:val="000000"/>
        </w:rPr>
        <w:t>接口生成密钥（</w:t>
      </w:r>
      <w:r w:rsidRPr="00A759E7">
        <w:rPr>
          <w:rFonts w:ascii="Segoe UI" w:hAnsi="Segoe UI" w:cs="Segoe UI"/>
          <w:color w:val="000000"/>
        </w:rPr>
        <w:t>CMK</w:t>
      </w:r>
      <w:r w:rsidRPr="00A759E7">
        <w:rPr>
          <w:rFonts w:ascii="Segoe UI" w:hAnsi="Segoe UI" w:cs="Segoe UI"/>
          <w:color w:val="000000"/>
        </w:rPr>
        <w:t>），并将其关联至对象存储</w:t>
      </w:r>
      <w:r w:rsidRPr="00A759E7">
        <w:rPr>
          <w:rFonts w:ascii="Segoe UI" w:hAnsi="Segoe UI" w:cs="Segoe UI"/>
          <w:color w:val="000000"/>
        </w:rPr>
        <w:t>OBS</w:t>
      </w:r>
      <w:r w:rsidRPr="00A759E7">
        <w:rPr>
          <w:rFonts w:ascii="Segoe UI" w:hAnsi="Segoe UI" w:cs="Segoe UI"/>
          <w:color w:val="000000"/>
        </w:rPr>
        <w:t>、数据库</w:t>
      </w:r>
      <w:r w:rsidRPr="00A759E7">
        <w:rPr>
          <w:rFonts w:ascii="Segoe UI" w:hAnsi="Segoe UI" w:cs="Segoe UI"/>
          <w:color w:val="000000"/>
        </w:rPr>
        <w:t>RDS</w:t>
      </w:r>
      <w:r w:rsidRPr="00A759E7">
        <w:rPr>
          <w:rFonts w:ascii="Segoe UI" w:hAnsi="Segoe UI" w:cs="Segoe UI"/>
          <w:color w:val="000000"/>
        </w:rPr>
        <w:t>等服务，实现数据存储加密。例如，</w:t>
      </w:r>
      <w:r w:rsidRPr="00A759E7">
        <w:rPr>
          <w:rFonts w:ascii="Segoe UI" w:hAnsi="Segoe UI" w:cs="Segoe UI"/>
          <w:color w:val="000000"/>
        </w:rPr>
        <w:t>OBS</w:t>
      </w:r>
      <w:r w:rsidRPr="00A759E7">
        <w:rPr>
          <w:rFonts w:ascii="Segoe UI" w:hAnsi="Segoe UI" w:cs="Segoe UI"/>
          <w:color w:val="000000"/>
        </w:rPr>
        <w:t>桶可配置</w:t>
      </w:r>
      <w:r w:rsidRPr="00A759E7">
        <w:rPr>
          <w:rFonts w:ascii="Segoe UI" w:hAnsi="Segoe UI" w:cs="Segoe UI"/>
          <w:color w:val="000000"/>
        </w:rPr>
        <w:t>KMS</w:t>
      </w:r>
      <w:r w:rsidRPr="00A759E7">
        <w:rPr>
          <w:rFonts w:ascii="Segoe UI" w:hAnsi="Segoe UI" w:cs="Segoe UI"/>
          <w:color w:val="000000"/>
        </w:rPr>
        <w:t>托管的</w:t>
      </w:r>
      <w:r w:rsidRPr="00A759E7">
        <w:rPr>
          <w:rFonts w:ascii="Segoe UI" w:hAnsi="Segoe UI" w:cs="Segoe UI"/>
          <w:color w:val="000000"/>
        </w:rPr>
        <w:t>CMK</w:t>
      </w:r>
      <w:r w:rsidRPr="00A759E7">
        <w:rPr>
          <w:rFonts w:ascii="Segoe UI" w:hAnsi="Segoe UI" w:cs="Segoe UI"/>
          <w:color w:val="000000"/>
        </w:rPr>
        <w:t>对上传的日志、快照数据进行透明加密，加密过程对应用无感知，确保数据在存储介质中以密文形式存在。</w:t>
      </w:r>
    </w:p>
    <w:p w14:paraId="157BCA87" w14:textId="3EDEFF7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针对企业对密钥主权的特殊需求，</w:t>
      </w:r>
      <w:r w:rsidRPr="00A759E7">
        <w:rPr>
          <w:rFonts w:ascii="Segoe UI" w:hAnsi="Segoe UI" w:cs="Segoe UI"/>
          <w:color w:val="000000"/>
        </w:rPr>
        <w:t>KMS</w:t>
      </w:r>
      <w:r w:rsidRPr="00A759E7">
        <w:rPr>
          <w:rFonts w:ascii="Segoe UI" w:hAnsi="Segoe UI" w:cs="Segoe UI"/>
          <w:color w:val="000000"/>
        </w:rPr>
        <w:t>支持</w:t>
      </w:r>
      <w:proofErr w:type="spellStart"/>
      <w:r w:rsidRPr="00A759E7">
        <w:rPr>
          <w:rFonts w:ascii="Segoe UI" w:hAnsi="Segoe UI" w:cs="Segoe UI"/>
          <w:color w:val="000000"/>
        </w:rPr>
        <w:t>BringYourOwnKey</w:t>
      </w:r>
      <w:proofErr w:type="spellEnd"/>
      <w:r w:rsidRPr="00A759E7">
        <w:rPr>
          <w:rFonts w:ascii="Segoe UI" w:hAnsi="Segoe UI" w:cs="Segoe UI"/>
          <w:color w:val="000000"/>
        </w:rPr>
        <w:t>（</w:t>
      </w:r>
      <w:r w:rsidRPr="00A759E7">
        <w:rPr>
          <w:rFonts w:ascii="Segoe UI" w:hAnsi="Segoe UI" w:cs="Segoe UI"/>
          <w:color w:val="000000"/>
        </w:rPr>
        <w:t>BYOK</w:t>
      </w:r>
      <w:r w:rsidRPr="00A759E7">
        <w:rPr>
          <w:rFonts w:ascii="Segoe UI" w:hAnsi="Segoe UI" w:cs="Segoe UI"/>
          <w:color w:val="000000"/>
        </w:rPr>
        <w:t>）方案，允许用户在本地生成密钥对，通过加密传输导入</w:t>
      </w:r>
      <w:r w:rsidRPr="00A759E7">
        <w:rPr>
          <w:rFonts w:ascii="Segoe UI" w:hAnsi="Segoe UI" w:cs="Segoe UI"/>
          <w:color w:val="000000"/>
        </w:rPr>
        <w:t>KMS</w:t>
      </w:r>
      <w:r w:rsidRPr="00A759E7">
        <w:rPr>
          <w:rFonts w:ascii="Segoe UI" w:hAnsi="Segoe UI" w:cs="Segoe UI"/>
          <w:color w:val="000000"/>
        </w:rPr>
        <w:t>系统。导入的密钥由华为云硬件安全模块（</w:t>
      </w:r>
      <w:r w:rsidRPr="00A759E7">
        <w:rPr>
          <w:rFonts w:ascii="Segoe UI" w:hAnsi="Segoe UI" w:cs="Segoe UI"/>
          <w:color w:val="000000"/>
        </w:rPr>
        <w:t>HSM</w:t>
      </w:r>
      <w:r w:rsidRPr="00A759E7">
        <w:rPr>
          <w:rFonts w:ascii="Segoe UI" w:hAnsi="Segoe UI" w:cs="Segoe UI"/>
          <w:color w:val="000000"/>
        </w:rPr>
        <w:t>）保护，满足金融、政府等行业的</w:t>
      </w:r>
      <w:r w:rsidRPr="00A759E7">
        <w:rPr>
          <w:rFonts w:ascii="Segoe UI" w:hAnsi="Segoe UI" w:cs="Segoe UI"/>
          <w:color w:val="000000"/>
        </w:rPr>
        <w:t>“</w:t>
      </w:r>
      <w:r w:rsidRPr="00A759E7">
        <w:rPr>
          <w:rFonts w:ascii="Segoe UI" w:hAnsi="Segoe UI" w:cs="Segoe UI"/>
          <w:color w:val="000000"/>
        </w:rPr>
        <w:t>密钥自主可控</w:t>
      </w:r>
      <w:r w:rsidRPr="00A759E7">
        <w:rPr>
          <w:rFonts w:ascii="Segoe UI" w:hAnsi="Segoe UI" w:cs="Segoe UI"/>
          <w:color w:val="000000"/>
        </w:rPr>
        <w:t>”</w:t>
      </w:r>
      <w:r w:rsidR="006C6F6D" w:rsidRPr="006C6F6D">
        <w:rPr>
          <w:rFonts w:ascii="Segoe UI" w:hAnsi="Segoe UI" w:cs="Segoe UI"/>
          <w:b/>
          <w:color w:val="000000"/>
        </w:rPr>
        <w:t>招标文件要求</w:t>
      </w:r>
      <w:r w:rsidRPr="00A759E7">
        <w:rPr>
          <w:rFonts w:ascii="Segoe UI" w:hAnsi="Segoe UI" w:cs="Segoe UI"/>
          <w:color w:val="000000"/>
        </w:rPr>
        <w:t>。</w:t>
      </w:r>
      <w:r w:rsidRPr="00A759E7">
        <w:rPr>
          <w:rFonts w:ascii="Segoe UI" w:hAnsi="Segoe UI" w:cs="Segoe UI"/>
          <w:color w:val="000000"/>
        </w:rPr>
        <w:t>BYOK</w:t>
      </w:r>
      <w:r w:rsidRPr="00A759E7">
        <w:rPr>
          <w:rFonts w:ascii="Segoe UI" w:hAnsi="Segoe UI" w:cs="Segoe UI"/>
          <w:color w:val="000000"/>
        </w:rPr>
        <w:t>方案支持密钥定期轮换，用户可自定义轮换周期（如</w:t>
      </w:r>
      <w:r w:rsidRPr="00A759E7">
        <w:rPr>
          <w:rFonts w:ascii="Segoe UI" w:hAnsi="Segoe UI" w:cs="Segoe UI"/>
          <w:color w:val="000000"/>
        </w:rPr>
        <w:t>30</w:t>
      </w:r>
      <w:r w:rsidRPr="00A759E7">
        <w:rPr>
          <w:rFonts w:ascii="Segoe UI" w:hAnsi="Segoe UI" w:cs="Segoe UI"/>
          <w:color w:val="000000"/>
        </w:rPr>
        <w:t>天），旧密钥加密的数据会自动使用新密钥重加密，保障密钥安全性。此外，</w:t>
      </w:r>
      <w:r w:rsidRPr="00A759E7">
        <w:rPr>
          <w:rFonts w:ascii="Segoe UI" w:hAnsi="Segoe UI" w:cs="Segoe UI"/>
          <w:color w:val="000000"/>
        </w:rPr>
        <w:t>KMS</w:t>
      </w:r>
      <w:r w:rsidRPr="00A759E7">
        <w:rPr>
          <w:rFonts w:ascii="Segoe UI" w:hAnsi="Segoe UI" w:cs="Segoe UI"/>
          <w:color w:val="000000"/>
        </w:rPr>
        <w:t>与华为云容器服务（</w:t>
      </w:r>
      <w:r w:rsidRPr="00A759E7">
        <w:rPr>
          <w:rFonts w:ascii="Segoe UI" w:hAnsi="Segoe UI" w:cs="Segoe UI"/>
          <w:color w:val="000000"/>
        </w:rPr>
        <w:t>CCE</w:t>
      </w:r>
      <w:r w:rsidRPr="00A759E7">
        <w:rPr>
          <w:rFonts w:ascii="Segoe UI" w:hAnsi="Segoe UI" w:cs="Segoe UI"/>
          <w:color w:val="000000"/>
        </w:rPr>
        <w:t>）、微服务框架（</w:t>
      </w:r>
      <w:proofErr w:type="spellStart"/>
      <w:r w:rsidRPr="00A759E7">
        <w:rPr>
          <w:rFonts w:ascii="Segoe UI" w:hAnsi="Segoe UI" w:cs="Segoe UI"/>
          <w:color w:val="000000"/>
        </w:rPr>
        <w:t>ServiceComb</w:t>
      </w:r>
      <w:proofErr w:type="spellEnd"/>
      <w:r w:rsidRPr="00A759E7">
        <w:rPr>
          <w:rFonts w:ascii="Segoe UI" w:hAnsi="Segoe UI" w:cs="Segoe UI"/>
          <w:color w:val="000000"/>
        </w:rPr>
        <w:t>）集成，实现容器化应用与微服务接口的密钥自动注入，避免硬编码</w:t>
      </w:r>
      <w:r w:rsidRPr="00A759E7">
        <w:rPr>
          <w:rFonts w:ascii="Segoe UI" w:hAnsi="Segoe UI" w:cs="Segoe UI" w:hint="eastAsia"/>
          <w:color w:val="000000"/>
        </w:rPr>
        <w:t>带来的泄露风险。</w:t>
      </w:r>
    </w:p>
    <w:p w14:paraId="491557A3" w14:textId="33FFD875"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数据加密覆盖混合云环境的全场景：存储层面，</w:t>
      </w:r>
      <w:r w:rsidRPr="00A759E7">
        <w:rPr>
          <w:rFonts w:ascii="Segoe UI" w:hAnsi="Segoe UI" w:cs="Segoe UI"/>
          <w:color w:val="000000"/>
        </w:rPr>
        <w:t>ECS</w:t>
      </w:r>
      <w:r w:rsidRPr="00A759E7">
        <w:rPr>
          <w:rFonts w:ascii="Segoe UI" w:hAnsi="Segoe UI" w:cs="Segoe UI"/>
          <w:color w:val="000000"/>
        </w:rPr>
        <w:t>云盘、</w:t>
      </w:r>
      <w:r w:rsidRPr="00A759E7">
        <w:rPr>
          <w:rFonts w:ascii="Segoe UI" w:hAnsi="Segoe UI" w:cs="Segoe UI"/>
          <w:color w:val="000000"/>
        </w:rPr>
        <w:t>RDS</w:t>
      </w:r>
      <w:r w:rsidRPr="00A759E7">
        <w:rPr>
          <w:rFonts w:ascii="Segoe UI" w:hAnsi="Segoe UI" w:cs="Segoe UI"/>
          <w:color w:val="000000"/>
        </w:rPr>
        <w:t>数据库默认启用</w:t>
      </w:r>
      <w:r w:rsidRPr="00A759E7">
        <w:rPr>
          <w:rFonts w:ascii="Segoe UI" w:hAnsi="Segoe UI" w:cs="Segoe UI"/>
          <w:color w:val="000000"/>
        </w:rPr>
        <w:t>KMS</w:t>
      </w:r>
      <w:r w:rsidRPr="00A759E7">
        <w:rPr>
          <w:rFonts w:ascii="Segoe UI" w:hAnsi="Segoe UI" w:cs="Segoe UI"/>
          <w:color w:val="000000"/>
        </w:rPr>
        <w:t>加密，敏感字段（如用户身份证号）可通过字段级加密进一步强化；传输层面，</w:t>
      </w:r>
      <w:r w:rsidRPr="00A759E7">
        <w:rPr>
          <w:rFonts w:ascii="Segoe UI" w:hAnsi="Segoe UI" w:cs="Segoe UI"/>
          <w:color w:val="000000"/>
        </w:rPr>
        <w:t>KMS</w:t>
      </w:r>
      <w:r w:rsidRPr="00A759E7">
        <w:rPr>
          <w:rFonts w:ascii="Segoe UI" w:hAnsi="Segoe UI" w:cs="Segoe UI"/>
          <w:color w:val="000000"/>
        </w:rPr>
        <w:t>为</w:t>
      </w:r>
      <w:r w:rsidRPr="00A759E7">
        <w:rPr>
          <w:rFonts w:ascii="Segoe UI" w:hAnsi="Segoe UI" w:cs="Segoe UI"/>
          <w:color w:val="000000"/>
        </w:rPr>
        <w:t>SSL</w:t>
      </w:r>
      <w:r w:rsidRPr="00A759E7">
        <w:rPr>
          <w:rFonts w:ascii="Segoe UI" w:hAnsi="Segoe UI" w:cs="Segoe UI"/>
          <w:color w:val="000000"/>
        </w:rPr>
        <w:t>证书提供密钥支持，确保</w:t>
      </w:r>
      <w:r w:rsidRPr="00A759E7">
        <w:rPr>
          <w:rFonts w:ascii="Segoe UI" w:hAnsi="Segoe UI" w:cs="Segoe UI"/>
          <w:color w:val="000000"/>
        </w:rPr>
        <w:t>HTTPS</w:t>
      </w:r>
      <w:r w:rsidRPr="00A759E7">
        <w:rPr>
          <w:rFonts w:ascii="Segoe UI" w:hAnsi="Segoe UI" w:cs="Segoe UI"/>
          <w:color w:val="000000"/>
        </w:rPr>
        <w:t>通信的密钥安全性；应用层面，开发人员可通过</w:t>
      </w:r>
      <w:r w:rsidRPr="00A759E7">
        <w:rPr>
          <w:rFonts w:ascii="Segoe UI" w:hAnsi="Segoe UI" w:cs="Segoe UI"/>
          <w:color w:val="000000"/>
        </w:rPr>
        <w:t>KMSSDK</w:t>
      </w:r>
      <w:r w:rsidRPr="00A759E7">
        <w:rPr>
          <w:rFonts w:ascii="Segoe UI" w:hAnsi="Segoe UI" w:cs="Segoe UI"/>
          <w:color w:val="000000"/>
        </w:rPr>
        <w:t>调用加密接口，实现业务数据的自定义加密（如订单金额加密）。这种多层加密机制使数据在存储、传输、处理过程中始终以密文形式存在，即使硬件被盗或数据泄露，也无法破解原始信息。</w:t>
      </w:r>
    </w:p>
    <w:p w14:paraId="52CFE3B4" w14:textId="3489520C" w:rsidR="00A759E7" w:rsidRPr="00A759E7" w:rsidRDefault="00A759E7" w:rsidP="00A759E7">
      <w:pPr>
        <w:pStyle w:val="6"/>
        <w:rPr>
          <w:rFonts w:hint="eastAsia"/>
        </w:rPr>
      </w:pPr>
      <w:r w:rsidRPr="00A759E7">
        <w:rPr>
          <w:rFonts w:hint="eastAsia"/>
        </w:rPr>
        <w:t>传输加密</w:t>
      </w:r>
    </w:p>
    <w:p w14:paraId="0C5F41EB" w14:textId="3A360D4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传输加密以</w:t>
      </w:r>
      <w:r w:rsidRPr="00A759E7">
        <w:rPr>
          <w:rFonts w:ascii="Segoe UI" w:hAnsi="Segoe UI" w:cs="Segoe UI"/>
          <w:color w:val="000000"/>
        </w:rPr>
        <w:t>SSL/TLS</w:t>
      </w:r>
      <w:r w:rsidRPr="00A759E7">
        <w:rPr>
          <w:rFonts w:ascii="Segoe UI" w:hAnsi="Segoe UI" w:cs="Segoe UI"/>
          <w:color w:val="000000"/>
        </w:rPr>
        <w:t>协议为基础，通过华为云</w:t>
      </w:r>
      <w:r w:rsidRPr="00A759E7">
        <w:rPr>
          <w:rFonts w:ascii="Segoe UI" w:hAnsi="Segoe UI" w:cs="Segoe UI"/>
          <w:color w:val="000000"/>
        </w:rPr>
        <w:t>SSL</w:t>
      </w:r>
      <w:r w:rsidRPr="00A759E7">
        <w:rPr>
          <w:rFonts w:ascii="Segoe UI" w:hAnsi="Segoe UI" w:cs="Segoe UI"/>
          <w:color w:val="000000"/>
        </w:rPr>
        <w:t>证书服务实现全链路加密传输。该服务支持公共</w:t>
      </w:r>
      <w:r w:rsidRPr="00A759E7">
        <w:rPr>
          <w:rFonts w:ascii="Segoe UI" w:hAnsi="Segoe UI" w:cs="Segoe UI"/>
          <w:color w:val="000000"/>
        </w:rPr>
        <w:t>CA</w:t>
      </w:r>
      <w:r w:rsidRPr="00A759E7">
        <w:rPr>
          <w:rFonts w:ascii="Segoe UI" w:hAnsi="Segoe UI" w:cs="Segoe UI"/>
          <w:color w:val="000000"/>
        </w:rPr>
        <w:t>证书（如</w:t>
      </w:r>
      <w:proofErr w:type="spellStart"/>
      <w:r w:rsidRPr="00A759E7">
        <w:rPr>
          <w:rFonts w:ascii="Segoe UI" w:hAnsi="Segoe UI" w:cs="Segoe UI"/>
          <w:color w:val="000000"/>
        </w:rPr>
        <w:t>Let’sEncrypt</w:t>
      </w:r>
      <w:proofErr w:type="spellEnd"/>
      <w:r w:rsidRPr="00A759E7">
        <w:rPr>
          <w:rFonts w:ascii="Segoe UI" w:hAnsi="Segoe UI" w:cs="Segoe UI"/>
          <w:color w:val="000000"/>
        </w:rPr>
        <w:t>、</w:t>
      </w:r>
      <w:proofErr w:type="spellStart"/>
      <w:r w:rsidRPr="00A759E7">
        <w:rPr>
          <w:rFonts w:ascii="Segoe UI" w:hAnsi="Segoe UI" w:cs="Segoe UI"/>
          <w:color w:val="000000"/>
        </w:rPr>
        <w:t>Digicert</w:t>
      </w:r>
      <w:proofErr w:type="spellEnd"/>
      <w:r w:rsidRPr="00A759E7">
        <w:rPr>
          <w:rFonts w:ascii="Segoe UI" w:hAnsi="Segoe UI" w:cs="Segoe UI"/>
          <w:color w:val="000000"/>
        </w:rPr>
        <w:t>）与自有</w:t>
      </w:r>
      <w:r w:rsidRPr="00A759E7">
        <w:rPr>
          <w:rFonts w:ascii="Segoe UI" w:hAnsi="Segoe UI" w:cs="Segoe UI"/>
          <w:color w:val="000000"/>
        </w:rPr>
        <w:t>CA</w:t>
      </w:r>
      <w:r w:rsidRPr="00A759E7">
        <w:rPr>
          <w:rFonts w:ascii="Segoe UI" w:hAnsi="Segoe UI" w:cs="Segoe UI"/>
          <w:color w:val="000000"/>
        </w:rPr>
        <w:t>证书的管理，用户可在控制台一键申请、部署证书至</w:t>
      </w:r>
      <w:r w:rsidRPr="00A759E7">
        <w:rPr>
          <w:rFonts w:ascii="Segoe UI" w:hAnsi="Segoe UI" w:cs="Segoe UI"/>
          <w:color w:val="000000"/>
        </w:rPr>
        <w:t>ELB</w:t>
      </w:r>
      <w:r w:rsidRPr="00A759E7">
        <w:rPr>
          <w:rFonts w:ascii="Segoe UI" w:hAnsi="Segoe UI" w:cs="Segoe UI"/>
          <w:color w:val="000000"/>
        </w:rPr>
        <w:t>、</w:t>
      </w:r>
      <w:r w:rsidRPr="00A759E7">
        <w:rPr>
          <w:rFonts w:ascii="Segoe UI" w:hAnsi="Segoe UI" w:cs="Segoe UI"/>
          <w:color w:val="000000"/>
        </w:rPr>
        <w:t>API</w:t>
      </w:r>
      <w:r w:rsidRPr="00A759E7">
        <w:rPr>
          <w:rFonts w:ascii="Segoe UI" w:hAnsi="Segoe UI" w:cs="Segoe UI"/>
          <w:color w:val="000000"/>
        </w:rPr>
        <w:t>网关等服务，自动实现</w:t>
      </w:r>
      <w:r w:rsidRPr="00A759E7">
        <w:rPr>
          <w:rFonts w:ascii="Segoe UI" w:hAnsi="Segoe UI" w:cs="Segoe UI"/>
          <w:color w:val="000000"/>
        </w:rPr>
        <w:t>HTTP</w:t>
      </w:r>
      <w:r w:rsidRPr="00A759E7">
        <w:rPr>
          <w:rFonts w:ascii="Segoe UI" w:hAnsi="Segoe UI" w:cs="Segoe UI"/>
          <w:color w:val="000000"/>
        </w:rPr>
        <w:t>到</w:t>
      </w:r>
      <w:r w:rsidRPr="00A759E7">
        <w:rPr>
          <w:rFonts w:ascii="Segoe UI" w:hAnsi="Segoe UI" w:cs="Segoe UI"/>
          <w:color w:val="000000"/>
        </w:rPr>
        <w:t>HTTPS</w:t>
      </w:r>
      <w:r w:rsidRPr="00A759E7">
        <w:rPr>
          <w:rFonts w:ascii="Segoe UI" w:hAnsi="Segoe UI" w:cs="Segoe UI"/>
          <w:color w:val="000000"/>
        </w:rPr>
        <w:t>的升级。例如，</w:t>
      </w:r>
      <w:r w:rsidRPr="00A759E7">
        <w:rPr>
          <w:rFonts w:ascii="Segoe UI" w:hAnsi="Segoe UI" w:cs="Segoe UI"/>
          <w:color w:val="000000"/>
        </w:rPr>
        <w:t>Web</w:t>
      </w:r>
      <w:r w:rsidRPr="00A759E7">
        <w:rPr>
          <w:rFonts w:ascii="Segoe UI" w:hAnsi="Segoe UI" w:cs="Segoe UI"/>
          <w:color w:val="000000"/>
        </w:rPr>
        <w:t>应用通过</w:t>
      </w:r>
      <w:r w:rsidRPr="00A759E7">
        <w:rPr>
          <w:rFonts w:ascii="Segoe UI" w:hAnsi="Segoe UI" w:cs="Segoe UI"/>
          <w:color w:val="000000"/>
        </w:rPr>
        <w:t>ELB</w:t>
      </w:r>
      <w:r w:rsidRPr="00A759E7">
        <w:rPr>
          <w:rFonts w:ascii="Segoe UI" w:hAnsi="Segoe UI" w:cs="Segoe UI"/>
          <w:color w:val="000000"/>
        </w:rPr>
        <w:t>绑定</w:t>
      </w:r>
      <w:r w:rsidRPr="00A759E7">
        <w:rPr>
          <w:rFonts w:ascii="Segoe UI" w:hAnsi="Segoe UI" w:cs="Segoe UI"/>
          <w:color w:val="000000"/>
        </w:rPr>
        <w:t>SSL</w:t>
      </w:r>
      <w:r w:rsidRPr="00A759E7">
        <w:rPr>
          <w:rFonts w:ascii="Segoe UI" w:hAnsi="Segoe UI" w:cs="Segoe UI"/>
          <w:color w:val="000000"/>
        </w:rPr>
        <w:t>证书后，用户请求从浏览器发出到后端服务器的全过程均使用</w:t>
      </w:r>
      <w:r w:rsidRPr="00A759E7">
        <w:rPr>
          <w:rFonts w:ascii="Segoe UI" w:hAnsi="Segoe UI" w:cs="Segoe UI"/>
          <w:color w:val="000000"/>
        </w:rPr>
        <w:t>TLS1.3</w:t>
      </w:r>
      <w:r w:rsidRPr="00A759E7">
        <w:rPr>
          <w:rFonts w:ascii="Segoe UI" w:hAnsi="Segoe UI" w:cs="Segoe UI"/>
          <w:color w:val="000000"/>
        </w:rPr>
        <w:lastRenderedPageBreak/>
        <w:t>协议加密，防止中间人攻击与数据篡改。</w:t>
      </w:r>
    </w:p>
    <w:p w14:paraId="3D707976" w14:textId="5DDFCDE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w:t>
      </w:r>
      <w:r w:rsidRPr="00A759E7">
        <w:rPr>
          <w:rFonts w:ascii="Segoe UI" w:hAnsi="Segoe UI" w:cs="Segoe UI"/>
          <w:color w:val="000000"/>
        </w:rPr>
        <w:t>SSL</w:t>
      </w:r>
      <w:r w:rsidRPr="00A759E7">
        <w:rPr>
          <w:rFonts w:ascii="Segoe UI" w:hAnsi="Segoe UI" w:cs="Segoe UI"/>
          <w:color w:val="000000"/>
        </w:rPr>
        <w:t>证书服务具备三大核心能力：一是自动化生命周期管理，系统自动检测证书到期时间，提前</w:t>
      </w:r>
      <w:r w:rsidRPr="00A759E7">
        <w:rPr>
          <w:rFonts w:ascii="Segoe UI" w:hAnsi="Segoe UI" w:cs="Segoe UI"/>
          <w:color w:val="000000"/>
        </w:rPr>
        <w:t>30</w:t>
      </w:r>
      <w:r w:rsidRPr="00A759E7">
        <w:rPr>
          <w:rFonts w:ascii="Segoe UI" w:hAnsi="Segoe UI" w:cs="Segoe UI"/>
          <w:color w:val="000000"/>
        </w:rPr>
        <w:t>天触发</w:t>
      </w:r>
      <w:r w:rsidRPr="00A759E7">
        <w:rPr>
          <w:rFonts w:ascii="Segoe UI" w:hAnsi="Segoe UI" w:cs="Segoe UI"/>
          <w:color w:val="000000"/>
        </w:rPr>
        <w:t>renewal</w:t>
      </w:r>
      <w:r w:rsidRPr="00A759E7">
        <w:rPr>
          <w:rFonts w:ascii="Segoe UI" w:hAnsi="Segoe UI" w:cs="Segoe UI"/>
          <w:color w:val="000000"/>
        </w:rPr>
        <w:t>流程，支持热更新（无需重启服务），避免因证书过期导致的安全漏洞；二是国密算法支持，兼容</w:t>
      </w:r>
      <w:r w:rsidRPr="00A759E7">
        <w:rPr>
          <w:rFonts w:ascii="Segoe UI" w:hAnsi="Segoe UI" w:cs="Segoe UI"/>
          <w:color w:val="000000"/>
        </w:rPr>
        <w:t>SM2/SM4</w:t>
      </w:r>
      <w:r w:rsidRPr="00A759E7">
        <w:rPr>
          <w:rFonts w:ascii="Segoe UI" w:hAnsi="Segoe UI" w:cs="Segoe UI"/>
          <w:color w:val="000000"/>
        </w:rPr>
        <w:t>等国产密码标准，满足政务、金融等行业的自主可控需求；三是证书透明度监控，实时扫描互联网上的证书签发记录，发现异常签发立即告警，防止证书伪造。</w:t>
      </w:r>
    </w:p>
    <w:p w14:paraId="1EF07A56" w14:textId="3B7B4AF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在混合云场景中，传输加密覆盖内外网互通链路：企业自建</w:t>
      </w:r>
      <w:r w:rsidRPr="00A759E7">
        <w:rPr>
          <w:rFonts w:ascii="Segoe UI" w:hAnsi="Segoe UI" w:cs="Segoe UI"/>
          <w:color w:val="000000"/>
        </w:rPr>
        <w:t>IDC</w:t>
      </w:r>
      <w:r w:rsidRPr="00A759E7">
        <w:rPr>
          <w:rFonts w:ascii="Segoe UI" w:hAnsi="Segoe UI" w:cs="Segoe UI"/>
          <w:color w:val="000000"/>
        </w:rPr>
        <w:t>与华为云通过专线互联时，可部署硬件</w:t>
      </w:r>
      <w:r w:rsidRPr="00A759E7">
        <w:rPr>
          <w:rFonts w:ascii="Segoe UI" w:hAnsi="Segoe UI" w:cs="Segoe UI"/>
          <w:color w:val="000000"/>
        </w:rPr>
        <w:t>SSL</w:t>
      </w:r>
      <w:r w:rsidRPr="00A759E7">
        <w:rPr>
          <w:rFonts w:ascii="Segoe UI" w:hAnsi="Segoe UI" w:cs="Segoe UI"/>
          <w:color w:val="000000"/>
        </w:rPr>
        <w:t>加速设备，对跨网流量进行加密；移动端应用与云端服务通信时，通过双向</w:t>
      </w:r>
      <w:r w:rsidRPr="00A759E7">
        <w:rPr>
          <w:rFonts w:ascii="Segoe UI" w:hAnsi="Segoe UI" w:cs="Segoe UI"/>
          <w:color w:val="000000"/>
        </w:rPr>
        <w:t>TLS</w:t>
      </w:r>
      <w:r w:rsidRPr="00A759E7">
        <w:rPr>
          <w:rFonts w:ascii="Segoe UI" w:hAnsi="Segoe UI" w:cs="Segoe UI"/>
          <w:color w:val="000000"/>
        </w:rPr>
        <w:t>认证（客户端证书</w:t>
      </w:r>
      <w:r w:rsidRPr="00A759E7">
        <w:rPr>
          <w:rFonts w:ascii="Segoe UI" w:hAnsi="Segoe UI" w:cs="Segoe UI"/>
          <w:color w:val="000000"/>
        </w:rPr>
        <w:t>+</w:t>
      </w:r>
      <w:r w:rsidRPr="00A759E7">
        <w:rPr>
          <w:rFonts w:ascii="Segoe UI" w:hAnsi="Segoe UI" w:cs="Segoe UI"/>
          <w:color w:val="000000"/>
        </w:rPr>
        <w:t>服务器证书）确保身份合法性；微服务间的内部调用也可启用</w:t>
      </w:r>
      <w:r w:rsidRPr="00A759E7">
        <w:rPr>
          <w:rFonts w:ascii="Segoe UI" w:hAnsi="Segoe UI" w:cs="Segoe UI"/>
          <w:color w:val="000000"/>
        </w:rPr>
        <w:t>SSL</w:t>
      </w:r>
      <w:r w:rsidRPr="00A759E7">
        <w:rPr>
          <w:rFonts w:ascii="Segoe UI" w:hAnsi="Segoe UI" w:cs="Segoe UI"/>
          <w:color w:val="000000"/>
        </w:rPr>
        <w:t>加密，防止内网渗透导致的数据泄露。例如，某银行核心交易系统通过</w:t>
      </w:r>
      <w:r w:rsidRPr="00A759E7">
        <w:rPr>
          <w:rFonts w:ascii="Segoe UI" w:hAnsi="Segoe UI" w:cs="Segoe UI"/>
          <w:color w:val="000000"/>
        </w:rPr>
        <w:t>SSL</w:t>
      </w:r>
      <w:r w:rsidRPr="00A759E7">
        <w:rPr>
          <w:rFonts w:ascii="Segoe UI" w:hAnsi="Segoe UI" w:cs="Segoe UI"/>
          <w:color w:val="000000"/>
        </w:rPr>
        <w:t>证书实现</w:t>
      </w:r>
      <w:r w:rsidRPr="00A759E7">
        <w:rPr>
          <w:rFonts w:ascii="Segoe UI" w:hAnsi="Segoe UI" w:cs="Segoe UI"/>
          <w:color w:val="000000"/>
        </w:rPr>
        <w:t>“</w:t>
      </w:r>
      <w:r w:rsidRPr="00A759E7">
        <w:rPr>
          <w:rFonts w:ascii="Segoe UI" w:hAnsi="Segoe UI" w:cs="Segoe UI"/>
          <w:color w:val="000000"/>
        </w:rPr>
        <w:t>用户端</w:t>
      </w:r>
      <w:r w:rsidRPr="00A759E7">
        <w:rPr>
          <w:rFonts w:ascii="Segoe UI" w:hAnsi="Segoe UI" w:cs="Segoe UI"/>
          <w:color w:val="000000"/>
        </w:rPr>
        <w:t>-</w:t>
      </w:r>
      <w:r w:rsidRPr="00A759E7">
        <w:rPr>
          <w:rFonts w:ascii="Segoe UI" w:hAnsi="Segoe UI" w:cs="Segoe UI"/>
          <w:color w:val="000000"/>
        </w:rPr>
        <w:t>前置机</w:t>
      </w:r>
      <w:r w:rsidRPr="00A759E7">
        <w:rPr>
          <w:rFonts w:ascii="Segoe UI" w:hAnsi="Segoe UI" w:cs="Segoe UI"/>
          <w:color w:val="000000"/>
        </w:rPr>
        <w:t>-</w:t>
      </w:r>
      <w:r w:rsidRPr="00A759E7">
        <w:rPr>
          <w:rFonts w:ascii="Segoe UI" w:hAnsi="Segoe UI" w:cs="Segoe UI"/>
          <w:color w:val="000000"/>
        </w:rPr>
        <w:t>核心数据库</w:t>
      </w:r>
      <w:r w:rsidRPr="00A759E7">
        <w:rPr>
          <w:rFonts w:ascii="Segoe UI" w:hAnsi="Segoe UI" w:cs="Segoe UI"/>
          <w:color w:val="000000"/>
        </w:rPr>
        <w:t>”</w:t>
      </w:r>
      <w:r w:rsidRPr="00A759E7">
        <w:rPr>
          <w:rFonts w:ascii="Segoe UI" w:hAnsi="Segoe UI" w:cs="Segoe UI"/>
          <w:color w:val="000000"/>
        </w:rPr>
        <w:t>的端到端加密，满足</w:t>
      </w:r>
      <w:r w:rsidRPr="00A759E7">
        <w:rPr>
          <w:rFonts w:ascii="Segoe UI" w:hAnsi="Segoe UI" w:cs="Segoe UI"/>
          <w:color w:val="000000"/>
        </w:rPr>
        <w:t>PCI-DSS</w:t>
      </w:r>
      <w:r w:rsidRPr="00A759E7">
        <w:rPr>
          <w:rFonts w:ascii="Segoe UI" w:hAnsi="Segoe UI" w:cs="Segoe UI"/>
          <w:color w:val="000000"/>
        </w:rPr>
        <w:t>合规</w:t>
      </w:r>
      <w:r w:rsidR="006C6F6D" w:rsidRPr="006C6F6D">
        <w:rPr>
          <w:rFonts w:ascii="Segoe UI" w:hAnsi="Segoe UI" w:cs="Segoe UI"/>
          <w:b/>
          <w:color w:val="000000"/>
        </w:rPr>
        <w:t>招标文件要求</w:t>
      </w:r>
      <w:r w:rsidRPr="00A759E7">
        <w:rPr>
          <w:rFonts w:ascii="Segoe UI" w:hAnsi="Segoe UI" w:cs="Segoe UI"/>
          <w:color w:val="000000"/>
        </w:rPr>
        <w:t>。</w:t>
      </w:r>
    </w:p>
    <w:p w14:paraId="0A920040" w14:textId="5EE8F492" w:rsidR="00A759E7" w:rsidRPr="00A759E7" w:rsidRDefault="00A759E7" w:rsidP="00A759E7">
      <w:pPr>
        <w:pStyle w:val="6"/>
        <w:rPr>
          <w:rFonts w:hint="eastAsia"/>
        </w:rPr>
      </w:pPr>
      <w:r w:rsidRPr="00A759E7">
        <w:rPr>
          <w:rFonts w:hint="eastAsia"/>
        </w:rPr>
        <w:t>安全审计</w:t>
      </w:r>
    </w:p>
    <w:p w14:paraId="1E2043E9" w14:textId="592A8C78"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华为云审计服务（</w:t>
      </w:r>
      <w:proofErr w:type="spellStart"/>
      <w:r w:rsidRPr="00A759E7">
        <w:rPr>
          <w:rFonts w:ascii="Segoe UI" w:hAnsi="Segoe UI" w:cs="Segoe UI"/>
          <w:color w:val="000000"/>
        </w:rPr>
        <w:t>CloudAudit</w:t>
      </w:r>
      <w:proofErr w:type="spellEnd"/>
      <w:r w:rsidRPr="00A759E7">
        <w:rPr>
          <w:rFonts w:ascii="Segoe UI" w:hAnsi="Segoe UI" w:cs="Segoe UI"/>
          <w:color w:val="000000"/>
        </w:rPr>
        <w:t>）作为合规支撑的核心组件，持续记录用户对云资源的访问与操作行为，形成不可篡改的审计日志。日志内容包括操作主体（</w:t>
      </w:r>
      <w:r w:rsidRPr="00A759E7">
        <w:rPr>
          <w:rFonts w:ascii="Segoe UI" w:hAnsi="Segoe UI" w:cs="Segoe UI"/>
          <w:color w:val="000000"/>
        </w:rPr>
        <w:t>RAM</w:t>
      </w:r>
      <w:r w:rsidRPr="00A759E7">
        <w:rPr>
          <w:rFonts w:ascii="Segoe UI" w:hAnsi="Segoe UI" w:cs="Segoe UI"/>
          <w:color w:val="000000"/>
        </w:rPr>
        <w:t>用户</w:t>
      </w:r>
      <w:r w:rsidRPr="00A759E7">
        <w:rPr>
          <w:rFonts w:ascii="Segoe UI" w:hAnsi="Segoe UI" w:cs="Segoe UI"/>
          <w:color w:val="000000"/>
        </w:rPr>
        <w:t>/</w:t>
      </w:r>
      <w:r w:rsidRPr="00A759E7">
        <w:rPr>
          <w:rFonts w:ascii="Segoe UI" w:hAnsi="Segoe UI" w:cs="Segoe UI"/>
          <w:color w:val="000000"/>
        </w:rPr>
        <w:t>角色）、操作对象（</w:t>
      </w:r>
      <w:r w:rsidRPr="00A759E7">
        <w:rPr>
          <w:rFonts w:ascii="Segoe UI" w:hAnsi="Segoe UI" w:cs="Segoe UI"/>
          <w:color w:val="000000"/>
        </w:rPr>
        <w:t>ECS/RDS</w:t>
      </w:r>
      <w:r w:rsidRPr="00A759E7">
        <w:rPr>
          <w:rFonts w:ascii="Segoe UI" w:hAnsi="Segoe UI" w:cs="Segoe UI"/>
          <w:color w:val="000000"/>
        </w:rPr>
        <w:t>等资源）、操作时间、</w:t>
      </w:r>
      <w:r w:rsidRPr="00A759E7">
        <w:rPr>
          <w:rFonts w:ascii="Segoe UI" w:hAnsi="Segoe UI" w:cs="Segoe UI"/>
          <w:color w:val="000000"/>
        </w:rPr>
        <w:t>IP</w:t>
      </w:r>
      <w:r w:rsidRPr="00A759E7">
        <w:rPr>
          <w:rFonts w:ascii="Segoe UI" w:hAnsi="Segoe UI" w:cs="Segoe UI"/>
          <w:color w:val="000000"/>
        </w:rPr>
        <w:t>来源、请求参数及响应结果等关键信息，支持事后安全分析、入侵检测与合规审计。例如，当某</w:t>
      </w:r>
      <w:r w:rsidRPr="00A759E7">
        <w:rPr>
          <w:rFonts w:ascii="Segoe UI" w:hAnsi="Segoe UI" w:cs="Segoe UI"/>
          <w:color w:val="000000"/>
        </w:rPr>
        <w:t>RAM</w:t>
      </w:r>
      <w:r w:rsidRPr="00A759E7">
        <w:rPr>
          <w:rFonts w:ascii="Segoe UI" w:hAnsi="Segoe UI" w:cs="Segoe UI"/>
          <w:color w:val="000000"/>
        </w:rPr>
        <w:t>用户删除</w:t>
      </w:r>
      <w:r w:rsidRPr="00A759E7">
        <w:rPr>
          <w:rFonts w:ascii="Segoe UI" w:hAnsi="Segoe UI" w:cs="Segoe UI"/>
          <w:color w:val="000000"/>
        </w:rPr>
        <w:t>OBS</w:t>
      </w:r>
      <w:r w:rsidRPr="00A759E7">
        <w:rPr>
          <w:rFonts w:ascii="Segoe UI" w:hAnsi="Segoe UI" w:cs="Segoe UI"/>
          <w:color w:val="000000"/>
        </w:rPr>
        <w:t>桶中的重要数据时，</w:t>
      </w:r>
      <w:proofErr w:type="spellStart"/>
      <w:r w:rsidRPr="00A759E7">
        <w:rPr>
          <w:rFonts w:ascii="Segoe UI" w:hAnsi="Segoe UI" w:cs="Segoe UI"/>
          <w:color w:val="000000"/>
        </w:rPr>
        <w:t>CloudAudit</w:t>
      </w:r>
      <w:proofErr w:type="spellEnd"/>
      <w:r w:rsidRPr="00A759E7">
        <w:rPr>
          <w:rFonts w:ascii="Segoe UI" w:hAnsi="Segoe UI" w:cs="Segoe UI"/>
          <w:color w:val="000000"/>
        </w:rPr>
        <w:t>会实时记录该操作，包括删除的对象路径、操作</w:t>
      </w:r>
      <w:r w:rsidRPr="00A759E7">
        <w:rPr>
          <w:rFonts w:ascii="Segoe UI" w:hAnsi="Segoe UI" w:cs="Segoe UI"/>
          <w:color w:val="000000"/>
        </w:rPr>
        <w:t>IP</w:t>
      </w:r>
      <w:r w:rsidRPr="00A759E7">
        <w:rPr>
          <w:rFonts w:ascii="Segoe UI" w:hAnsi="Segoe UI" w:cs="Segoe UI"/>
          <w:color w:val="000000"/>
        </w:rPr>
        <w:t>及响应状态码，为溯源提供依据。</w:t>
      </w:r>
    </w:p>
    <w:p w14:paraId="56D9FF02" w14:textId="2A4D449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proofErr w:type="spellStart"/>
      <w:r w:rsidRPr="00A759E7">
        <w:rPr>
          <w:rFonts w:ascii="Segoe UI" w:hAnsi="Segoe UI" w:cs="Segoe UI"/>
          <w:color w:val="000000"/>
        </w:rPr>
        <w:t>CloudAudit</w:t>
      </w:r>
      <w:proofErr w:type="spellEnd"/>
      <w:r w:rsidRPr="00A759E7">
        <w:rPr>
          <w:rFonts w:ascii="Segoe UI" w:hAnsi="Segoe UI" w:cs="Segoe UI"/>
          <w:color w:val="000000"/>
        </w:rPr>
        <w:t>的核心能力体现在三方面：一是全资源覆盖，支持计算、存储、网络、安全等</w:t>
      </w:r>
      <w:r w:rsidRPr="00A759E7">
        <w:rPr>
          <w:rFonts w:ascii="Segoe UI" w:hAnsi="Segoe UI" w:cs="Segoe UI"/>
          <w:color w:val="000000"/>
        </w:rPr>
        <w:t>160+</w:t>
      </w:r>
      <w:r w:rsidRPr="00A759E7">
        <w:rPr>
          <w:rFonts w:ascii="Segoe UI" w:hAnsi="Segoe UI" w:cs="Segoe UI"/>
          <w:color w:val="000000"/>
        </w:rPr>
        <w:t>云服务的操作审计，确保无审计盲区；二是实时监控与告警，可配置规则对高危操作（如</w:t>
      </w:r>
      <w:r w:rsidRPr="00A759E7">
        <w:rPr>
          <w:rFonts w:ascii="Segoe UI" w:hAnsi="Segoe UI" w:cs="Segoe UI"/>
          <w:color w:val="000000"/>
        </w:rPr>
        <w:t>Root</w:t>
      </w:r>
      <w:r w:rsidRPr="00A759E7">
        <w:rPr>
          <w:rFonts w:ascii="Segoe UI" w:hAnsi="Segoe UI" w:cs="Segoe UI"/>
          <w:color w:val="000000"/>
        </w:rPr>
        <w:t>账号登录、数据库删除）实时告警，通过短信、邮件等渠道通知管理员；三是合规报表生成，自动匹配等保</w:t>
      </w:r>
      <w:r w:rsidRPr="00A759E7">
        <w:rPr>
          <w:rFonts w:ascii="Segoe UI" w:hAnsi="Segoe UI" w:cs="Segoe UI"/>
          <w:color w:val="000000"/>
        </w:rPr>
        <w:t>2.0</w:t>
      </w:r>
      <w:r w:rsidRPr="00A759E7">
        <w:rPr>
          <w:rFonts w:ascii="Segoe UI" w:hAnsi="Segoe UI" w:cs="Segoe UI"/>
          <w:color w:val="000000"/>
        </w:rPr>
        <w:t>、</w:t>
      </w:r>
      <w:r w:rsidRPr="00A759E7">
        <w:rPr>
          <w:rFonts w:ascii="Segoe UI" w:hAnsi="Segoe UI" w:cs="Segoe UI"/>
          <w:color w:val="000000"/>
        </w:rPr>
        <w:t>ISO27001</w:t>
      </w:r>
      <w:r w:rsidRPr="00A759E7">
        <w:rPr>
          <w:rFonts w:ascii="Segoe UI" w:hAnsi="Segoe UI" w:cs="Segoe UI"/>
          <w:color w:val="000000"/>
        </w:rPr>
        <w:t>等合规框架的审计</w:t>
      </w:r>
      <w:r w:rsidR="006C6F6D" w:rsidRPr="006C6F6D">
        <w:rPr>
          <w:rFonts w:ascii="Segoe UI" w:hAnsi="Segoe UI" w:cs="Segoe UI"/>
          <w:b/>
          <w:color w:val="000000"/>
        </w:rPr>
        <w:t>招标文件要求</w:t>
      </w:r>
      <w:r w:rsidRPr="00A759E7">
        <w:rPr>
          <w:rFonts w:ascii="Segoe UI" w:hAnsi="Segoe UI" w:cs="Segoe UI"/>
          <w:color w:val="000000"/>
        </w:rPr>
        <w:t>，生成可视化合规报告，减少人工审计成本。</w:t>
      </w:r>
    </w:p>
    <w:p w14:paraId="0418E6DE" w14:textId="191EC3C1"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审计日志存储于对象存储</w:t>
      </w:r>
      <w:r w:rsidRPr="00A759E7">
        <w:rPr>
          <w:rFonts w:ascii="Segoe UI" w:hAnsi="Segoe UI" w:cs="Segoe UI"/>
          <w:color w:val="000000"/>
        </w:rPr>
        <w:t>OSS</w:t>
      </w:r>
      <w:r w:rsidRPr="00A759E7">
        <w:rPr>
          <w:rFonts w:ascii="Segoe UI" w:hAnsi="Segoe UI" w:cs="Segoe UI"/>
          <w:color w:val="000000"/>
        </w:rPr>
        <w:t>，支持长达</w:t>
      </w:r>
      <w:r w:rsidRPr="00A759E7">
        <w:rPr>
          <w:rFonts w:ascii="Segoe UI" w:hAnsi="Segoe UI" w:cs="Segoe UI"/>
          <w:color w:val="000000"/>
        </w:rPr>
        <w:t>730</w:t>
      </w:r>
      <w:r w:rsidRPr="00A759E7">
        <w:rPr>
          <w:rFonts w:ascii="Segoe UI" w:hAnsi="Segoe UI" w:cs="Segoe UI"/>
          <w:color w:val="000000"/>
        </w:rPr>
        <w:t>天的保留（可自定义延长），并通过加密与访问控制保障日志安全性。企业可通过</w:t>
      </w:r>
      <w:proofErr w:type="spellStart"/>
      <w:r w:rsidRPr="00A759E7">
        <w:rPr>
          <w:rFonts w:ascii="Segoe UI" w:hAnsi="Segoe UI" w:cs="Segoe UI"/>
          <w:color w:val="000000"/>
        </w:rPr>
        <w:t>LogTank</w:t>
      </w:r>
      <w:proofErr w:type="spellEnd"/>
      <w:r w:rsidRPr="00A759E7">
        <w:rPr>
          <w:rFonts w:ascii="Segoe UI" w:hAnsi="Segoe UI" w:cs="Segoe UI"/>
          <w:color w:val="000000"/>
        </w:rPr>
        <w:t>日志服务对审计日志进行分析，例如筛选某时间段内的所有敏感操作，或通过机器学习识别异常操作模式（如深夜高频数据库查询）。在混合云场景中，</w:t>
      </w:r>
      <w:proofErr w:type="spellStart"/>
      <w:r w:rsidRPr="00A759E7">
        <w:rPr>
          <w:rFonts w:ascii="Segoe UI" w:hAnsi="Segoe UI" w:cs="Segoe UI"/>
          <w:color w:val="000000"/>
        </w:rPr>
        <w:t>CloudAudit</w:t>
      </w:r>
      <w:proofErr w:type="spellEnd"/>
      <w:r w:rsidRPr="00A759E7">
        <w:rPr>
          <w:rFonts w:ascii="Segoe UI" w:hAnsi="Segoe UI" w:cs="Segoe UI"/>
          <w:color w:val="000000"/>
        </w:rPr>
        <w:t>与企业本地审计系统联动，通过</w:t>
      </w:r>
      <w:r w:rsidRPr="00A759E7">
        <w:rPr>
          <w:rFonts w:ascii="Segoe UI" w:hAnsi="Segoe UI" w:cs="Segoe UI"/>
          <w:color w:val="000000"/>
        </w:rPr>
        <w:t>API</w:t>
      </w:r>
      <w:r w:rsidRPr="00A759E7">
        <w:rPr>
          <w:rFonts w:ascii="Segoe UI" w:hAnsi="Segoe UI" w:cs="Segoe UI"/>
          <w:color w:val="000000"/>
        </w:rPr>
        <w:t>同步云上审计日志，实现</w:t>
      </w:r>
      <w:r w:rsidRPr="00A759E7">
        <w:rPr>
          <w:rFonts w:ascii="Segoe UI" w:hAnsi="Segoe UI" w:cs="Segoe UI"/>
          <w:color w:val="000000"/>
        </w:rPr>
        <w:t>“</w:t>
      </w:r>
      <w:r w:rsidRPr="00A759E7">
        <w:rPr>
          <w:rFonts w:ascii="Segoe UI" w:hAnsi="Segoe UI" w:cs="Segoe UI"/>
          <w:color w:val="000000"/>
        </w:rPr>
        <w:t>云上</w:t>
      </w:r>
      <w:r w:rsidRPr="00A759E7">
        <w:rPr>
          <w:rFonts w:ascii="Segoe UI" w:hAnsi="Segoe UI" w:cs="Segoe UI"/>
          <w:color w:val="000000"/>
        </w:rPr>
        <w:t>+</w:t>
      </w:r>
      <w:r w:rsidRPr="00A759E7">
        <w:rPr>
          <w:rFonts w:ascii="Segoe UI" w:hAnsi="Segoe UI" w:cs="Segoe UI"/>
          <w:color w:val="000000"/>
        </w:rPr>
        <w:t>云下</w:t>
      </w:r>
      <w:r w:rsidRPr="00A759E7">
        <w:rPr>
          <w:rFonts w:ascii="Segoe UI" w:hAnsi="Segoe UI" w:cs="Segoe UI"/>
          <w:color w:val="000000"/>
        </w:rPr>
        <w:t>”</w:t>
      </w:r>
      <w:r w:rsidRPr="00A759E7">
        <w:rPr>
          <w:rFonts w:ascii="Segoe UI" w:hAnsi="Segoe UI" w:cs="Segoe UI"/>
          <w:color w:val="000000"/>
        </w:rPr>
        <w:t>的统一审计管理，满足跨国企业的全球合规</w:t>
      </w:r>
      <w:r w:rsidR="006C6F6D" w:rsidRPr="006C6F6D">
        <w:rPr>
          <w:rFonts w:ascii="Segoe UI" w:hAnsi="Segoe UI" w:cs="Segoe UI"/>
          <w:b/>
          <w:color w:val="000000"/>
        </w:rPr>
        <w:t>招标文件要求</w:t>
      </w:r>
      <w:r w:rsidRPr="00A759E7">
        <w:rPr>
          <w:rFonts w:ascii="Segoe UI" w:hAnsi="Segoe UI" w:cs="Segoe UI"/>
          <w:color w:val="000000"/>
        </w:rPr>
        <w:t>。</w:t>
      </w:r>
    </w:p>
    <w:p w14:paraId="4A5D7EC8" w14:textId="6C67638D" w:rsidR="00A759E7" w:rsidRPr="00A759E7" w:rsidRDefault="00A759E7" w:rsidP="00A759E7">
      <w:pPr>
        <w:pStyle w:val="6"/>
        <w:rPr>
          <w:rFonts w:hint="eastAsia"/>
        </w:rPr>
      </w:pPr>
      <w:r w:rsidRPr="00A759E7">
        <w:rPr>
          <w:rFonts w:hint="eastAsia"/>
        </w:rPr>
        <w:t>方案协同价值与安全闭环</w:t>
      </w:r>
    </w:p>
    <w:p w14:paraId="7FD597F8" w14:textId="601AA2D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数据加密与安全审计方案的深度协同，构建了</w:t>
      </w:r>
      <w:r w:rsidRPr="00A759E7">
        <w:rPr>
          <w:rFonts w:ascii="Segoe UI" w:hAnsi="Segoe UI" w:cs="Segoe UI"/>
          <w:color w:val="000000"/>
        </w:rPr>
        <w:t>“</w:t>
      </w:r>
      <w:r w:rsidRPr="00A759E7">
        <w:rPr>
          <w:rFonts w:ascii="Segoe UI" w:hAnsi="Segoe UI" w:cs="Segoe UI"/>
          <w:color w:val="000000"/>
        </w:rPr>
        <w:t>加密防护</w:t>
      </w:r>
      <w:r w:rsidRPr="00A759E7">
        <w:rPr>
          <w:rFonts w:ascii="Segoe UI" w:hAnsi="Segoe UI" w:cs="Segoe UI"/>
          <w:color w:val="000000"/>
        </w:rPr>
        <w:t>+</w:t>
      </w:r>
      <w:r w:rsidRPr="00A759E7">
        <w:rPr>
          <w:rFonts w:ascii="Segoe UI" w:hAnsi="Segoe UI" w:cs="Segoe UI"/>
          <w:color w:val="000000"/>
        </w:rPr>
        <w:t>审计追溯</w:t>
      </w:r>
      <w:r w:rsidRPr="00A759E7">
        <w:rPr>
          <w:rFonts w:ascii="Segoe UI" w:hAnsi="Segoe UI" w:cs="Segoe UI"/>
          <w:color w:val="000000"/>
        </w:rPr>
        <w:t>”</w:t>
      </w:r>
      <w:r w:rsidRPr="00A759E7">
        <w:rPr>
          <w:rFonts w:ascii="Segoe UI" w:hAnsi="Segoe UI" w:cs="Segoe UI"/>
          <w:color w:val="000000"/>
        </w:rPr>
        <w:t>的完整安全体系。</w:t>
      </w:r>
      <w:r w:rsidRPr="00A759E7">
        <w:rPr>
          <w:rFonts w:ascii="Segoe UI" w:hAnsi="Segoe UI" w:cs="Segoe UI"/>
          <w:color w:val="000000"/>
        </w:rPr>
        <w:t>KMS</w:t>
      </w:r>
      <w:r w:rsidRPr="00A759E7">
        <w:rPr>
          <w:rFonts w:ascii="Segoe UI" w:hAnsi="Segoe UI" w:cs="Segoe UI"/>
          <w:color w:val="000000"/>
        </w:rPr>
        <w:t>密钥管理为数据加密提供基础支撑，</w:t>
      </w:r>
      <w:r w:rsidRPr="00A759E7">
        <w:rPr>
          <w:rFonts w:ascii="Segoe UI" w:hAnsi="Segoe UI" w:cs="Segoe UI"/>
          <w:color w:val="000000"/>
        </w:rPr>
        <w:t>SSL</w:t>
      </w:r>
      <w:r w:rsidRPr="00A759E7">
        <w:rPr>
          <w:rFonts w:ascii="Segoe UI" w:hAnsi="Segoe UI" w:cs="Segoe UI"/>
          <w:color w:val="000000"/>
        </w:rPr>
        <w:t>证书确保传输安全，而</w:t>
      </w:r>
      <w:proofErr w:type="spellStart"/>
      <w:r w:rsidRPr="00A759E7">
        <w:rPr>
          <w:rFonts w:ascii="Segoe UI" w:hAnsi="Segoe UI" w:cs="Segoe UI"/>
          <w:color w:val="000000"/>
        </w:rPr>
        <w:t>CloudAudit</w:t>
      </w:r>
      <w:proofErr w:type="spellEnd"/>
      <w:r w:rsidRPr="00A759E7">
        <w:rPr>
          <w:rFonts w:ascii="Segoe UI" w:hAnsi="Segoe UI" w:cs="Segoe UI"/>
          <w:color w:val="000000"/>
        </w:rPr>
        <w:t>则记录所有加密相关操作（如密钥创建、证书部署），形成可追溯的安全链条。例如，当发现数据泄露事件时，企业可通过</w:t>
      </w:r>
      <w:proofErr w:type="spellStart"/>
      <w:r w:rsidRPr="00A759E7">
        <w:rPr>
          <w:rFonts w:ascii="Segoe UI" w:hAnsi="Segoe UI" w:cs="Segoe UI"/>
          <w:color w:val="000000"/>
        </w:rPr>
        <w:t>CloudAudit</w:t>
      </w:r>
      <w:proofErr w:type="spellEnd"/>
      <w:r w:rsidRPr="00A759E7">
        <w:rPr>
          <w:rFonts w:ascii="Segoe UI" w:hAnsi="Segoe UI" w:cs="Segoe UI"/>
          <w:color w:val="000000"/>
        </w:rPr>
        <w:t>查询密钥使用记录与传输日志，定位泄露环节并优化加密策略，实现安全闭环管理。</w:t>
      </w:r>
    </w:p>
    <w:p w14:paraId="304852F9" w14:textId="6B86B6CC" w:rsidR="00016828"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lastRenderedPageBreak/>
        <w:t>该方案已在金融、医疗等高合规</w:t>
      </w:r>
      <w:r w:rsidR="006C6F6D" w:rsidRPr="006C6F6D">
        <w:rPr>
          <w:rFonts w:ascii="Segoe UI" w:hAnsi="Segoe UI" w:cs="Segoe UI" w:hint="eastAsia"/>
          <w:b/>
          <w:color w:val="000000"/>
        </w:rPr>
        <w:t>招标文件要求</w:t>
      </w:r>
      <w:r w:rsidRPr="00A759E7">
        <w:rPr>
          <w:rFonts w:ascii="Segoe UI" w:hAnsi="Segoe UI" w:cs="Segoe UI" w:hint="eastAsia"/>
          <w:color w:val="000000"/>
        </w:rPr>
        <w:t>行业落地实践：某证券交易所采用</w:t>
      </w:r>
      <w:r w:rsidRPr="00A759E7">
        <w:rPr>
          <w:rFonts w:ascii="Segoe UI" w:hAnsi="Segoe UI" w:cs="Segoe UI"/>
          <w:color w:val="000000"/>
        </w:rPr>
        <w:t>KMS+BYOK</w:t>
      </w:r>
      <w:r w:rsidRPr="00A759E7">
        <w:rPr>
          <w:rFonts w:ascii="Segoe UI" w:hAnsi="Segoe UI" w:cs="Segoe UI"/>
          <w:color w:val="000000"/>
        </w:rPr>
        <w:t>方案管理交易数据加密，通过</w:t>
      </w:r>
      <w:r w:rsidRPr="00A759E7">
        <w:rPr>
          <w:rFonts w:ascii="Segoe UI" w:hAnsi="Segoe UI" w:cs="Segoe UI"/>
          <w:color w:val="000000"/>
        </w:rPr>
        <w:t>SSL</w:t>
      </w:r>
      <w:r w:rsidRPr="00A759E7">
        <w:rPr>
          <w:rFonts w:ascii="Segoe UI" w:hAnsi="Segoe UI" w:cs="Segoe UI"/>
          <w:color w:val="000000"/>
        </w:rPr>
        <w:t>证书保障行情数据传输安全，借助</w:t>
      </w:r>
      <w:proofErr w:type="spellStart"/>
      <w:r w:rsidRPr="00A759E7">
        <w:rPr>
          <w:rFonts w:ascii="Segoe UI" w:hAnsi="Segoe UI" w:cs="Segoe UI"/>
          <w:color w:val="000000"/>
        </w:rPr>
        <w:t>CloudAudit</w:t>
      </w:r>
      <w:proofErr w:type="spellEnd"/>
      <w:r w:rsidRPr="00A759E7">
        <w:rPr>
          <w:rFonts w:ascii="Segoe UI" w:hAnsi="Segoe UI" w:cs="Segoe UI"/>
          <w:color w:val="000000"/>
        </w:rPr>
        <w:t>满足证监会对操作审计的</w:t>
      </w:r>
      <w:r w:rsidR="006C6F6D" w:rsidRPr="006C6F6D">
        <w:rPr>
          <w:rFonts w:ascii="Segoe UI" w:hAnsi="Segoe UI" w:cs="Segoe UI"/>
          <w:b/>
          <w:color w:val="000000"/>
        </w:rPr>
        <w:t>招标文件要求</w:t>
      </w:r>
      <w:r w:rsidRPr="00A759E7">
        <w:rPr>
          <w:rFonts w:ascii="Segoe UI" w:hAnsi="Segoe UI" w:cs="Segoe UI"/>
          <w:color w:val="000000"/>
        </w:rPr>
        <w:t>，成功通过等保</w:t>
      </w:r>
      <w:r w:rsidRPr="00A759E7">
        <w:rPr>
          <w:rFonts w:ascii="Segoe UI" w:hAnsi="Segoe UI" w:cs="Segoe UI"/>
          <w:color w:val="000000"/>
        </w:rPr>
        <w:t>3.0</w:t>
      </w:r>
      <w:r w:rsidRPr="00A759E7">
        <w:rPr>
          <w:rFonts w:ascii="Segoe UI" w:hAnsi="Segoe UI" w:cs="Segoe UI"/>
          <w:color w:val="000000"/>
        </w:rPr>
        <w:t>认证。华为云数据加密与安全审计方案不仅提供技术防护能力，还通过自动化管理、智能分析与合规集成，帮助企业在混合云环境中平衡安全性与运营效率，构建可信赖的数据安全底座。</w:t>
      </w:r>
    </w:p>
    <w:p w14:paraId="6E9649B4" w14:textId="1A6BBED7" w:rsidR="00731408" w:rsidRDefault="00731408" w:rsidP="00731408">
      <w:pPr>
        <w:pStyle w:val="3"/>
        <w:rPr>
          <w:rFonts w:hint="eastAsia"/>
        </w:rPr>
      </w:pPr>
      <w:r>
        <w:t>混合云容灾服务迁移方案</w:t>
      </w:r>
      <w:r>
        <w:tab/>
      </w:r>
    </w:p>
    <w:p w14:paraId="045422AB" w14:textId="222CEA3A" w:rsidR="00731408" w:rsidRPr="00731408" w:rsidRDefault="00731408" w:rsidP="00731408">
      <w:pPr>
        <w:pStyle w:val="4"/>
        <w:rPr>
          <w:rFonts w:hint="eastAsia"/>
        </w:rPr>
      </w:pPr>
      <w:r w:rsidRPr="00731408">
        <w:t>方案概述</w:t>
      </w:r>
    </w:p>
    <w:p w14:paraId="0053008D" w14:textId="0D574283" w:rsidR="007F479A" w:rsidRPr="007F479A"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方案聚焦于为</w:t>
      </w:r>
      <w:proofErr w:type="spellStart"/>
      <w:r w:rsidRPr="007F479A">
        <w:rPr>
          <w:rFonts w:ascii="Segoe UI" w:hAnsi="Segoe UI" w:cs="Segoe UI" w:hint="eastAsia"/>
          <w:color w:val="000000"/>
        </w:rPr>
        <w:t>Ameco</w:t>
      </w:r>
      <w:proofErr w:type="spellEnd"/>
      <w:r w:rsidRPr="007F479A">
        <w:rPr>
          <w:rFonts w:ascii="Segoe UI" w:hAnsi="Segoe UI" w:cs="Segoe UI" w:hint="eastAsia"/>
          <w:color w:val="000000"/>
        </w:rPr>
        <w:t>的云信达系统进行混合云备份迁移，旨在解决因现有备份系统架构升级及系统调整而不再适配当前应用系统的问题。当前备份系统分别部署在</w:t>
      </w:r>
      <w:r w:rsidRPr="007F479A">
        <w:rPr>
          <w:rFonts w:ascii="Segoe UI" w:hAnsi="Segoe UI" w:cs="Segoe UI" w:hint="eastAsia"/>
          <w:color w:val="000000"/>
        </w:rPr>
        <w:t>NCS</w:t>
      </w:r>
      <w:r w:rsidRPr="007F479A">
        <w:rPr>
          <w:rFonts w:ascii="Segoe UI" w:hAnsi="Segoe UI" w:cs="Segoe UI" w:hint="eastAsia"/>
          <w:color w:val="000000"/>
        </w:rPr>
        <w:t>数据中心、</w:t>
      </w:r>
      <w:r w:rsidR="00152F2A">
        <w:rPr>
          <w:rFonts w:ascii="Segoe UI" w:hAnsi="Segoe UI" w:cs="Segoe UI" w:hint="eastAsia"/>
          <w:color w:val="000000"/>
        </w:rPr>
        <w:t>A380</w:t>
      </w:r>
      <w:r w:rsidRPr="007F479A">
        <w:rPr>
          <w:rFonts w:ascii="Segoe UI" w:hAnsi="Segoe UI" w:cs="Segoe UI" w:hint="eastAsia"/>
          <w:color w:val="000000"/>
        </w:rPr>
        <w:t>机房、</w:t>
      </w:r>
      <w:r w:rsidRPr="007F479A">
        <w:rPr>
          <w:rFonts w:ascii="Segoe UI" w:hAnsi="Segoe UI" w:cs="Segoe UI" w:hint="eastAsia"/>
          <w:color w:val="000000"/>
        </w:rPr>
        <w:t>OBV</w:t>
      </w:r>
      <w:r w:rsidRPr="007F479A">
        <w:rPr>
          <w:rFonts w:ascii="Segoe UI" w:hAnsi="Segoe UI" w:cs="Segoe UI" w:hint="eastAsia"/>
          <w:color w:val="000000"/>
        </w:rPr>
        <w:t>机房，由</w:t>
      </w:r>
      <w:r w:rsidRPr="007F479A">
        <w:rPr>
          <w:rFonts w:ascii="Segoe UI" w:hAnsi="Segoe UI" w:cs="Segoe UI" w:hint="eastAsia"/>
          <w:color w:val="000000"/>
        </w:rPr>
        <w:t>3</w:t>
      </w:r>
      <w:r w:rsidRPr="007F479A">
        <w:rPr>
          <w:rFonts w:ascii="Segoe UI" w:hAnsi="Segoe UI" w:cs="Segoe UI" w:hint="eastAsia"/>
          <w:color w:val="000000"/>
        </w:rPr>
        <w:t>台备份服务器、</w:t>
      </w:r>
      <w:r w:rsidRPr="007F479A">
        <w:rPr>
          <w:rFonts w:ascii="Segoe UI" w:hAnsi="Segoe UI" w:cs="Segoe UI" w:hint="eastAsia"/>
          <w:color w:val="000000"/>
        </w:rPr>
        <w:t>7</w:t>
      </w:r>
      <w:r w:rsidRPr="007F479A">
        <w:rPr>
          <w:rFonts w:ascii="Segoe UI" w:hAnsi="Segoe UI" w:cs="Segoe UI" w:hint="eastAsia"/>
          <w:color w:val="000000"/>
        </w:rPr>
        <w:t>台备份磁带库、</w:t>
      </w:r>
      <w:r w:rsidRPr="007F479A">
        <w:rPr>
          <w:rFonts w:ascii="Segoe UI" w:hAnsi="Segoe UI" w:cs="Segoe UI" w:hint="eastAsia"/>
          <w:color w:val="000000"/>
        </w:rPr>
        <w:t>4</w:t>
      </w:r>
      <w:r w:rsidRPr="007F479A">
        <w:rPr>
          <w:rFonts w:ascii="Segoe UI" w:hAnsi="Segoe UI" w:cs="Segoe UI" w:hint="eastAsia"/>
          <w:color w:val="000000"/>
        </w:rPr>
        <w:t>台</w:t>
      </w:r>
      <w:r w:rsidRPr="007F479A">
        <w:rPr>
          <w:rFonts w:ascii="Segoe UI" w:hAnsi="Segoe UI" w:cs="Segoe UI" w:hint="eastAsia"/>
          <w:color w:val="000000"/>
        </w:rPr>
        <w:t>SAN</w:t>
      </w:r>
      <w:r w:rsidRPr="007F479A">
        <w:rPr>
          <w:rFonts w:ascii="Segoe UI" w:hAnsi="Segoe UI" w:cs="Segoe UI" w:hint="eastAsia"/>
          <w:color w:val="000000"/>
        </w:rPr>
        <w:t>交换机构成，基于</w:t>
      </w:r>
      <w:r w:rsidRPr="007F479A">
        <w:rPr>
          <w:rFonts w:ascii="Segoe UI" w:hAnsi="Segoe UI" w:cs="Segoe UI" w:hint="eastAsia"/>
          <w:color w:val="000000"/>
        </w:rPr>
        <w:t>VeritasNBU8.*</w:t>
      </w:r>
      <w:r w:rsidRPr="007F479A">
        <w:rPr>
          <w:rFonts w:ascii="Segoe UI" w:hAnsi="Segoe UI" w:cs="Segoe UI" w:hint="eastAsia"/>
          <w:color w:val="000000"/>
        </w:rPr>
        <w:t>，大部分备份任务采用</w:t>
      </w:r>
      <w:r w:rsidRPr="007F479A">
        <w:rPr>
          <w:rFonts w:ascii="Segoe UI" w:hAnsi="Segoe UI" w:cs="Segoe UI" w:hint="eastAsia"/>
          <w:color w:val="000000"/>
        </w:rPr>
        <w:t>LAN</w:t>
      </w:r>
      <w:r w:rsidRPr="007F479A">
        <w:rPr>
          <w:rFonts w:ascii="Segoe UI" w:hAnsi="Segoe UI" w:cs="Segoe UI" w:hint="eastAsia"/>
          <w:color w:val="000000"/>
        </w:rPr>
        <w:t>与</w:t>
      </w:r>
      <w:r w:rsidRPr="007F479A">
        <w:rPr>
          <w:rFonts w:ascii="Segoe UI" w:hAnsi="Segoe UI" w:cs="Segoe UI" w:hint="eastAsia"/>
          <w:color w:val="000000"/>
        </w:rPr>
        <w:t>LAN-Free</w:t>
      </w:r>
      <w:r w:rsidRPr="007F479A">
        <w:rPr>
          <w:rFonts w:ascii="Segoe UI" w:hAnsi="Segoe UI" w:cs="Segoe UI" w:hint="eastAsia"/>
          <w:color w:val="000000"/>
        </w:rPr>
        <w:t>方式，</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机房月数据流量达</w:t>
      </w:r>
      <w:r w:rsidRPr="007F479A">
        <w:rPr>
          <w:rFonts w:ascii="Segoe UI" w:hAnsi="Segoe UI" w:cs="Segoe UI" w:hint="eastAsia"/>
          <w:color w:val="000000"/>
        </w:rPr>
        <w:t>200TB</w:t>
      </w:r>
      <w:r w:rsidRPr="007F479A">
        <w:rPr>
          <w:rFonts w:ascii="Segoe UI" w:hAnsi="Segoe UI" w:cs="Segoe UI" w:hint="eastAsia"/>
          <w:color w:val="000000"/>
        </w:rPr>
        <w:t>，</w:t>
      </w:r>
      <w:r w:rsidRPr="007F479A">
        <w:rPr>
          <w:rFonts w:ascii="Segoe UI" w:hAnsi="Segoe UI" w:cs="Segoe UI" w:hint="eastAsia"/>
          <w:color w:val="000000"/>
        </w:rPr>
        <w:t>OBV</w:t>
      </w:r>
      <w:r w:rsidRPr="007F479A">
        <w:rPr>
          <w:rFonts w:ascii="Segoe UI" w:hAnsi="Segoe UI" w:cs="Segoe UI" w:hint="eastAsia"/>
          <w:color w:val="000000"/>
        </w:rPr>
        <w:t>机房为</w:t>
      </w:r>
      <w:r w:rsidRPr="007F479A">
        <w:rPr>
          <w:rFonts w:ascii="Segoe UI" w:hAnsi="Segoe UI" w:cs="Segoe UI" w:hint="eastAsia"/>
          <w:color w:val="000000"/>
        </w:rPr>
        <w:t>10TB</w:t>
      </w:r>
      <w:r w:rsidRPr="007F479A">
        <w:rPr>
          <w:rFonts w:ascii="Segoe UI" w:hAnsi="Segoe UI" w:cs="Segoe UI" w:hint="eastAsia"/>
          <w:color w:val="000000"/>
        </w:rPr>
        <w:t>，其中</w:t>
      </w:r>
      <w:r w:rsidRPr="007F479A">
        <w:rPr>
          <w:rFonts w:ascii="Segoe UI" w:hAnsi="Segoe UI" w:cs="Segoe UI" w:hint="eastAsia"/>
          <w:color w:val="000000"/>
        </w:rPr>
        <w:t>OBV</w:t>
      </w:r>
      <w:r w:rsidRPr="007F479A">
        <w:rPr>
          <w:rFonts w:ascii="Segoe UI" w:hAnsi="Segoe UI" w:cs="Segoe UI" w:hint="eastAsia"/>
          <w:color w:val="000000"/>
        </w:rPr>
        <w:t>机房是物理网络隔离的独立机房，由一台备份服务器提供本地备份服务。</w:t>
      </w:r>
    </w:p>
    <w:p w14:paraId="0B48C9D6" w14:textId="44E2CFB6" w:rsidR="007F479A" w:rsidRPr="007F479A"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方案基于云信达混合云容灾平台或具备相同功能的混合云容灾服务进行设计，核心功能涵盖本地数据中心</w:t>
      </w:r>
      <w:r w:rsidRPr="007F479A">
        <w:rPr>
          <w:rFonts w:ascii="Segoe UI" w:hAnsi="Segoe UI" w:cs="Segoe UI" w:hint="eastAsia"/>
          <w:color w:val="000000"/>
        </w:rPr>
        <w:t>2</w:t>
      </w:r>
      <w:r w:rsidRPr="007F479A">
        <w:rPr>
          <w:rFonts w:ascii="Segoe UI" w:hAnsi="Segoe UI" w:cs="Segoe UI" w:hint="eastAsia"/>
          <w:color w:val="000000"/>
        </w:rPr>
        <w:t>套</w:t>
      </w:r>
      <w:r w:rsidRPr="007F479A">
        <w:rPr>
          <w:rFonts w:ascii="Segoe UI" w:hAnsi="Segoe UI" w:cs="Segoe UI" w:hint="eastAsia"/>
          <w:color w:val="000000"/>
        </w:rPr>
        <w:t>Oracle19C</w:t>
      </w:r>
      <w:r w:rsidRPr="007F479A">
        <w:rPr>
          <w:rFonts w:ascii="Segoe UI" w:hAnsi="Segoe UI" w:cs="Segoe UI" w:hint="eastAsia"/>
          <w:color w:val="000000"/>
        </w:rPr>
        <w:t>的数据备份、恢复、数据库拉起，以及数据实时同步至公有云并实现即时数据库拉起以支撑应用；同时包括本地数据中心</w:t>
      </w:r>
      <w:r w:rsidRPr="007F479A">
        <w:rPr>
          <w:rFonts w:ascii="Segoe UI" w:hAnsi="Segoe UI" w:cs="Segoe UI" w:hint="eastAsia"/>
          <w:color w:val="000000"/>
        </w:rPr>
        <w:t>1</w:t>
      </w:r>
      <w:r w:rsidRPr="007F479A">
        <w:rPr>
          <w:rFonts w:ascii="Segoe UI" w:hAnsi="Segoe UI" w:cs="Segoe UI" w:hint="eastAsia"/>
          <w:color w:val="000000"/>
        </w:rPr>
        <w:t>套</w:t>
      </w:r>
      <w:r w:rsidR="009D6E2A">
        <w:rPr>
          <w:rFonts w:ascii="Segoe UI" w:hAnsi="Segoe UI" w:cs="Segoe UI" w:hint="eastAsia"/>
          <w:color w:val="000000"/>
        </w:rPr>
        <w:t>SAPHANA</w:t>
      </w:r>
      <w:r w:rsidRPr="007F479A">
        <w:rPr>
          <w:rFonts w:ascii="Segoe UI" w:hAnsi="Segoe UI" w:cs="Segoe UI" w:hint="eastAsia"/>
          <w:color w:val="000000"/>
        </w:rPr>
        <w:t>系统的数据备份、恢复、实时同步及公有云即时拉起，为用户提供相应服务，其操作系统分别为</w:t>
      </w:r>
      <w:r w:rsidRPr="007F479A">
        <w:rPr>
          <w:rFonts w:ascii="Segoe UI" w:hAnsi="Segoe UI" w:cs="Segoe UI" w:hint="eastAsia"/>
          <w:color w:val="000000"/>
        </w:rPr>
        <w:t>Redhat8.9</w:t>
      </w:r>
      <w:r w:rsidRPr="007F479A">
        <w:rPr>
          <w:rFonts w:ascii="Segoe UI" w:hAnsi="Segoe UI" w:cs="Segoe UI" w:hint="eastAsia"/>
          <w:color w:val="000000"/>
        </w:rPr>
        <w:t>和</w:t>
      </w:r>
      <w:r w:rsidRPr="007F479A">
        <w:rPr>
          <w:rFonts w:ascii="Segoe UI" w:hAnsi="Segoe UI" w:cs="Segoe UI" w:hint="eastAsia"/>
          <w:color w:val="000000"/>
        </w:rPr>
        <w:t>Suse15SP6</w:t>
      </w:r>
      <w:r w:rsidRPr="007F479A">
        <w:rPr>
          <w:rFonts w:ascii="Segoe UI" w:hAnsi="Segoe UI" w:cs="Segoe UI" w:hint="eastAsia"/>
          <w:color w:val="000000"/>
        </w:rPr>
        <w:t>。</w:t>
      </w:r>
    </w:p>
    <w:p w14:paraId="0273DB75" w14:textId="66192BCD" w:rsidR="007F479A" w:rsidRPr="007F479A"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整体迁移思路是通过备份一体机对现有备份系统进行整合升级，构建统一的备份系统。未来将在</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机房各部署</w:t>
      </w:r>
      <w:r w:rsidRPr="007F479A">
        <w:rPr>
          <w:rFonts w:ascii="Segoe UI" w:hAnsi="Segoe UI" w:cs="Segoe UI" w:hint="eastAsia"/>
          <w:color w:val="000000"/>
        </w:rPr>
        <w:t>1</w:t>
      </w:r>
      <w:r w:rsidRPr="007F479A">
        <w:rPr>
          <w:rFonts w:ascii="Segoe UI" w:hAnsi="Segoe UI" w:cs="Segoe UI" w:hint="eastAsia"/>
          <w:color w:val="000000"/>
        </w:rPr>
        <w:t>套备份一体机，满足两机房的备份需求，且</w:t>
      </w:r>
      <w:r w:rsidRPr="007F479A">
        <w:rPr>
          <w:rFonts w:ascii="Segoe UI" w:hAnsi="Segoe UI" w:cs="Segoe UI" w:hint="eastAsia"/>
          <w:color w:val="000000"/>
        </w:rPr>
        <w:t>418</w:t>
      </w:r>
      <w:r w:rsidRPr="007F479A">
        <w:rPr>
          <w:rFonts w:ascii="Segoe UI" w:hAnsi="Segoe UI" w:cs="Segoe UI" w:hint="eastAsia"/>
          <w:color w:val="000000"/>
        </w:rPr>
        <w:t>备份系统数据能通过专线落盘至</w:t>
      </w:r>
      <w:r w:rsidR="00152F2A">
        <w:rPr>
          <w:rFonts w:ascii="Segoe UI" w:hAnsi="Segoe UI" w:cs="Segoe UI" w:hint="eastAsia"/>
          <w:color w:val="000000"/>
        </w:rPr>
        <w:t>A380</w:t>
      </w:r>
      <w:r w:rsidRPr="007F479A">
        <w:rPr>
          <w:rFonts w:ascii="Segoe UI" w:hAnsi="Segoe UI" w:cs="Segoe UI" w:hint="eastAsia"/>
          <w:color w:val="000000"/>
        </w:rPr>
        <w:t>的备份磁带库，</w:t>
      </w:r>
      <w:r w:rsidR="00152F2A">
        <w:rPr>
          <w:rFonts w:ascii="Segoe UI" w:hAnsi="Segoe UI" w:cs="Segoe UI" w:hint="eastAsia"/>
          <w:color w:val="000000"/>
        </w:rPr>
        <w:t>A380</w:t>
      </w:r>
      <w:r w:rsidRPr="007F479A">
        <w:rPr>
          <w:rFonts w:ascii="Segoe UI" w:hAnsi="Segoe UI" w:cs="Segoe UI" w:hint="eastAsia"/>
          <w:color w:val="000000"/>
        </w:rPr>
        <w:t>备份一体机与备份磁带库可直连或通过</w:t>
      </w:r>
      <w:r w:rsidRPr="007F479A">
        <w:rPr>
          <w:rFonts w:ascii="Segoe UI" w:hAnsi="Segoe UI" w:cs="Segoe UI" w:hint="eastAsia"/>
          <w:color w:val="000000"/>
        </w:rPr>
        <w:t>SAN</w:t>
      </w:r>
      <w:r w:rsidRPr="007F479A">
        <w:rPr>
          <w:rFonts w:ascii="Segoe UI" w:hAnsi="Segoe UI" w:cs="Segoe UI" w:hint="eastAsia"/>
          <w:color w:val="000000"/>
        </w:rPr>
        <w:t>交换机互联，同时升级</w:t>
      </w:r>
      <w:r w:rsidRPr="007F479A">
        <w:rPr>
          <w:rFonts w:ascii="Segoe UI" w:hAnsi="Segoe UI" w:cs="Segoe UI" w:hint="eastAsia"/>
          <w:color w:val="000000"/>
        </w:rPr>
        <w:t>OBV</w:t>
      </w:r>
      <w:r w:rsidRPr="007F479A">
        <w:rPr>
          <w:rFonts w:ascii="Segoe UI" w:hAnsi="Segoe UI" w:cs="Segoe UI" w:hint="eastAsia"/>
          <w:color w:val="000000"/>
        </w:rPr>
        <w:t>机房的备份系统并部署到利旧备份服务器上，实现</w:t>
      </w:r>
      <w:r w:rsidRPr="007F479A">
        <w:rPr>
          <w:rFonts w:ascii="Segoe UI" w:hAnsi="Segoe UI" w:cs="Segoe UI" w:hint="eastAsia"/>
          <w:color w:val="000000"/>
        </w:rPr>
        <w:t>OBV</w:t>
      </w:r>
      <w:r w:rsidRPr="007F479A">
        <w:rPr>
          <w:rFonts w:ascii="Segoe UI" w:hAnsi="Segoe UI" w:cs="Segoe UI" w:hint="eastAsia"/>
          <w:color w:val="000000"/>
        </w:rPr>
        <w:t>本地备份保护。</w:t>
      </w:r>
    </w:p>
    <w:p w14:paraId="7B3C650E" w14:textId="1F582BF8" w:rsidR="00731408" w:rsidRPr="00731408"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方案采用的云信达</w:t>
      </w:r>
      <w:proofErr w:type="spellStart"/>
      <w:r w:rsidRPr="007F479A">
        <w:rPr>
          <w:rFonts w:ascii="Segoe UI" w:hAnsi="Segoe UI" w:cs="Segoe UI" w:hint="eastAsia"/>
          <w:color w:val="000000"/>
        </w:rPr>
        <w:t>eCloud</w:t>
      </w:r>
      <w:proofErr w:type="spellEnd"/>
      <w:r w:rsidRPr="007F479A">
        <w:rPr>
          <w:rFonts w:ascii="Segoe UI" w:hAnsi="Segoe UI" w:cs="Segoe UI" w:hint="eastAsia"/>
          <w:color w:val="000000"/>
        </w:rPr>
        <w:t>数据保护管理平台以</w:t>
      </w:r>
      <w:r w:rsidRPr="007F479A">
        <w:rPr>
          <w:rFonts w:ascii="Segoe UI" w:hAnsi="Segoe UI" w:cs="Segoe UI" w:hint="eastAsia"/>
          <w:color w:val="000000"/>
        </w:rPr>
        <w:t>CDM</w:t>
      </w:r>
      <w:r w:rsidRPr="007F479A">
        <w:rPr>
          <w:rFonts w:ascii="Segoe UI" w:hAnsi="Segoe UI" w:cs="Segoe UI" w:hint="eastAsia"/>
          <w:color w:val="000000"/>
        </w:rPr>
        <w:t>为核心技术，突破传统备份集概念，充分利用磁盘原数据格式，具备支持</w:t>
      </w:r>
      <w:r w:rsidRPr="007F479A">
        <w:rPr>
          <w:rFonts w:ascii="Segoe UI" w:hAnsi="Segoe UI" w:cs="Segoe UI" w:hint="eastAsia"/>
          <w:color w:val="000000"/>
        </w:rPr>
        <w:t>IP/FC/IB</w:t>
      </w:r>
      <w:r w:rsidRPr="007F479A">
        <w:rPr>
          <w:rFonts w:ascii="Segoe UI" w:hAnsi="Segoe UI" w:cs="Segoe UI" w:hint="eastAsia"/>
          <w:color w:val="000000"/>
        </w:rPr>
        <w:t>通道、首次全量备份后永远增量备份并在备份软件内部实现增量合成等创新功能，能为虚拟化环境、关系型数据库环境、文件系统提供全面的快速数据保护能力，在备份效率、恢复效率、备份数据使用及容灾等方面相较传统备份产品具有显著优势，可实现数据库备份数据直接挂载到服务器，单个数据库恢复在几分钟内完成，还能用于培训、测试等环境搭建以及经常性的恢复验证，是面向快速恢复的革命性备份解决方案。</w:t>
      </w:r>
    </w:p>
    <w:p w14:paraId="56FDC3FE" w14:textId="50E46075" w:rsidR="00731408" w:rsidRPr="00731408" w:rsidRDefault="00731408" w:rsidP="00731408">
      <w:pPr>
        <w:pStyle w:val="4"/>
        <w:rPr>
          <w:rFonts w:hint="eastAsia"/>
        </w:rPr>
      </w:pPr>
      <w:r w:rsidRPr="00731408">
        <w:lastRenderedPageBreak/>
        <w:t>当前系统现状分析</w:t>
      </w:r>
    </w:p>
    <w:p w14:paraId="6054D57E" w14:textId="77777777" w:rsidR="00731408" w:rsidRPr="00731408" w:rsidRDefault="00731408" w:rsidP="00731408">
      <w:pPr>
        <w:pStyle w:val="5"/>
        <w:rPr>
          <w:rFonts w:hint="eastAsia"/>
        </w:rPr>
      </w:pPr>
      <w:r w:rsidRPr="00731408">
        <w:t>现有备份系统架构</w:t>
      </w:r>
    </w:p>
    <w:p w14:paraId="46F6EC62" w14:textId="600DB4F7"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当前</w:t>
      </w:r>
      <w:proofErr w:type="spellStart"/>
      <w:r w:rsidRPr="007F479A">
        <w:rPr>
          <w:rFonts w:ascii="Segoe UI" w:hAnsi="Segoe UI" w:cs="Segoe UI" w:hint="eastAsia"/>
          <w:color w:val="000000"/>
        </w:rPr>
        <w:t>Ameco</w:t>
      </w:r>
      <w:proofErr w:type="spellEnd"/>
      <w:r w:rsidRPr="007F479A">
        <w:rPr>
          <w:rFonts w:ascii="Segoe UI" w:hAnsi="Segoe UI" w:cs="Segoe UI" w:hint="eastAsia"/>
          <w:color w:val="000000"/>
        </w:rPr>
        <w:t>的备份系统分布在</w:t>
      </w:r>
      <w:r w:rsidRPr="007F479A">
        <w:rPr>
          <w:rFonts w:ascii="Segoe UI" w:hAnsi="Segoe UI" w:cs="Segoe UI" w:hint="eastAsia"/>
          <w:color w:val="000000"/>
        </w:rPr>
        <w:t>NCS</w:t>
      </w:r>
      <w:r w:rsidRPr="007F479A">
        <w:rPr>
          <w:rFonts w:ascii="Segoe UI" w:hAnsi="Segoe UI" w:cs="Segoe UI" w:hint="eastAsia"/>
          <w:color w:val="000000"/>
        </w:rPr>
        <w:t>数据中心、</w:t>
      </w:r>
      <w:r w:rsidR="00152F2A">
        <w:rPr>
          <w:rFonts w:ascii="Segoe UI" w:hAnsi="Segoe UI" w:cs="Segoe UI" w:hint="eastAsia"/>
          <w:color w:val="000000"/>
        </w:rPr>
        <w:t>A380</w:t>
      </w:r>
      <w:r w:rsidRPr="007F479A">
        <w:rPr>
          <w:rFonts w:ascii="Segoe UI" w:hAnsi="Segoe UI" w:cs="Segoe UI" w:hint="eastAsia"/>
          <w:color w:val="000000"/>
        </w:rPr>
        <w:t>机房及</w:t>
      </w:r>
      <w:r w:rsidRPr="007F479A">
        <w:rPr>
          <w:rFonts w:ascii="Segoe UI" w:hAnsi="Segoe UI" w:cs="Segoe UI" w:hint="eastAsia"/>
          <w:color w:val="000000"/>
        </w:rPr>
        <w:t>OBV</w:t>
      </w:r>
      <w:r w:rsidRPr="007F479A">
        <w:rPr>
          <w:rFonts w:ascii="Segoe UI" w:hAnsi="Segoe UI" w:cs="Segoe UI" w:hint="eastAsia"/>
          <w:color w:val="000000"/>
        </w:rPr>
        <w:t>机房三个物理位置，形成了具有差异化架构的备份体系。其中</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机房的备份系统架构具有同构性，二者均通过</w:t>
      </w:r>
      <w:r w:rsidRPr="007F479A">
        <w:rPr>
          <w:rFonts w:ascii="Segoe UI" w:hAnsi="Segoe UI" w:cs="Segoe UI" w:hint="eastAsia"/>
          <w:color w:val="000000"/>
        </w:rPr>
        <w:t>SAN</w:t>
      </w:r>
      <w:r w:rsidRPr="007F479A">
        <w:rPr>
          <w:rFonts w:ascii="Segoe UI" w:hAnsi="Segoe UI" w:cs="Segoe UI" w:hint="eastAsia"/>
          <w:color w:val="000000"/>
        </w:rPr>
        <w:t>环境实现备份服务器与备份磁带库的互联，整体基于</w:t>
      </w:r>
      <w:r w:rsidRPr="007F479A">
        <w:rPr>
          <w:rFonts w:ascii="Segoe UI" w:hAnsi="Segoe UI" w:cs="Segoe UI" w:hint="eastAsia"/>
          <w:color w:val="000000"/>
        </w:rPr>
        <w:t>VeritasNBU8.*</w:t>
      </w:r>
      <w:r w:rsidRPr="007F479A">
        <w:rPr>
          <w:rFonts w:ascii="Segoe UI" w:hAnsi="Segoe UI" w:cs="Segoe UI" w:hint="eastAsia"/>
          <w:color w:val="000000"/>
        </w:rPr>
        <w:t>备份软件构建，主要采用</w:t>
      </w:r>
      <w:r w:rsidRPr="007F479A">
        <w:rPr>
          <w:rFonts w:ascii="Segoe UI" w:hAnsi="Segoe UI" w:cs="Segoe UI" w:hint="eastAsia"/>
          <w:color w:val="000000"/>
        </w:rPr>
        <w:t>LAN</w:t>
      </w:r>
      <w:r w:rsidRPr="007F479A">
        <w:rPr>
          <w:rFonts w:ascii="Segoe UI" w:hAnsi="Segoe UI" w:cs="Segoe UI" w:hint="eastAsia"/>
          <w:color w:val="000000"/>
        </w:rPr>
        <w:t>与</w:t>
      </w:r>
      <w:r w:rsidRPr="007F479A">
        <w:rPr>
          <w:rFonts w:ascii="Segoe UI" w:hAnsi="Segoe UI" w:cs="Segoe UI" w:hint="eastAsia"/>
          <w:color w:val="000000"/>
        </w:rPr>
        <w:t>LAN-Free</w:t>
      </w:r>
      <w:r w:rsidRPr="007F479A">
        <w:rPr>
          <w:rFonts w:ascii="Segoe UI" w:hAnsi="Segoe UI" w:cs="Segoe UI" w:hint="eastAsia"/>
          <w:color w:val="000000"/>
        </w:rPr>
        <w:t>两种备份方式处理核心业务数据。这两个机房的备份系统承担着主要的数据保护任务，月数据流量合计达</w:t>
      </w:r>
      <w:r w:rsidRPr="007F479A">
        <w:rPr>
          <w:rFonts w:ascii="Segoe UI" w:hAnsi="Segoe UI" w:cs="Segoe UI" w:hint="eastAsia"/>
          <w:color w:val="000000"/>
        </w:rPr>
        <w:t>200TB</w:t>
      </w:r>
      <w:r w:rsidRPr="007F479A">
        <w:rPr>
          <w:rFonts w:ascii="Segoe UI" w:hAnsi="Segoe UI" w:cs="Segoe UI" w:hint="eastAsia"/>
          <w:color w:val="000000"/>
        </w:rPr>
        <w:t>，覆盖了如</w:t>
      </w:r>
      <w:r w:rsidRPr="007F479A">
        <w:rPr>
          <w:rFonts w:ascii="Segoe UI" w:hAnsi="Segoe UI" w:cs="Segoe UI" w:hint="eastAsia"/>
          <w:color w:val="000000"/>
        </w:rPr>
        <w:t>Oracle19C</w:t>
      </w:r>
      <w:r w:rsidRPr="007F479A">
        <w:rPr>
          <w:rFonts w:ascii="Segoe UI" w:hAnsi="Segoe UI" w:cs="Segoe UI" w:hint="eastAsia"/>
          <w:color w:val="000000"/>
        </w:rPr>
        <w:t>数据库、</w:t>
      </w:r>
      <w:r w:rsidR="009D6E2A">
        <w:rPr>
          <w:rFonts w:ascii="Segoe UI" w:hAnsi="Segoe UI" w:cs="Segoe UI" w:hint="eastAsia"/>
          <w:color w:val="000000"/>
        </w:rPr>
        <w:t>SAPHANA</w:t>
      </w:r>
      <w:r w:rsidRPr="007F479A">
        <w:rPr>
          <w:rFonts w:ascii="Segoe UI" w:hAnsi="Segoe UI" w:cs="Segoe UI" w:hint="eastAsia"/>
          <w:color w:val="000000"/>
        </w:rPr>
        <w:t>系统等关键应用的数据备份需求，其架构设计中备份服务器与存储设备通过</w:t>
      </w:r>
      <w:r w:rsidRPr="007F479A">
        <w:rPr>
          <w:rFonts w:ascii="Segoe UI" w:hAnsi="Segoe UI" w:cs="Segoe UI" w:hint="eastAsia"/>
          <w:color w:val="000000"/>
        </w:rPr>
        <w:t>SAN</w:t>
      </w:r>
      <w:r w:rsidRPr="007F479A">
        <w:rPr>
          <w:rFonts w:ascii="Segoe UI" w:hAnsi="Segoe UI" w:cs="Segoe UI" w:hint="eastAsia"/>
          <w:color w:val="000000"/>
        </w:rPr>
        <w:t>网络的高速互联，确保了大规模数据传输的效率与稳定性。</w:t>
      </w:r>
    </w:p>
    <w:p w14:paraId="5B6617E7" w14:textId="5AC781FA"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而</w:t>
      </w:r>
      <w:r w:rsidRPr="007F479A">
        <w:rPr>
          <w:rFonts w:ascii="Segoe UI" w:hAnsi="Segoe UI" w:cs="Segoe UI" w:hint="eastAsia"/>
          <w:color w:val="000000"/>
        </w:rPr>
        <w:t>OBV</w:t>
      </w:r>
      <w:r w:rsidRPr="007F479A">
        <w:rPr>
          <w:rFonts w:ascii="Segoe UI" w:hAnsi="Segoe UI" w:cs="Segoe UI" w:hint="eastAsia"/>
          <w:color w:val="000000"/>
        </w:rPr>
        <w:t>机房则呈现出完全独立的架构特征，作为物理网络隔离的独立环境，该机房仅由一台备份服务器提供本地备份服务，所有备份数据均保存在本地存储介质中，与其他机房形成物理隔绝的备份体系。这种隔离架构使得</w:t>
      </w:r>
      <w:r w:rsidRPr="007F479A">
        <w:rPr>
          <w:rFonts w:ascii="Segoe UI" w:hAnsi="Segoe UI" w:cs="Segoe UI" w:hint="eastAsia"/>
          <w:color w:val="000000"/>
        </w:rPr>
        <w:t>OBV</w:t>
      </w:r>
      <w:r w:rsidRPr="007F479A">
        <w:rPr>
          <w:rFonts w:ascii="Segoe UI" w:hAnsi="Segoe UI" w:cs="Segoe UI" w:hint="eastAsia"/>
          <w:color w:val="000000"/>
        </w:rPr>
        <w:t>机房的备份系统在数据流量上显著低于前两个机房，月数据流量约为</w:t>
      </w:r>
      <w:r w:rsidRPr="007F479A">
        <w:rPr>
          <w:rFonts w:ascii="Segoe UI" w:hAnsi="Segoe UI" w:cs="Segoe UI" w:hint="eastAsia"/>
          <w:color w:val="000000"/>
        </w:rPr>
        <w:t>10TB</w:t>
      </w:r>
      <w:r w:rsidRPr="007F479A">
        <w:rPr>
          <w:rFonts w:ascii="Segoe UI" w:hAnsi="Segoe UI" w:cs="Segoe UI" w:hint="eastAsia"/>
          <w:color w:val="000000"/>
        </w:rPr>
        <w:t>，主要服务于该机房内独立运行的业务系统，其单点备份服务器的部署模式虽保障了隔离性，但在备份资源的冗余性与扩展性方面存在一定局限性。整体来看，现有三个机房的备份系统架构因历史建设与业务需求差异，形成了异构且分散的格局，随着当前业务系统的升级，这种架构在统一管理、备份效率及容灾能力等方面逐渐显现出不适应性，亟待通过整合升级实现架构优化。</w:t>
      </w:r>
    </w:p>
    <w:p w14:paraId="76AFE051" w14:textId="77777777" w:rsidR="00731408" w:rsidRPr="00731408" w:rsidRDefault="00731408" w:rsidP="00731408">
      <w:pPr>
        <w:pStyle w:val="5"/>
        <w:rPr>
          <w:rFonts w:hint="eastAsia"/>
        </w:rPr>
      </w:pPr>
      <w:r w:rsidRPr="00731408">
        <w:t>现有系统技术参数</w:t>
      </w:r>
    </w:p>
    <w:p w14:paraId="477D7575" w14:textId="37979101"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现有备份系统的技术参数紧密关联各机房业务负载与数据保护需求。在备份策略方面，</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机房主要基于</w:t>
      </w:r>
      <w:r w:rsidRPr="007F479A">
        <w:rPr>
          <w:rFonts w:ascii="Segoe UI" w:hAnsi="Segoe UI" w:cs="Segoe UI" w:hint="eastAsia"/>
          <w:color w:val="000000"/>
        </w:rPr>
        <w:t>VeritasNBU8.*</w:t>
      </w:r>
      <w:r w:rsidRPr="007F479A">
        <w:rPr>
          <w:rFonts w:ascii="Segoe UI" w:hAnsi="Segoe UI" w:cs="Segoe UI" w:hint="eastAsia"/>
          <w:color w:val="000000"/>
        </w:rPr>
        <w:t>备份软件执行备份任务，大部分采用</w:t>
      </w:r>
      <w:r w:rsidRPr="007F479A">
        <w:rPr>
          <w:rFonts w:ascii="Segoe UI" w:hAnsi="Segoe UI" w:cs="Segoe UI" w:hint="eastAsia"/>
          <w:color w:val="000000"/>
        </w:rPr>
        <w:t>LAN</w:t>
      </w:r>
      <w:r w:rsidRPr="007F479A">
        <w:rPr>
          <w:rFonts w:ascii="Segoe UI" w:hAnsi="Segoe UI" w:cs="Segoe UI" w:hint="eastAsia"/>
          <w:color w:val="000000"/>
        </w:rPr>
        <w:t>与</w:t>
      </w:r>
      <w:r w:rsidRPr="007F479A">
        <w:rPr>
          <w:rFonts w:ascii="Segoe UI" w:hAnsi="Segoe UI" w:cs="Segoe UI" w:hint="eastAsia"/>
          <w:color w:val="000000"/>
        </w:rPr>
        <w:t>LAN-Free</w:t>
      </w:r>
      <w:r w:rsidRPr="007F479A">
        <w:rPr>
          <w:rFonts w:ascii="Segoe UI" w:hAnsi="Segoe UI" w:cs="Segoe UI" w:hint="eastAsia"/>
          <w:color w:val="000000"/>
        </w:rPr>
        <w:t>相结合的方式，其中</w:t>
      </w:r>
      <w:r w:rsidRPr="007F479A">
        <w:rPr>
          <w:rFonts w:ascii="Segoe UI" w:hAnsi="Segoe UI" w:cs="Segoe UI" w:hint="eastAsia"/>
          <w:color w:val="000000"/>
        </w:rPr>
        <w:t>LAN-Free</w:t>
      </w:r>
      <w:r w:rsidRPr="007F479A">
        <w:rPr>
          <w:rFonts w:ascii="Segoe UI" w:hAnsi="Segoe UI" w:cs="Segoe UI" w:hint="eastAsia"/>
          <w:color w:val="000000"/>
        </w:rPr>
        <w:t>借助</w:t>
      </w:r>
      <w:r w:rsidRPr="007F479A">
        <w:rPr>
          <w:rFonts w:ascii="Segoe UI" w:hAnsi="Segoe UI" w:cs="Segoe UI" w:hint="eastAsia"/>
          <w:color w:val="000000"/>
        </w:rPr>
        <w:t>SAN</w:t>
      </w:r>
      <w:r w:rsidRPr="007F479A">
        <w:rPr>
          <w:rFonts w:ascii="Segoe UI" w:hAnsi="Segoe UI" w:cs="Segoe UI" w:hint="eastAsia"/>
          <w:color w:val="000000"/>
        </w:rPr>
        <w:t>网络实现数据直接从存储设备到备份介质的传输，减少对业务网络的占用，提升大文件备份效率。而</w:t>
      </w:r>
      <w:r w:rsidRPr="007F479A">
        <w:rPr>
          <w:rFonts w:ascii="Segoe UI" w:hAnsi="Segoe UI" w:cs="Segoe UI" w:hint="eastAsia"/>
          <w:color w:val="000000"/>
        </w:rPr>
        <w:t>OBV</w:t>
      </w:r>
      <w:r w:rsidRPr="007F479A">
        <w:rPr>
          <w:rFonts w:ascii="Segoe UI" w:hAnsi="Segoe UI" w:cs="Segoe UI" w:hint="eastAsia"/>
          <w:color w:val="000000"/>
        </w:rPr>
        <w:t>机房作为物理隔离的独立环境，其备份策略相对单一，由单台备份服务器执行本地备份，数据仅存储于本地介质。</w:t>
      </w:r>
    </w:p>
    <w:p w14:paraId="330FED16" w14:textId="1837716D"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数据流量层面，</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机房的业务数据交互更为频繁，月数据流量合计达</w:t>
      </w:r>
      <w:r w:rsidRPr="007F479A">
        <w:rPr>
          <w:rFonts w:ascii="Segoe UI" w:hAnsi="Segoe UI" w:cs="Segoe UI" w:hint="eastAsia"/>
          <w:color w:val="000000"/>
        </w:rPr>
        <w:t>200TB</w:t>
      </w:r>
      <w:r w:rsidRPr="007F479A">
        <w:rPr>
          <w:rFonts w:ascii="Segoe UI" w:hAnsi="Segoe UI" w:cs="Segoe UI" w:hint="eastAsia"/>
          <w:color w:val="000000"/>
        </w:rPr>
        <w:t>，这些数据主要来自</w:t>
      </w:r>
      <w:r w:rsidRPr="007F479A">
        <w:rPr>
          <w:rFonts w:ascii="Segoe UI" w:hAnsi="Segoe UI" w:cs="Segoe UI" w:hint="eastAsia"/>
          <w:color w:val="000000"/>
        </w:rPr>
        <w:t>Oracle19C</w:t>
      </w:r>
      <w:r w:rsidRPr="007F479A">
        <w:rPr>
          <w:rFonts w:ascii="Segoe UI" w:hAnsi="Segoe UI" w:cs="Segoe UI" w:hint="eastAsia"/>
          <w:color w:val="000000"/>
        </w:rPr>
        <w:t>数据库、</w:t>
      </w:r>
      <w:r w:rsidR="009D6E2A">
        <w:rPr>
          <w:rFonts w:ascii="Segoe UI" w:hAnsi="Segoe UI" w:cs="Segoe UI" w:hint="eastAsia"/>
          <w:color w:val="000000"/>
        </w:rPr>
        <w:t>SAPHANA</w:t>
      </w:r>
      <w:r w:rsidRPr="007F479A">
        <w:rPr>
          <w:rFonts w:ascii="Segoe UI" w:hAnsi="Segoe UI" w:cs="Segoe UI" w:hint="eastAsia"/>
          <w:color w:val="000000"/>
        </w:rPr>
        <w:t>系统及相关应用的增量更新与全量备份；</w:t>
      </w:r>
      <w:r w:rsidRPr="007F479A">
        <w:rPr>
          <w:rFonts w:ascii="Segoe UI" w:hAnsi="Segoe UI" w:cs="Segoe UI" w:hint="eastAsia"/>
          <w:color w:val="000000"/>
        </w:rPr>
        <w:t>OBV</w:t>
      </w:r>
      <w:r w:rsidRPr="007F479A">
        <w:rPr>
          <w:rFonts w:ascii="Segoe UI" w:hAnsi="Segoe UI" w:cs="Segoe UI" w:hint="eastAsia"/>
          <w:color w:val="000000"/>
        </w:rPr>
        <w:t>机房因业务规模较小且处于隔离状态，月数据流量约</w:t>
      </w:r>
      <w:r w:rsidRPr="007F479A">
        <w:rPr>
          <w:rFonts w:ascii="Segoe UI" w:hAnsi="Segoe UI" w:cs="Segoe UI" w:hint="eastAsia"/>
          <w:color w:val="000000"/>
        </w:rPr>
        <w:t>10TB</w:t>
      </w:r>
      <w:r w:rsidRPr="007F479A">
        <w:rPr>
          <w:rFonts w:ascii="Segoe UI" w:hAnsi="Segoe UI" w:cs="Segoe UI" w:hint="eastAsia"/>
          <w:color w:val="000000"/>
        </w:rPr>
        <w:t>，主要为该机房内独立业务系统的基础数据备份。</w:t>
      </w:r>
    </w:p>
    <w:p w14:paraId="55011F7A" w14:textId="1E80EE1C"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核心业务系统配置上，本地数据中心部署</w:t>
      </w:r>
      <w:r w:rsidRPr="007F479A">
        <w:rPr>
          <w:rFonts w:ascii="Segoe UI" w:hAnsi="Segoe UI" w:cs="Segoe UI" w:hint="eastAsia"/>
          <w:color w:val="000000"/>
        </w:rPr>
        <w:t>2</w:t>
      </w:r>
      <w:r w:rsidRPr="007F479A">
        <w:rPr>
          <w:rFonts w:ascii="Segoe UI" w:hAnsi="Segoe UI" w:cs="Segoe UI" w:hint="eastAsia"/>
          <w:color w:val="000000"/>
        </w:rPr>
        <w:t>套</w:t>
      </w:r>
      <w:r w:rsidRPr="007F479A">
        <w:rPr>
          <w:rFonts w:ascii="Segoe UI" w:hAnsi="Segoe UI" w:cs="Segoe UI" w:hint="eastAsia"/>
          <w:color w:val="000000"/>
        </w:rPr>
        <w:t>Oracle19C</w:t>
      </w:r>
      <w:r w:rsidRPr="007F479A">
        <w:rPr>
          <w:rFonts w:ascii="Segoe UI" w:hAnsi="Segoe UI" w:cs="Segoe UI" w:hint="eastAsia"/>
          <w:color w:val="000000"/>
        </w:rPr>
        <w:t>数据库，运行于</w:t>
      </w:r>
      <w:r w:rsidRPr="007F479A">
        <w:rPr>
          <w:rFonts w:ascii="Segoe UI" w:hAnsi="Segoe UI" w:cs="Segoe UI" w:hint="eastAsia"/>
          <w:color w:val="000000"/>
        </w:rPr>
        <w:t>Redhat8.9</w:t>
      </w:r>
      <w:r w:rsidRPr="007F479A">
        <w:rPr>
          <w:rFonts w:ascii="Segoe UI" w:hAnsi="Segoe UI" w:cs="Segoe UI" w:hint="eastAsia"/>
          <w:color w:val="000000"/>
        </w:rPr>
        <w:t>操作系统，承担关键业务的数据存储与处理任务，需实现数据备份、恢复及数据库拉起功能；同时部署</w:t>
      </w:r>
      <w:r w:rsidRPr="007F479A">
        <w:rPr>
          <w:rFonts w:ascii="Segoe UI" w:hAnsi="Segoe UI" w:cs="Segoe UI" w:hint="eastAsia"/>
          <w:color w:val="000000"/>
        </w:rPr>
        <w:t>1</w:t>
      </w:r>
      <w:r w:rsidRPr="007F479A">
        <w:rPr>
          <w:rFonts w:ascii="Segoe UI" w:hAnsi="Segoe UI" w:cs="Segoe UI" w:hint="eastAsia"/>
          <w:color w:val="000000"/>
        </w:rPr>
        <w:t>套</w:t>
      </w:r>
      <w:r w:rsidR="009D6E2A">
        <w:rPr>
          <w:rFonts w:ascii="Segoe UI" w:hAnsi="Segoe UI" w:cs="Segoe UI" w:hint="eastAsia"/>
          <w:color w:val="000000"/>
        </w:rPr>
        <w:t>SAPHANA</w:t>
      </w:r>
      <w:r w:rsidRPr="007F479A">
        <w:rPr>
          <w:rFonts w:ascii="Segoe UI" w:hAnsi="Segoe UI" w:cs="Segoe UI" w:hint="eastAsia"/>
          <w:color w:val="000000"/>
        </w:rPr>
        <w:t>系统，基于</w:t>
      </w:r>
      <w:r w:rsidRPr="007F479A">
        <w:rPr>
          <w:rFonts w:ascii="Segoe UI" w:hAnsi="Segoe UI" w:cs="Segoe UI" w:hint="eastAsia"/>
          <w:color w:val="000000"/>
        </w:rPr>
        <w:t>Suse15SP6</w:t>
      </w:r>
      <w:r w:rsidRPr="007F479A">
        <w:rPr>
          <w:rFonts w:ascii="Segoe UI" w:hAnsi="Segoe UI" w:cs="Segoe UI" w:hint="eastAsia"/>
          <w:color w:val="000000"/>
        </w:rPr>
        <w:t>操作系统，同样</w:t>
      </w:r>
      <w:r w:rsidR="006C6F6D" w:rsidRPr="006C6F6D">
        <w:rPr>
          <w:rFonts w:ascii="Segoe UI" w:hAnsi="Segoe UI" w:cs="Segoe UI" w:hint="eastAsia"/>
          <w:b/>
          <w:color w:val="000000"/>
        </w:rPr>
        <w:t>招标文件要求</w:t>
      </w:r>
      <w:r w:rsidRPr="007F479A">
        <w:rPr>
          <w:rFonts w:ascii="Segoe UI" w:hAnsi="Segoe UI" w:cs="Segoe UI" w:hint="eastAsia"/>
          <w:color w:val="000000"/>
        </w:rPr>
        <w:t>完成数据备份、恢复及向公有云的实时同步与即时拉起。现有备份系统需支撑这些异构数据库与操作系统环境下的数据保护，然而随着业务数据量增长与架构升级，原有的备份策略在增量备份频率、全量备份周期及数据传输效率等方面已逐渐无法满足当前系统对</w:t>
      </w:r>
      <w:r w:rsidRPr="007F479A">
        <w:rPr>
          <w:rFonts w:ascii="Segoe UI" w:hAnsi="Segoe UI" w:cs="Segoe UI" w:hint="eastAsia"/>
          <w:color w:val="000000"/>
        </w:rPr>
        <w:t>RTO</w:t>
      </w:r>
      <w:r w:rsidRPr="007F479A">
        <w:rPr>
          <w:rFonts w:ascii="Segoe UI" w:hAnsi="Segoe UI" w:cs="Segoe UI" w:hint="eastAsia"/>
          <w:color w:val="000000"/>
        </w:rPr>
        <w:t>（恢复时间目标）与</w:t>
      </w:r>
      <w:r w:rsidRPr="007F479A">
        <w:rPr>
          <w:rFonts w:ascii="Segoe UI" w:hAnsi="Segoe UI" w:cs="Segoe UI" w:hint="eastAsia"/>
          <w:color w:val="000000"/>
        </w:rPr>
        <w:t>RPO</w:t>
      </w:r>
      <w:r w:rsidRPr="007F479A">
        <w:rPr>
          <w:rFonts w:ascii="Segoe UI" w:hAnsi="Segoe UI" w:cs="Segoe UI" w:hint="eastAsia"/>
          <w:color w:val="000000"/>
        </w:rPr>
        <w:t>（恢复点目标）的</w:t>
      </w:r>
      <w:r w:rsidR="006C6F6D" w:rsidRPr="006C6F6D">
        <w:rPr>
          <w:rFonts w:ascii="Segoe UI" w:hAnsi="Segoe UI" w:cs="Segoe UI" w:hint="eastAsia"/>
          <w:b/>
          <w:color w:val="000000"/>
        </w:rPr>
        <w:t>招标文件要求</w:t>
      </w:r>
      <w:r w:rsidRPr="007F479A">
        <w:rPr>
          <w:rFonts w:ascii="Segoe UI" w:hAnsi="Segoe UI" w:cs="Segoe UI" w:hint="eastAsia"/>
          <w:color w:val="000000"/>
        </w:rPr>
        <w:t>，尤其是</w:t>
      </w:r>
      <w:r w:rsidRPr="007F479A">
        <w:rPr>
          <w:rFonts w:ascii="Segoe UI" w:hAnsi="Segoe UI" w:cs="Segoe UI" w:hint="eastAsia"/>
          <w:color w:val="000000"/>
        </w:rPr>
        <w:t>Oracle19C</w:t>
      </w:r>
      <w:r w:rsidRPr="007F479A">
        <w:rPr>
          <w:rFonts w:ascii="Segoe UI" w:hAnsi="Segoe UI" w:cs="Segoe UI" w:hint="eastAsia"/>
          <w:color w:val="000000"/>
        </w:rPr>
        <w:t>与</w:t>
      </w:r>
      <w:r w:rsidR="009D6E2A">
        <w:rPr>
          <w:rFonts w:ascii="Segoe UI" w:hAnsi="Segoe UI" w:cs="Segoe UI" w:hint="eastAsia"/>
          <w:color w:val="000000"/>
        </w:rPr>
        <w:t>SAPHANA</w:t>
      </w:r>
      <w:r w:rsidRPr="007F479A">
        <w:rPr>
          <w:rFonts w:ascii="Segoe UI" w:hAnsi="Segoe UI" w:cs="Segoe UI" w:hint="eastAsia"/>
          <w:color w:val="000000"/>
        </w:rPr>
        <w:t>这类对实时性</w:t>
      </w:r>
      <w:r w:rsidR="006C6F6D" w:rsidRPr="006C6F6D">
        <w:rPr>
          <w:rFonts w:ascii="Segoe UI" w:hAnsi="Segoe UI" w:cs="Segoe UI" w:hint="eastAsia"/>
          <w:b/>
          <w:color w:val="000000"/>
        </w:rPr>
        <w:t>招标文件要求</w:t>
      </w:r>
      <w:r w:rsidRPr="007F479A">
        <w:rPr>
          <w:rFonts w:ascii="Segoe UI" w:hAnsi="Segoe UI" w:cs="Segoe UI" w:hint="eastAsia"/>
          <w:color w:val="000000"/>
        </w:rPr>
        <w:t>较高的系统，现有技术参数下的备份窗口与恢复时效已成为业务连续性的潜在瓶</w:t>
      </w:r>
      <w:r w:rsidRPr="007F479A">
        <w:rPr>
          <w:rFonts w:ascii="Segoe UI" w:hAnsi="Segoe UI" w:cs="Segoe UI" w:hint="eastAsia"/>
          <w:color w:val="000000"/>
        </w:rPr>
        <w:lastRenderedPageBreak/>
        <w:t>颈。</w:t>
      </w:r>
    </w:p>
    <w:p w14:paraId="27217DF6" w14:textId="77777777" w:rsidR="00731408" w:rsidRPr="00731408" w:rsidRDefault="00731408" w:rsidP="00731408">
      <w:pPr>
        <w:pStyle w:val="5"/>
        <w:rPr>
          <w:rFonts w:hint="eastAsia"/>
        </w:rPr>
      </w:pPr>
      <w:r w:rsidRPr="00731408">
        <w:t>现有系统痛点与挑战</w:t>
      </w:r>
    </w:p>
    <w:p w14:paraId="7CB348AD" w14:textId="4148DB27"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现有备份系统在架构与技术实现上存在显著痛点，首要问题是架构复杂性带来的管理与维护难题。当前备份系统分散部署于</w:t>
      </w:r>
      <w:r w:rsidRPr="007F479A">
        <w:rPr>
          <w:rFonts w:ascii="Segoe UI" w:hAnsi="Segoe UI" w:cs="Segoe UI" w:hint="eastAsia"/>
          <w:color w:val="000000"/>
        </w:rPr>
        <w:t>NCS</w:t>
      </w:r>
      <w:r w:rsidRPr="007F479A">
        <w:rPr>
          <w:rFonts w:ascii="Segoe UI" w:hAnsi="Segoe UI" w:cs="Segoe UI" w:hint="eastAsia"/>
          <w:color w:val="000000"/>
        </w:rPr>
        <w:t>数据中心、</w:t>
      </w:r>
      <w:r w:rsidR="00152F2A">
        <w:rPr>
          <w:rFonts w:ascii="Segoe UI" w:hAnsi="Segoe UI" w:cs="Segoe UI" w:hint="eastAsia"/>
          <w:color w:val="000000"/>
        </w:rPr>
        <w:t>A380</w:t>
      </w:r>
      <w:r w:rsidRPr="007F479A">
        <w:rPr>
          <w:rFonts w:ascii="Segoe UI" w:hAnsi="Segoe UI" w:cs="Segoe UI" w:hint="eastAsia"/>
          <w:color w:val="000000"/>
        </w:rPr>
        <w:t>机房及</w:t>
      </w:r>
      <w:r w:rsidRPr="007F479A">
        <w:rPr>
          <w:rFonts w:ascii="Segoe UI" w:hAnsi="Segoe UI" w:cs="Segoe UI" w:hint="eastAsia"/>
          <w:color w:val="000000"/>
        </w:rPr>
        <w:t>OBV</w:t>
      </w:r>
      <w:r w:rsidRPr="007F479A">
        <w:rPr>
          <w:rFonts w:ascii="Segoe UI" w:hAnsi="Segoe UI" w:cs="Segoe UI" w:hint="eastAsia"/>
          <w:color w:val="000000"/>
        </w:rPr>
        <w:t>机房，其中</w:t>
      </w:r>
      <w:r w:rsidRPr="007F479A">
        <w:rPr>
          <w:rFonts w:ascii="Segoe UI" w:hAnsi="Segoe UI" w:cs="Segoe UI" w:hint="eastAsia"/>
          <w:color w:val="000000"/>
        </w:rPr>
        <w:t>NCS</w:t>
      </w:r>
      <w:r w:rsidRPr="007F479A">
        <w:rPr>
          <w:rFonts w:ascii="Segoe UI" w:hAnsi="Segoe UI" w:cs="Segoe UI" w:hint="eastAsia"/>
          <w:color w:val="000000"/>
        </w:rPr>
        <w:t>与</w:t>
      </w:r>
      <w:r w:rsidR="00152F2A">
        <w:rPr>
          <w:rFonts w:ascii="Segoe UI" w:hAnsi="Segoe UI" w:cs="Segoe UI" w:hint="eastAsia"/>
          <w:color w:val="000000"/>
        </w:rPr>
        <w:t>A380</w:t>
      </w:r>
      <w:r w:rsidRPr="007F479A">
        <w:rPr>
          <w:rFonts w:ascii="Segoe UI" w:hAnsi="Segoe UI" w:cs="Segoe UI" w:hint="eastAsia"/>
          <w:color w:val="000000"/>
        </w:rPr>
        <w:t>机房通过</w:t>
      </w:r>
      <w:r w:rsidRPr="007F479A">
        <w:rPr>
          <w:rFonts w:ascii="Segoe UI" w:hAnsi="Segoe UI" w:cs="Segoe UI" w:hint="eastAsia"/>
          <w:color w:val="000000"/>
        </w:rPr>
        <w:t>SAN</w:t>
      </w:r>
      <w:r w:rsidRPr="007F479A">
        <w:rPr>
          <w:rFonts w:ascii="Segoe UI" w:hAnsi="Segoe UI" w:cs="Segoe UI" w:hint="eastAsia"/>
          <w:color w:val="000000"/>
        </w:rPr>
        <w:t>网络连接备份服务器与磁带库，</w:t>
      </w:r>
      <w:r w:rsidRPr="007F479A">
        <w:rPr>
          <w:rFonts w:ascii="Segoe UI" w:hAnsi="Segoe UI" w:cs="Segoe UI" w:hint="eastAsia"/>
          <w:color w:val="000000"/>
        </w:rPr>
        <w:t>OBV</w:t>
      </w:r>
      <w:r w:rsidRPr="007F479A">
        <w:rPr>
          <w:rFonts w:ascii="Segoe UI" w:hAnsi="Segoe UI" w:cs="Segoe UI" w:hint="eastAsia"/>
          <w:color w:val="000000"/>
        </w:rPr>
        <w:t>机房则为物理隔离的独立架构，这种异构且分散的部署模式导致整个备份体系缺乏统一管理框架。</w:t>
      </w:r>
      <w:r w:rsidRPr="007F479A">
        <w:rPr>
          <w:rFonts w:ascii="Segoe UI" w:hAnsi="Segoe UI" w:cs="Segoe UI" w:hint="eastAsia"/>
          <w:color w:val="000000"/>
        </w:rPr>
        <w:t>3</w:t>
      </w:r>
      <w:r w:rsidRPr="007F479A">
        <w:rPr>
          <w:rFonts w:ascii="Segoe UI" w:hAnsi="Segoe UI" w:cs="Segoe UI" w:hint="eastAsia"/>
          <w:color w:val="000000"/>
        </w:rPr>
        <w:t>台备份服务器、</w:t>
      </w:r>
      <w:r w:rsidRPr="007F479A">
        <w:rPr>
          <w:rFonts w:ascii="Segoe UI" w:hAnsi="Segoe UI" w:cs="Segoe UI" w:hint="eastAsia"/>
          <w:color w:val="000000"/>
        </w:rPr>
        <w:t>7</w:t>
      </w:r>
      <w:r w:rsidRPr="007F479A">
        <w:rPr>
          <w:rFonts w:ascii="Segoe UI" w:hAnsi="Segoe UI" w:cs="Segoe UI" w:hint="eastAsia"/>
          <w:color w:val="000000"/>
        </w:rPr>
        <w:t>台磁带库及</w:t>
      </w:r>
      <w:r w:rsidRPr="007F479A">
        <w:rPr>
          <w:rFonts w:ascii="Segoe UI" w:hAnsi="Segoe UI" w:cs="Segoe UI" w:hint="eastAsia"/>
          <w:color w:val="000000"/>
        </w:rPr>
        <w:t>4</w:t>
      </w:r>
      <w:r w:rsidRPr="007F479A">
        <w:rPr>
          <w:rFonts w:ascii="Segoe UI" w:hAnsi="Segoe UI" w:cs="Segoe UI" w:hint="eastAsia"/>
          <w:color w:val="000000"/>
        </w:rPr>
        <w:t>台</w:t>
      </w:r>
      <w:r w:rsidRPr="007F479A">
        <w:rPr>
          <w:rFonts w:ascii="Segoe UI" w:hAnsi="Segoe UI" w:cs="Segoe UI" w:hint="eastAsia"/>
          <w:color w:val="000000"/>
        </w:rPr>
        <w:t>SAN</w:t>
      </w:r>
      <w:r w:rsidRPr="007F479A">
        <w:rPr>
          <w:rFonts w:ascii="Segoe UI" w:hAnsi="Segoe UI" w:cs="Segoe UI" w:hint="eastAsia"/>
          <w:color w:val="000000"/>
        </w:rPr>
        <w:t>交换机的组合不仅增加了硬件运维的复杂度，还使得跨机房的数据协同与灾备策略难以统一实施，尤其是</w:t>
      </w:r>
      <w:r w:rsidRPr="007F479A">
        <w:rPr>
          <w:rFonts w:ascii="Segoe UI" w:hAnsi="Segoe UI" w:cs="Segoe UI" w:hint="eastAsia"/>
          <w:color w:val="000000"/>
        </w:rPr>
        <w:t>OBV</w:t>
      </w:r>
      <w:r w:rsidRPr="007F479A">
        <w:rPr>
          <w:rFonts w:ascii="Segoe UI" w:hAnsi="Segoe UI" w:cs="Segoe UI" w:hint="eastAsia"/>
          <w:color w:val="000000"/>
        </w:rPr>
        <w:t>机房的物理隔离架构，进一步加剧了整体架构的碎片化，在面对跨区域容灾需求时，无法实现高效的数据交互与统一调度。</w:t>
      </w:r>
    </w:p>
    <w:p w14:paraId="04F80432" w14:textId="26B10C36"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备份效率瓶颈已成为制约系统性能的关键因素。现有方案基于</w:t>
      </w:r>
      <w:r w:rsidRPr="007F479A">
        <w:rPr>
          <w:rFonts w:ascii="Segoe UI" w:hAnsi="Segoe UI" w:cs="Segoe UI" w:hint="eastAsia"/>
          <w:color w:val="000000"/>
        </w:rPr>
        <w:t>VeritasNBU8.*</w:t>
      </w:r>
      <w:r w:rsidRPr="007F479A">
        <w:rPr>
          <w:rFonts w:ascii="Segoe UI" w:hAnsi="Segoe UI" w:cs="Segoe UI" w:hint="eastAsia"/>
          <w:color w:val="000000"/>
        </w:rPr>
        <w:t>实现备份，对于</w:t>
      </w:r>
      <w:r w:rsidRPr="007F479A">
        <w:rPr>
          <w:rFonts w:ascii="Segoe UI" w:hAnsi="Segoe UI" w:cs="Segoe UI" w:hint="eastAsia"/>
          <w:color w:val="000000"/>
        </w:rPr>
        <w:t>Oracle19C</w:t>
      </w:r>
      <w:r w:rsidRPr="007F479A">
        <w:rPr>
          <w:rFonts w:ascii="Segoe UI" w:hAnsi="Segoe UI" w:cs="Segoe UI" w:hint="eastAsia"/>
          <w:color w:val="000000"/>
        </w:rPr>
        <w:t>和</w:t>
      </w:r>
      <w:r w:rsidR="009D6E2A">
        <w:rPr>
          <w:rFonts w:ascii="Segoe UI" w:hAnsi="Segoe UI" w:cs="Segoe UI" w:hint="eastAsia"/>
          <w:color w:val="000000"/>
        </w:rPr>
        <w:t>SAPHANA</w:t>
      </w:r>
      <w:r w:rsidRPr="007F479A">
        <w:rPr>
          <w:rFonts w:ascii="Segoe UI" w:hAnsi="Segoe UI" w:cs="Segoe UI" w:hint="eastAsia"/>
          <w:color w:val="000000"/>
        </w:rPr>
        <w:t>等核心数据库，仅支持传统增量备份模式，无法实现“永远增量备份”，导致全量备份频率较高，</w:t>
      </w:r>
      <w:r w:rsidRPr="007F479A">
        <w:rPr>
          <w:rFonts w:ascii="Segoe UI" w:hAnsi="Segoe UI" w:cs="Segoe UI" w:hint="eastAsia"/>
          <w:color w:val="000000"/>
        </w:rPr>
        <w:t>NCS</w:t>
      </w:r>
      <w:r w:rsidRPr="007F479A">
        <w:rPr>
          <w:rFonts w:ascii="Segoe UI" w:hAnsi="Segoe UI" w:cs="Segoe UI" w:hint="eastAsia"/>
          <w:color w:val="000000"/>
        </w:rPr>
        <w:t>与</w:t>
      </w:r>
      <w:r w:rsidR="00152F2A">
        <w:rPr>
          <w:rFonts w:ascii="Segoe UI" w:hAnsi="Segoe UI" w:cs="Segoe UI" w:hint="eastAsia"/>
          <w:color w:val="000000"/>
        </w:rPr>
        <w:t>A380</w:t>
      </w:r>
      <w:r w:rsidRPr="007F479A">
        <w:rPr>
          <w:rFonts w:ascii="Segoe UI" w:hAnsi="Segoe UI" w:cs="Segoe UI" w:hint="eastAsia"/>
          <w:color w:val="000000"/>
        </w:rPr>
        <w:t>机房每月</w:t>
      </w:r>
      <w:r w:rsidRPr="007F479A">
        <w:rPr>
          <w:rFonts w:ascii="Segoe UI" w:hAnsi="Segoe UI" w:cs="Segoe UI" w:hint="eastAsia"/>
          <w:color w:val="000000"/>
        </w:rPr>
        <w:t>200TB</w:t>
      </w:r>
      <w:r w:rsidRPr="007F479A">
        <w:rPr>
          <w:rFonts w:ascii="Segoe UI" w:hAnsi="Segoe UI" w:cs="Segoe UI" w:hint="eastAsia"/>
          <w:color w:val="000000"/>
        </w:rPr>
        <w:t>的数据流量中，大量资源被全量备份任务占用。传统备份技术在数据传输时需完整拷贝变化块，且不支持增量合成功能，使得备份窗口随数据量增长而不断延长，特别是在业务高峰期，备份任务对生产系统的资源抢占问题突出，严重影响核心业务的连续性。</w:t>
      </w:r>
    </w:p>
    <w:p w14:paraId="4152F084" w14:textId="47E22B86"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恢复时效性不足则直接威胁业务连续性。传统备份方案在数据恢复时，需将备份介质中的数据完整还原至目标系统，恢复时间与数据量、网络带宽强相关，对于</w:t>
      </w:r>
      <w:r w:rsidRPr="007F479A">
        <w:rPr>
          <w:rFonts w:ascii="Segoe UI" w:hAnsi="Segoe UI" w:cs="Segoe UI" w:hint="eastAsia"/>
          <w:color w:val="000000"/>
        </w:rPr>
        <w:t>TB</w:t>
      </w:r>
      <w:r w:rsidRPr="007F479A">
        <w:rPr>
          <w:rFonts w:ascii="Segoe UI" w:hAnsi="Segoe UI" w:cs="Segoe UI" w:hint="eastAsia"/>
          <w:color w:val="000000"/>
        </w:rPr>
        <w:t>级数据库，恢复过程往往需要数小时甚至更长时间。以</w:t>
      </w:r>
      <w:r w:rsidRPr="007F479A">
        <w:rPr>
          <w:rFonts w:ascii="Segoe UI" w:hAnsi="Segoe UI" w:cs="Segoe UI" w:hint="eastAsia"/>
          <w:color w:val="000000"/>
        </w:rPr>
        <w:t>Oracle19C</w:t>
      </w:r>
      <w:r w:rsidRPr="007F479A">
        <w:rPr>
          <w:rFonts w:ascii="Segoe UI" w:hAnsi="Segoe UI" w:cs="Segoe UI" w:hint="eastAsia"/>
          <w:color w:val="000000"/>
        </w:rPr>
        <w:t>数据库为例，若出现逻辑错误或生产库损坏，现有方案无法实现备份数据的直接挂载，需经历繁琐的恢复流程，且恢复前需额外准备存储空间，这不仅延长了业务中断时间，还增加了操作复杂度与出错风险。此外，现有系统缺乏自动化恢复验证机制，无法定期对备份数据的有效性进行校验，导致在真正需要恢复时可能面临数据不可用的风险，难以满足现代企业对快速恢复的业务需求。</w:t>
      </w:r>
    </w:p>
    <w:p w14:paraId="25E1DB4F" w14:textId="7D8EDEC0" w:rsidR="00731408" w:rsidRPr="00731408" w:rsidRDefault="00731408" w:rsidP="00731408">
      <w:pPr>
        <w:pStyle w:val="4"/>
        <w:rPr>
          <w:rFonts w:hint="eastAsia"/>
        </w:rPr>
      </w:pPr>
      <w:r w:rsidRPr="00731408">
        <w:t>华为混合云容灾整体设计</w:t>
      </w:r>
    </w:p>
    <w:p w14:paraId="64A739FE" w14:textId="77777777" w:rsidR="00731408" w:rsidRPr="00731408" w:rsidRDefault="00731408" w:rsidP="00731408">
      <w:pPr>
        <w:pStyle w:val="5"/>
        <w:rPr>
          <w:rFonts w:hint="eastAsia"/>
        </w:rPr>
      </w:pPr>
      <w:r w:rsidRPr="00731408">
        <w:t>总体架构设计</w:t>
      </w:r>
    </w:p>
    <w:p w14:paraId="692445B0" w14:textId="18195648"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华为混合云容灾总体架构设计围绕</w:t>
      </w:r>
      <w:proofErr w:type="spellStart"/>
      <w:r w:rsidRPr="007F479A">
        <w:rPr>
          <w:rFonts w:ascii="Segoe UI" w:hAnsi="Segoe UI" w:cs="Segoe UI" w:hint="eastAsia"/>
          <w:color w:val="000000"/>
        </w:rPr>
        <w:t>Ameco</w:t>
      </w:r>
      <w:proofErr w:type="spellEnd"/>
      <w:r w:rsidRPr="007F479A">
        <w:rPr>
          <w:rFonts w:ascii="Segoe UI" w:hAnsi="Segoe UI" w:cs="Segoe UI" w:hint="eastAsia"/>
          <w:color w:val="000000"/>
        </w:rPr>
        <w:t>现有备份系统整合升级需求展开，旨在构建一个高效、统一且具备弹性扩展能力的混合云容灾体系。在混合云容灾拓扑设计上，未来将在</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机房分别部署</w:t>
      </w:r>
      <w:r w:rsidRPr="007F479A">
        <w:rPr>
          <w:rFonts w:ascii="Segoe UI" w:hAnsi="Segoe UI" w:cs="Segoe UI" w:hint="eastAsia"/>
          <w:color w:val="000000"/>
        </w:rPr>
        <w:t>1</w:t>
      </w:r>
      <w:r w:rsidRPr="007F479A">
        <w:rPr>
          <w:rFonts w:ascii="Segoe UI" w:hAnsi="Segoe UI" w:cs="Segoe UI" w:hint="eastAsia"/>
          <w:color w:val="000000"/>
        </w:rPr>
        <w:t>套华为备份一体机，作为本地核心容灾节点。这两个节点通过专线与公有云灾备中心互联，形成“本地备份</w:t>
      </w:r>
      <w:r w:rsidRPr="007F479A">
        <w:rPr>
          <w:rFonts w:ascii="Segoe UI" w:hAnsi="Segoe UI" w:cs="Segoe UI" w:hint="eastAsia"/>
          <w:color w:val="000000"/>
        </w:rPr>
        <w:t>+</w:t>
      </w:r>
      <w:r w:rsidRPr="007F479A">
        <w:rPr>
          <w:rFonts w:ascii="Segoe UI" w:hAnsi="Segoe UI" w:cs="Segoe UI" w:hint="eastAsia"/>
          <w:color w:val="000000"/>
        </w:rPr>
        <w:t>云端容灾”的混合架构。其中，</w:t>
      </w:r>
      <w:r w:rsidRPr="007F479A">
        <w:rPr>
          <w:rFonts w:ascii="Segoe UI" w:hAnsi="Segoe UI" w:cs="Segoe UI" w:hint="eastAsia"/>
          <w:color w:val="000000"/>
        </w:rPr>
        <w:t>418</w:t>
      </w:r>
      <w:r w:rsidRPr="007F479A">
        <w:rPr>
          <w:rFonts w:ascii="Segoe UI" w:hAnsi="Segoe UI" w:cs="Segoe UI" w:hint="eastAsia"/>
          <w:color w:val="000000"/>
        </w:rPr>
        <w:t>备份系统数据可通过专线落盘至</w:t>
      </w:r>
      <w:r w:rsidR="00152F2A">
        <w:rPr>
          <w:rFonts w:ascii="Segoe UI" w:hAnsi="Segoe UI" w:cs="Segoe UI" w:hint="eastAsia"/>
          <w:color w:val="000000"/>
        </w:rPr>
        <w:t>A380</w:t>
      </w:r>
      <w:r w:rsidRPr="007F479A">
        <w:rPr>
          <w:rFonts w:ascii="Segoe UI" w:hAnsi="Segoe UI" w:cs="Segoe UI" w:hint="eastAsia"/>
          <w:color w:val="000000"/>
        </w:rPr>
        <w:t>机房的备份磁带库，实现本地机房间的数据冗余；</w:t>
      </w:r>
      <w:r w:rsidR="00152F2A">
        <w:rPr>
          <w:rFonts w:ascii="Segoe UI" w:hAnsi="Segoe UI" w:cs="Segoe UI" w:hint="eastAsia"/>
          <w:color w:val="000000"/>
        </w:rPr>
        <w:t>A380</w:t>
      </w:r>
      <w:r w:rsidRPr="007F479A">
        <w:rPr>
          <w:rFonts w:ascii="Segoe UI" w:hAnsi="Segoe UI" w:cs="Segoe UI" w:hint="eastAsia"/>
          <w:color w:val="000000"/>
        </w:rPr>
        <w:t>备份一体机与备份磁带库可根据实际需求选择直连或通过</w:t>
      </w:r>
      <w:r w:rsidRPr="007F479A">
        <w:rPr>
          <w:rFonts w:ascii="Segoe UI" w:hAnsi="Segoe UI" w:cs="Segoe UI" w:hint="eastAsia"/>
          <w:color w:val="000000"/>
        </w:rPr>
        <w:t>SAN</w:t>
      </w:r>
      <w:r w:rsidRPr="007F479A">
        <w:rPr>
          <w:rFonts w:ascii="Segoe UI" w:hAnsi="Segoe UI" w:cs="Segoe UI" w:hint="eastAsia"/>
          <w:color w:val="000000"/>
        </w:rPr>
        <w:t>交换机互联，确保数据备份与恢复的高速传输。对于物理网络隔离的</w:t>
      </w:r>
      <w:r w:rsidRPr="007F479A">
        <w:rPr>
          <w:rFonts w:ascii="Segoe UI" w:hAnsi="Segoe UI" w:cs="Segoe UI" w:hint="eastAsia"/>
          <w:color w:val="000000"/>
        </w:rPr>
        <w:t>OBV</w:t>
      </w:r>
      <w:r w:rsidRPr="007F479A">
        <w:rPr>
          <w:rFonts w:ascii="Segoe UI" w:hAnsi="Segoe UI" w:cs="Segoe UI" w:hint="eastAsia"/>
          <w:color w:val="000000"/>
        </w:rPr>
        <w:t>机房，计划将其备份系统升级后部署到利旧备份服务器上，维持本地备份保护的同时，通过安全通道与核心容灾节点建立有限的数据交互链路，实现整体架构的统一管理与分级保护。</w:t>
      </w:r>
    </w:p>
    <w:p w14:paraId="10A9B652" w14:textId="3DA3F0F9"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核心组件部署规划方面，华为备份一体机作为架构核心，集成了数据备份、恢复、复制</w:t>
      </w:r>
      <w:r w:rsidRPr="007F479A">
        <w:rPr>
          <w:rFonts w:ascii="Segoe UI" w:hAnsi="Segoe UI" w:cs="Segoe UI" w:hint="eastAsia"/>
          <w:color w:val="000000"/>
        </w:rPr>
        <w:lastRenderedPageBreak/>
        <w:t>及</w:t>
      </w:r>
      <w:r w:rsidRPr="007F479A">
        <w:rPr>
          <w:rFonts w:ascii="Segoe UI" w:hAnsi="Segoe UI" w:cs="Segoe UI" w:hint="eastAsia"/>
          <w:color w:val="000000"/>
        </w:rPr>
        <w:t>CDM</w:t>
      </w:r>
      <w:r w:rsidRPr="007F479A">
        <w:rPr>
          <w:rFonts w:ascii="Segoe UI" w:hAnsi="Segoe UI" w:cs="Segoe UI" w:hint="eastAsia"/>
          <w:color w:val="000000"/>
        </w:rPr>
        <w:t>（复制数据管理）等功能模块，可直接对接</w:t>
      </w:r>
      <w:r w:rsidRPr="007F479A">
        <w:rPr>
          <w:rFonts w:ascii="Segoe UI" w:hAnsi="Segoe UI" w:cs="Segoe UI" w:hint="eastAsia"/>
          <w:color w:val="000000"/>
        </w:rPr>
        <w:t>Oracle19C</w:t>
      </w:r>
      <w:r w:rsidRPr="007F479A">
        <w:rPr>
          <w:rFonts w:ascii="Segoe UI" w:hAnsi="Segoe UI" w:cs="Segoe UI" w:hint="eastAsia"/>
          <w:color w:val="000000"/>
        </w:rPr>
        <w:t>、</w:t>
      </w:r>
      <w:r w:rsidR="009D6E2A">
        <w:rPr>
          <w:rFonts w:ascii="Segoe UI" w:hAnsi="Segoe UI" w:cs="Segoe UI" w:hint="eastAsia"/>
          <w:color w:val="000000"/>
        </w:rPr>
        <w:t>SAPHANA</w:t>
      </w:r>
      <w:r w:rsidRPr="007F479A">
        <w:rPr>
          <w:rFonts w:ascii="Segoe UI" w:hAnsi="Segoe UI" w:cs="Segoe UI" w:hint="eastAsia"/>
          <w:color w:val="000000"/>
        </w:rPr>
        <w:t>等核心业务系统。在</w:t>
      </w:r>
      <w:r w:rsidRPr="007F479A">
        <w:rPr>
          <w:rFonts w:ascii="Segoe UI" w:hAnsi="Segoe UI" w:cs="Segoe UI" w:hint="eastAsia"/>
          <w:color w:val="000000"/>
        </w:rPr>
        <w:t>NCS</w:t>
      </w:r>
      <w:r w:rsidRPr="007F479A">
        <w:rPr>
          <w:rFonts w:ascii="Segoe UI" w:hAnsi="Segoe UI" w:cs="Segoe UI" w:hint="eastAsia"/>
          <w:color w:val="000000"/>
        </w:rPr>
        <w:t>与</w:t>
      </w:r>
      <w:r w:rsidR="00152F2A">
        <w:rPr>
          <w:rFonts w:ascii="Segoe UI" w:hAnsi="Segoe UI" w:cs="Segoe UI" w:hint="eastAsia"/>
          <w:color w:val="000000"/>
        </w:rPr>
        <w:t>A380</w:t>
      </w:r>
      <w:r w:rsidRPr="007F479A">
        <w:rPr>
          <w:rFonts w:ascii="Segoe UI" w:hAnsi="Segoe UI" w:cs="Segoe UI" w:hint="eastAsia"/>
          <w:color w:val="000000"/>
        </w:rPr>
        <w:t>机房，备份一体机通过</w:t>
      </w:r>
      <w:r w:rsidRPr="007F479A">
        <w:rPr>
          <w:rFonts w:ascii="Segoe UI" w:hAnsi="Segoe UI" w:cs="Segoe UI" w:hint="eastAsia"/>
          <w:color w:val="000000"/>
        </w:rPr>
        <w:t>IP/FC/IB</w:t>
      </w:r>
      <w:r w:rsidRPr="007F479A">
        <w:rPr>
          <w:rFonts w:ascii="Segoe UI" w:hAnsi="Segoe UI" w:cs="Segoe UI" w:hint="eastAsia"/>
          <w:color w:val="000000"/>
        </w:rPr>
        <w:t>通道接入现有</w:t>
      </w:r>
      <w:r w:rsidRPr="007F479A">
        <w:rPr>
          <w:rFonts w:ascii="Segoe UI" w:hAnsi="Segoe UI" w:cs="Segoe UI" w:hint="eastAsia"/>
          <w:color w:val="000000"/>
        </w:rPr>
        <w:t>SAN</w:t>
      </w:r>
      <w:r w:rsidRPr="007F479A">
        <w:rPr>
          <w:rFonts w:ascii="Segoe UI" w:hAnsi="Segoe UI" w:cs="Segoe UI" w:hint="eastAsia"/>
          <w:color w:val="000000"/>
        </w:rPr>
        <w:t>环境，兼容</w:t>
      </w:r>
      <w:r w:rsidRPr="007F479A">
        <w:rPr>
          <w:rFonts w:ascii="Segoe UI" w:hAnsi="Segoe UI" w:cs="Segoe UI" w:hint="eastAsia"/>
          <w:color w:val="000000"/>
        </w:rPr>
        <w:t>Redhat8.9</w:t>
      </w:r>
      <w:r w:rsidRPr="007F479A">
        <w:rPr>
          <w:rFonts w:ascii="Segoe UI" w:hAnsi="Segoe UI" w:cs="Segoe UI" w:hint="eastAsia"/>
          <w:color w:val="000000"/>
        </w:rPr>
        <w:t>和</w:t>
      </w:r>
      <w:r w:rsidRPr="007F479A">
        <w:rPr>
          <w:rFonts w:ascii="Segoe UI" w:hAnsi="Segoe UI" w:cs="Segoe UI" w:hint="eastAsia"/>
          <w:color w:val="000000"/>
        </w:rPr>
        <w:t>Suse15SP6</w:t>
      </w:r>
      <w:r w:rsidRPr="007F479A">
        <w:rPr>
          <w:rFonts w:ascii="Segoe UI" w:hAnsi="Segoe UI" w:cs="Segoe UI" w:hint="eastAsia"/>
          <w:color w:val="000000"/>
        </w:rPr>
        <w:t>操作系统，支持对数据库、虚拟化平台及文件系统的全栈保护。公有云灾备中心则利用华为云存储服务构建异地容灾池，通过实时数据同步技术接收来自本地机房的增量备份数据，实现“本地备份，异地恢复”的容灾目标。此外，架构中还部署了统一的管理平台，通过</w:t>
      </w:r>
      <w:proofErr w:type="spellStart"/>
      <w:r w:rsidRPr="007F479A">
        <w:rPr>
          <w:rFonts w:ascii="Segoe UI" w:hAnsi="Segoe UI" w:cs="Segoe UI" w:hint="eastAsia"/>
          <w:color w:val="000000"/>
        </w:rPr>
        <w:t>eBackup</w:t>
      </w:r>
      <w:proofErr w:type="spellEnd"/>
      <w:r w:rsidRPr="007F479A">
        <w:rPr>
          <w:rFonts w:ascii="Segoe UI" w:hAnsi="Segoe UI" w:cs="Segoe UI" w:hint="eastAsia"/>
          <w:color w:val="000000"/>
        </w:rPr>
        <w:t>管理界面实现对</w:t>
      </w:r>
      <w:r w:rsidRPr="007F479A">
        <w:rPr>
          <w:rFonts w:ascii="Segoe UI" w:hAnsi="Segoe UI" w:cs="Segoe UI" w:hint="eastAsia"/>
          <w:color w:val="000000"/>
        </w:rPr>
        <w:t>NCS</w:t>
      </w:r>
      <w:r w:rsidRPr="007F479A">
        <w:rPr>
          <w:rFonts w:ascii="Segoe UI" w:hAnsi="Segoe UI" w:cs="Segoe UI" w:hint="eastAsia"/>
          <w:color w:val="000000"/>
        </w:rPr>
        <w:t>、</w:t>
      </w:r>
      <w:r w:rsidR="00152F2A">
        <w:rPr>
          <w:rFonts w:ascii="Segoe UI" w:hAnsi="Segoe UI" w:cs="Segoe UI" w:hint="eastAsia"/>
          <w:color w:val="000000"/>
        </w:rPr>
        <w:t>A380</w:t>
      </w:r>
      <w:r w:rsidRPr="007F479A">
        <w:rPr>
          <w:rFonts w:ascii="Segoe UI" w:hAnsi="Segoe UI" w:cs="Segoe UI" w:hint="eastAsia"/>
          <w:color w:val="000000"/>
        </w:rPr>
        <w:t>及</w:t>
      </w:r>
      <w:r w:rsidRPr="007F479A">
        <w:rPr>
          <w:rFonts w:ascii="Segoe UI" w:hAnsi="Segoe UI" w:cs="Segoe UI" w:hint="eastAsia"/>
          <w:color w:val="000000"/>
        </w:rPr>
        <w:t>OBV</w:t>
      </w:r>
      <w:r w:rsidRPr="007F479A">
        <w:rPr>
          <w:rFonts w:ascii="Segoe UI" w:hAnsi="Segoe UI" w:cs="Segoe UI" w:hint="eastAsia"/>
          <w:color w:val="000000"/>
        </w:rPr>
        <w:t>机房备份资源的集中监控、策略配置与报表生成，确保混合云环境下备份任务的可视化管理与自动化调度，同时借助智能告警机制实时感知系统异常，提升整体架构的可靠性与运维效率。</w:t>
      </w:r>
    </w:p>
    <w:p w14:paraId="59C41A5D" w14:textId="77777777" w:rsidR="00731408" w:rsidRPr="00731408" w:rsidRDefault="00731408" w:rsidP="00731408">
      <w:pPr>
        <w:pStyle w:val="5"/>
        <w:rPr>
          <w:rFonts w:hint="eastAsia"/>
        </w:rPr>
      </w:pPr>
      <w:r w:rsidRPr="00731408">
        <w:t>关键技术路线</w:t>
      </w:r>
    </w:p>
    <w:p w14:paraId="22FB001D" w14:textId="6B77F2A9"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华为混合云容灾整体设计以</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备份一体机为核心载体，深度融合</w:t>
      </w:r>
      <w:r w:rsidRPr="00E100ED">
        <w:rPr>
          <w:rFonts w:ascii="Segoe UI" w:hAnsi="Segoe UI" w:cs="Segoe UI" w:hint="eastAsia"/>
          <w:color w:val="000000"/>
        </w:rPr>
        <w:t>CDM</w:t>
      </w:r>
      <w:r w:rsidRPr="00E100ED">
        <w:rPr>
          <w:rFonts w:ascii="Segoe UI" w:hAnsi="Segoe UI" w:cs="Segoe UI" w:hint="eastAsia"/>
          <w:color w:val="000000"/>
        </w:rPr>
        <w:t>（复制数据管理）技术与华为云灾备服务能力，构建起兼具高效性与可靠性的技术路线体系。基于华为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的</w:t>
      </w:r>
      <w:r w:rsidRPr="00E100ED">
        <w:rPr>
          <w:rFonts w:ascii="Segoe UI" w:hAnsi="Segoe UI" w:cs="Segoe UI" w:hint="eastAsia"/>
          <w:color w:val="000000"/>
        </w:rPr>
        <w:t>CDM</w:t>
      </w:r>
      <w:r w:rsidRPr="00E100ED">
        <w:rPr>
          <w:rFonts w:ascii="Segoe UI" w:hAnsi="Segoe UI" w:cs="Segoe UI" w:hint="eastAsia"/>
          <w:color w:val="000000"/>
        </w:rPr>
        <w:t>技术，彻底突破传统备份的技术局限，采用原生磁盘格式存储备份数据，摒弃传统备份集概念，通过块级增量追踪技术（如针对</w:t>
      </w:r>
      <w:r w:rsidRPr="00E100ED">
        <w:rPr>
          <w:rFonts w:ascii="Segoe UI" w:hAnsi="Segoe UI" w:cs="Segoe UI" w:hint="eastAsia"/>
          <w:color w:val="000000"/>
        </w:rPr>
        <w:t>Oracle</w:t>
      </w:r>
      <w:r w:rsidRPr="00E100ED">
        <w:rPr>
          <w:rFonts w:ascii="Segoe UI" w:hAnsi="Segoe UI" w:cs="Segoe UI" w:hint="eastAsia"/>
          <w:color w:val="000000"/>
        </w:rPr>
        <w:t>的</w:t>
      </w:r>
      <w:r w:rsidRPr="00E100ED">
        <w:rPr>
          <w:rFonts w:ascii="Segoe UI" w:hAnsi="Segoe UI" w:cs="Segoe UI" w:hint="eastAsia"/>
          <w:color w:val="000000"/>
        </w:rPr>
        <w:t>BCT</w:t>
      </w:r>
      <w:r w:rsidRPr="00E100ED">
        <w:rPr>
          <w:rFonts w:ascii="Segoe UI" w:hAnsi="Segoe UI" w:cs="Segoe UI" w:hint="eastAsia"/>
          <w:color w:val="000000"/>
        </w:rPr>
        <w:t>块变化追踪、</w:t>
      </w:r>
      <w:r w:rsidRPr="00E100ED">
        <w:rPr>
          <w:rFonts w:ascii="Segoe UI" w:hAnsi="Segoe UI" w:cs="Segoe UI" w:hint="eastAsia"/>
          <w:color w:val="000000"/>
        </w:rPr>
        <w:t>VMware</w:t>
      </w:r>
      <w:r w:rsidRPr="00E100ED">
        <w:rPr>
          <w:rFonts w:ascii="Segoe UI" w:hAnsi="Segoe UI" w:cs="Segoe UI" w:hint="eastAsia"/>
          <w:color w:val="000000"/>
        </w:rPr>
        <w:t>的</w:t>
      </w:r>
      <w:r w:rsidRPr="00E100ED">
        <w:rPr>
          <w:rFonts w:ascii="Segoe UI" w:hAnsi="Segoe UI" w:cs="Segoe UI" w:hint="eastAsia"/>
          <w:color w:val="000000"/>
        </w:rPr>
        <w:t>CBT</w:t>
      </w:r>
      <w:r w:rsidRPr="00E100ED">
        <w:rPr>
          <w:rFonts w:ascii="Segoe UI" w:hAnsi="Segoe UI" w:cs="Segoe UI" w:hint="eastAsia"/>
          <w:color w:val="000000"/>
        </w:rPr>
        <w:t>技术）实现“永远增量备份”。首次全量备份完成后，后续每次备份仅捕获源端数据变化块并通过</w:t>
      </w:r>
      <w:r w:rsidRPr="00E100ED">
        <w:rPr>
          <w:rFonts w:ascii="Segoe UI" w:hAnsi="Segoe UI" w:cs="Segoe UI" w:hint="eastAsia"/>
          <w:color w:val="000000"/>
        </w:rPr>
        <w:t>IP/FC/IB</w:t>
      </w:r>
      <w:r w:rsidRPr="00E100ED">
        <w:rPr>
          <w:rFonts w:ascii="Segoe UI" w:hAnsi="Segoe UI" w:cs="Segoe UI" w:hint="eastAsia"/>
          <w:color w:val="000000"/>
        </w:rPr>
        <w:t>通道传输至备份平台，由</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内部自动完成增量合成，生成虚拟全量备份，这种机制使备份窗口仅与每日增量数据量相关，相较传统方案大幅缩短备份时间，例如</w:t>
      </w:r>
      <w:r w:rsidRPr="00E100ED">
        <w:rPr>
          <w:rFonts w:ascii="Segoe UI" w:hAnsi="Segoe UI" w:cs="Segoe UI" w:hint="eastAsia"/>
          <w:color w:val="000000"/>
        </w:rPr>
        <w:t>NCS</w:t>
      </w:r>
      <w:r w:rsidRPr="00E100ED">
        <w:rPr>
          <w:rFonts w:ascii="Segoe UI" w:hAnsi="Segoe UI" w:cs="Segoe UI" w:hint="eastAsia"/>
          <w:color w:val="000000"/>
        </w:rPr>
        <w:t>与</w:t>
      </w:r>
      <w:r w:rsidR="00152F2A">
        <w:rPr>
          <w:rFonts w:ascii="Segoe UI" w:hAnsi="Segoe UI" w:cs="Segoe UI" w:hint="eastAsia"/>
          <w:color w:val="000000"/>
        </w:rPr>
        <w:t>A380</w:t>
      </w:r>
      <w:r w:rsidRPr="00E100ED">
        <w:rPr>
          <w:rFonts w:ascii="Segoe UI" w:hAnsi="Segoe UI" w:cs="Segoe UI" w:hint="eastAsia"/>
          <w:color w:val="000000"/>
        </w:rPr>
        <w:t>机房每月</w:t>
      </w:r>
      <w:r w:rsidRPr="00E100ED">
        <w:rPr>
          <w:rFonts w:ascii="Segoe UI" w:hAnsi="Segoe UI" w:cs="Segoe UI" w:hint="eastAsia"/>
          <w:color w:val="000000"/>
        </w:rPr>
        <w:t>200TB</w:t>
      </w:r>
      <w:r w:rsidRPr="00E100ED">
        <w:rPr>
          <w:rFonts w:ascii="Segoe UI" w:hAnsi="Segoe UI" w:cs="Segoe UI" w:hint="eastAsia"/>
          <w:color w:val="000000"/>
        </w:rPr>
        <w:t>的数据流量通过该技术可显著降低传输压力与存储占用。</w:t>
      </w:r>
    </w:p>
    <w:p w14:paraId="195E3294" w14:textId="535F22BA"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在华为云灾备服务集成方面，构建“本地备份</w:t>
      </w:r>
      <w:r w:rsidRPr="00E100ED">
        <w:rPr>
          <w:rFonts w:ascii="Segoe UI" w:hAnsi="Segoe UI" w:cs="Segoe UI" w:hint="eastAsia"/>
          <w:color w:val="000000"/>
        </w:rPr>
        <w:t>+</w:t>
      </w:r>
      <w:r w:rsidRPr="00E100ED">
        <w:rPr>
          <w:rFonts w:ascii="Segoe UI" w:hAnsi="Segoe UI" w:cs="Segoe UI" w:hint="eastAsia"/>
          <w:color w:val="000000"/>
        </w:rPr>
        <w:t>云端容灾”的混合架构闭环。本地</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备份一体机通过专线与华为云灾备中心实现数据实时同步，将本地备份的增量数据基于</w:t>
      </w:r>
      <w:r w:rsidRPr="00E100ED">
        <w:rPr>
          <w:rFonts w:ascii="Segoe UI" w:hAnsi="Segoe UI" w:cs="Segoe UI" w:hint="eastAsia"/>
          <w:color w:val="000000"/>
        </w:rPr>
        <w:t>CDM</w:t>
      </w:r>
      <w:r w:rsidRPr="00E100ED">
        <w:rPr>
          <w:rFonts w:ascii="Segoe UI" w:hAnsi="Segoe UI" w:cs="Segoe UI" w:hint="eastAsia"/>
          <w:color w:val="000000"/>
        </w:rPr>
        <w:t>技术生成的虚拟全量副本异步传输至云端存储池，形成异地容灾副本。当本地系统遭遇灾难时，可直接利用华为云灾备服务的即时拉起能力，在公有云环境中快速挂载备份数据，实现</w:t>
      </w:r>
      <w:r w:rsidRPr="00E100ED">
        <w:rPr>
          <w:rFonts w:ascii="Segoe UI" w:hAnsi="Segoe UI" w:cs="Segoe UI" w:hint="eastAsia"/>
          <w:color w:val="000000"/>
        </w:rPr>
        <w:t>Oracle19C</w:t>
      </w:r>
      <w:r w:rsidRPr="00E100ED">
        <w:rPr>
          <w:rFonts w:ascii="Segoe UI" w:hAnsi="Segoe UI" w:cs="Segoe UI" w:hint="eastAsia"/>
          <w:color w:val="000000"/>
        </w:rPr>
        <w:t>数据库或</w:t>
      </w:r>
      <w:r w:rsidR="009D6E2A">
        <w:rPr>
          <w:rFonts w:ascii="Segoe UI" w:hAnsi="Segoe UI" w:cs="Segoe UI" w:hint="eastAsia"/>
          <w:color w:val="000000"/>
        </w:rPr>
        <w:t>SAPHANA</w:t>
      </w:r>
      <w:r w:rsidRPr="00E100ED">
        <w:rPr>
          <w:rFonts w:ascii="Segoe UI" w:hAnsi="Segoe UI" w:cs="Segoe UI" w:hint="eastAsia"/>
          <w:color w:val="000000"/>
        </w:rPr>
        <w:t>系统的分钟级恢复，满足</w:t>
      </w:r>
      <w:r w:rsidRPr="00E100ED">
        <w:rPr>
          <w:rFonts w:ascii="Segoe UI" w:hAnsi="Segoe UI" w:cs="Segoe UI" w:hint="eastAsia"/>
          <w:color w:val="000000"/>
        </w:rPr>
        <w:t>RTO</w:t>
      </w:r>
      <w:r w:rsidRPr="00E100ED">
        <w:rPr>
          <w:rFonts w:ascii="Segoe UI" w:hAnsi="Segoe UI" w:cs="Segoe UI" w:hint="eastAsia"/>
          <w:color w:val="000000"/>
        </w:rPr>
        <w:t>（恢复时间目标）与</w:t>
      </w:r>
      <w:r w:rsidRPr="00E100ED">
        <w:rPr>
          <w:rFonts w:ascii="Segoe UI" w:hAnsi="Segoe UI" w:cs="Segoe UI" w:hint="eastAsia"/>
          <w:color w:val="000000"/>
        </w:rPr>
        <w:t>RPO</w:t>
      </w:r>
      <w:r w:rsidRPr="00E100ED">
        <w:rPr>
          <w:rFonts w:ascii="Segoe UI" w:hAnsi="Segoe UI" w:cs="Segoe UI" w:hint="eastAsia"/>
          <w:color w:val="000000"/>
        </w:rPr>
        <w:t>（恢复点目标）的严格</w:t>
      </w:r>
      <w:r w:rsidR="006C6F6D" w:rsidRPr="006C6F6D">
        <w:rPr>
          <w:rFonts w:ascii="Segoe UI" w:hAnsi="Segoe UI" w:cs="Segoe UI" w:hint="eastAsia"/>
          <w:b/>
          <w:color w:val="000000"/>
        </w:rPr>
        <w:t>招标文件要求</w:t>
      </w:r>
      <w:r w:rsidRPr="00E100ED">
        <w:rPr>
          <w:rFonts w:ascii="Segoe UI" w:hAnsi="Segoe UI" w:cs="Segoe UI" w:hint="eastAsia"/>
          <w:color w:val="000000"/>
        </w:rPr>
        <w:t>。同时，华为云灾备服务提供弹性扩展的存储资源与计算资源，可动态适配业务数据增长需求，避免本地硬件资源的过度预置。此外，通过华为云管理平台与本地</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管理界面的无缝对接，实现混合云环境下备份策略、恢复验证、容灾演练的统一编排与自动化执行，例如定期将本地备份数据同步至云端后，在云端进行自动化恢复演练，验证备份数据有效性的同时不影响本地生产系统运行，充分发挥混合云架构的技术优势。</w:t>
      </w:r>
    </w:p>
    <w:p w14:paraId="4DC7217F" w14:textId="77777777" w:rsidR="00731408" w:rsidRDefault="00731408" w:rsidP="00731408">
      <w:pPr>
        <w:pStyle w:val="5"/>
        <w:rPr>
          <w:rFonts w:hint="eastAsia"/>
        </w:rPr>
      </w:pPr>
      <w:r w:rsidRPr="00731408">
        <w:t>系统迁移过渡方案</w:t>
      </w:r>
    </w:p>
    <w:p w14:paraId="6C36C7AF" w14:textId="12C7E4BA"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华为混合云容灾系统迁移过渡方案充分考虑现有环境的异构特性与平滑迁移需求，通过分层设计的兼容策略与技术路径，确保从传统备份架构向华为混合云容灾体系的无缝过渡。在异构环境兼容策略上，针对</w:t>
      </w:r>
      <w:proofErr w:type="spellStart"/>
      <w:r w:rsidRPr="00E100ED">
        <w:rPr>
          <w:rFonts w:ascii="Segoe UI" w:hAnsi="Segoe UI" w:cs="Segoe UI" w:hint="eastAsia"/>
          <w:color w:val="000000"/>
        </w:rPr>
        <w:t>Ameco</w:t>
      </w:r>
      <w:proofErr w:type="spellEnd"/>
      <w:r w:rsidRPr="00E100ED">
        <w:rPr>
          <w:rFonts w:ascii="Segoe UI" w:hAnsi="Segoe UI" w:cs="Segoe UI" w:hint="eastAsia"/>
          <w:color w:val="000000"/>
        </w:rPr>
        <w:t>现有系统中</w:t>
      </w:r>
      <w:r w:rsidRPr="00E100ED">
        <w:rPr>
          <w:rFonts w:ascii="Segoe UI" w:hAnsi="Segoe UI" w:cs="Segoe UI" w:hint="eastAsia"/>
          <w:color w:val="000000"/>
        </w:rPr>
        <w:t>Redhat8.9</w:t>
      </w:r>
      <w:r w:rsidRPr="00E100ED">
        <w:rPr>
          <w:rFonts w:ascii="Segoe UI" w:hAnsi="Segoe UI" w:cs="Segoe UI" w:hint="eastAsia"/>
          <w:color w:val="000000"/>
        </w:rPr>
        <w:t>与</w:t>
      </w:r>
      <w:r w:rsidRPr="00E100ED">
        <w:rPr>
          <w:rFonts w:ascii="Segoe UI" w:hAnsi="Segoe UI" w:cs="Segoe UI" w:hint="eastAsia"/>
          <w:color w:val="000000"/>
        </w:rPr>
        <w:t>Suse15SP6</w:t>
      </w:r>
      <w:r w:rsidRPr="00E100ED">
        <w:rPr>
          <w:rFonts w:ascii="Segoe UI" w:hAnsi="Segoe UI" w:cs="Segoe UI" w:hint="eastAsia"/>
          <w:color w:val="000000"/>
        </w:rPr>
        <w:t>操作系统、</w:t>
      </w:r>
      <w:r w:rsidRPr="00E100ED">
        <w:rPr>
          <w:rFonts w:ascii="Segoe UI" w:hAnsi="Segoe UI" w:cs="Segoe UI" w:hint="eastAsia"/>
          <w:color w:val="000000"/>
        </w:rPr>
        <w:t>Oracle19C</w:t>
      </w:r>
      <w:r w:rsidRPr="00E100ED">
        <w:rPr>
          <w:rFonts w:ascii="Segoe UI" w:hAnsi="Segoe UI" w:cs="Segoe UI" w:hint="eastAsia"/>
          <w:color w:val="000000"/>
        </w:rPr>
        <w:t>及</w:t>
      </w:r>
      <w:r w:rsidR="009D6E2A">
        <w:rPr>
          <w:rFonts w:ascii="Segoe UI" w:hAnsi="Segoe UI" w:cs="Segoe UI" w:hint="eastAsia"/>
          <w:color w:val="000000"/>
        </w:rPr>
        <w:t>SAPHANA</w:t>
      </w:r>
      <w:r w:rsidRPr="00E100ED">
        <w:rPr>
          <w:rFonts w:ascii="Segoe UI" w:hAnsi="Segoe UI" w:cs="Segoe UI" w:hint="eastAsia"/>
          <w:color w:val="000000"/>
        </w:rPr>
        <w:t>数据库的复杂组合，华为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备份一体机采用全栈兼容性设计：一方面通过内置的多平台代理模块，直接支持</w:t>
      </w:r>
      <w:proofErr w:type="spellStart"/>
      <w:r w:rsidRPr="00E100ED">
        <w:rPr>
          <w:rFonts w:ascii="Segoe UI" w:hAnsi="Segoe UI" w:cs="Segoe UI" w:hint="eastAsia"/>
          <w:color w:val="000000"/>
        </w:rPr>
        <w:t>Redhat</w:t>
      </w:r>
      <w:proofErr w:type="spellEnd"/>
      <w:r w:rsidRPr="00E100ED">
        <w:rPr>
          <w:rFonts w:ascii="Segoe UI" w:hAnsi="Segoe UI" w:cs="Segoe UI" w:hint="eastAsia"/>
          <w:color w:val="000000"/>
        </w:rPr>
        <w:t>与</w:t>
      </w:r>
      <w:proofErr w:type="spellStart"/>
      <w:r w:rsidRPr="00E100ED">
        <w:rPr>
          <w:rFonts w:ascii="Segoe UI" w:hAnsi="Segoe UI" w:cs="Segoe UI" w:hint="eastAsia"/>
          <w:color w:val="000000"/>
        </w:rPr>
        <w:t>Suse</w:t>
      </w:r>
      <w:proofErr w:type="spellEnd"/>
      <w:r w:rsidRPr="00E100ED">
        <w:rPr>
          <w:rFonts w:ascii="Segoe UI" w:hAnsi="Segoe UI" w:cs="Segoe UI" w:hint="eastAsia"/>
          <w:color w:val="000000"/>
        </w:rPr>
        <w:t>系统下的文件系统、数据库及虚拟化环境备份，确保对现有</w:t>
      </w:r>
      <w:r w:rsidRPr="00E100ED">
        <w:rPr>
          <w:rFonts w:ascii="Segoe UI" w:hAnsi="Segoe UI" w:cs="Segoe UI" w:hint="eastAsia"/>
          <w:color w:val="000000"/>
        </w:rPr>
        <w:t>Oracle19C</w:t>
      </w:r>
      <w:r w:rsidRPr="00E100ED">
        <w:rPr>
          <w:rFonts w:ascii="Segoe UI" w:hAnsi="Segoe UI" w:cs="Segoe UI" w:hint="eastAsia"/>
          <w:color w:val="000000"/>
        </w:rPr>
        <w:t>数据库</w:t>
      </w:r>
      <w:r w:rsidRPr="00E100ED">
        <w:rPr>
          <w:rFonts w:ascii="Segoe UI" w:hAnsi="Segoe UI" w:cs="Segoe UI" w:hint="eastAsia"/>
          <w:color w:val="000000"/>
        </w:rPr>
        <w:t>BCT</w:t>
      </w:r>
      <w:r w:rsidRPr="00E100ED">
        <w:rPr>
          <w:rFonts w:ascii="Segoe UI" w:hAnsi="Segoe UI" w:cs="Segoe UI" w:hint="eastAsia"/>
          <w:color w:val="000000"/>
        </w:rPr>
        <w:t>块追踪技术与</w:t>
      </w:r>
      <w:r w:rsidR="009D6E2A">
        <w:rPr>
          <w:rFonts w:ascii="Segoe UI" w:hAnsi="Segoe UI" w:cs="Segoe UI" w:hint="eastAsia"/>
          <w:color w:val="000000"/>
        </w:rPr>
        <w:t>SAPHANA</w:t>
      </w:r>
      <w:r w:rsidRPr="00E100ED">
        <w:rPr>
          <w:rFonts w:ascii="Segoe UI" w:hAnsi="Segoe UI" w:cs="Segoe UI" w:hint="eastAsia"/>
          <w:color w:val="000000"/>
        </w:rPr>
        <w:t>系统增量备份机制的原生支持；另一方面，通过</w:t>
      </w:r>
      <w:r w:rsidRPr="00E100ED">
        <w:rPr>
          <w:rFonts w:ascii="Segoe UI" w:hAnsi="Segoe UI" w:cs="Segoe UI" w:hint="eastAsia"/>
          <w:color w:val="000000"/>
        </w:rPr>
        <w:t>SAN</w:t>
      </w:r>
      <w:r w:rsidRPr="00E100ED">
        <w:rPr>
          <w:rFonts w:ascii="Segoe UI" w:hAnsi="Segoe UI" w:cs="Segoe UI" w:hint="eastAsia"/>
          <w:color w:val="000000"/>
        </w:rPr>
        <w:t>网络适配器与</w:t>
      </w:r>
      <w:r w:rsidRPr="00E100ED">
        <w:rPr>
          <w:rFonts w:ascii="Segoe UI" w:hAnsi="Segoe UI" w:cs="Segoe UI" w:hint="eastAsia"/>
          <w:color w:val="000000"/>
        </w:rPr>
        <w:t>FC/IB</w:t>
      </w:r>
      <w:r w:rsidRPr="00E100ED">
        <w:rPr>
          <w:rFonts w:ascii="Segoe UI" w:hAnsi="Segoe UI" w:cs="Segoe UI" w:hint="eastAsia"/>
          <w:color w:val="000000"/>
        </w:rPr>
        <w:t>通道的兼容适配，实现对现有</w:t>
      </w:r>
      <w:r w:rsidRPr="00E100ED">
        <w:rPr>
          <w:rFonts w:ascii="Segoe UI" w:hAnsi="Segoe UI" w:cs="Segoe UI" w:hint="eastAsia"/>
          <w:color w:val="000000"/>
        </w:rPr>
        <w:t>3</w:t>
      </w:r>
      <w:r w:rsidRPr="00E100ED">
        <w:rPr>
          <w:rFonts w:ascii="Segoe UI" w:hAnsi="Segoe UI" w:cs="Segoe UI" w:hint="eastAsia"/>
          <w:color w:val="000000"/>
        </w:rPr>
        <w:t>台备份服务器、</w:t>
      </w:r>
      <w:r w:rsidRPr="00E100ED">
        <w:rPr>
          <w:rFonts w:ascii="Segoe UI" w:hAnsi="Segoe UI" w:cs="Segoe UI" w:hint="eastAsia"/>
          <w:color w:val="000000"/>
        </w:rPr>
        <w:t>7</w:t>
      </w:r>
      <w:r w:rsidRPr="00E100ED">
        <w:rPr>
          <w:rFonts w:ascii="Segoe UI" w:hAnsi="Segoe UI" w:cs="Segoe UI" w:hint="eastAsia"/>
          <w:color w:val="000000"/>
        </w:rPr>
        <w:t>台磁带库及</w:t>
      </w:r>
      <w:r w:rsidRPr="00E100ED">
        <w:rPr>
          <w:rFonts w:ascii="Segoe UI" w:hAnsi="Segoe UI" w:cs="Segoe UI" w:hint="eastAsia"/>
          <w:color w:val="000000"/>
        </w:rPr>
        <w:t>4</w:t>
      </w:r>
      <w:r w:rsidRPr="00E100ED">
        <w:rPr>
          <w:rFonts w:ascii="Segoe UI" w:hAnsi="Segoe UI" w:cs="Segoe UI" w:hint="eastAsia"/>
          <w:color w:val="000000"/>
        </w:rPr>
        <w:t>台</w:t>
      </w:r>
      <w:r w:rsidRPr="00E100ED">
        <w:rPr>
          <w:rFonts w:ascii="Segoe UI" w:hAnsi="Segoe UI" w:cs="Segoe UI" w:hint="eastAsia"/>
          <w:color w:val="000000"/>
        </w:rPr>
        <w:t>SAN</w:t>
      </w:r>
      <w:r w:rsidRPr="00E100ED">
        <w:rPr>
          <w:rFonts w:ascii="Segoe UI" w:hAnsi="Segoe UI" w:cs="Segoe UI" w:hint="eastAsia"/>
          <w:color w:val="000000"/>
        </w:rPr>
        <w:t>交换机的利旧接入，特别是针对</w:t>
      </w:r>
      <w:r w:rsidRPr="00E100ED">
        <w:rPr>
          <w:rFonts w:ascii="Segoe UI" w:hAnsi="Segoe UI" w:cs="Segoe UI" w:hint="eastAsia"/>
          <w:color w:val="000000"/>
        </w:rPr>
        <w:t>OBV</w:t>
      </w:r>
      <w:r w:rsidRPr="00E100ED">
        <w:rPr>
          <w:rFonts w:ascii="Segoe UI" w:hAnsi="Segoe UI" w:cs="Segoe UI" w:hint="eastAsia"/>
          <w:color w:val="000000"/>
        </w:rPr>
        <w:lastRenderedPageBreak/>
        <w:t>机房物理隔离环境下的利旧备份服务器，通过安全协议封装实现异构硬件资源的统一管理。对于</w:t>
      </w:r>
      <w:r w:rsidRPr="00E100ED">
        <w:rPr>
          <w:rFonts w:ascii="Segoe UI" w:hAnsi="Segoe UI" w:cs="Segoe UI" w:hint="eastAsia"/>
          <w:color w:val="000000"/>
        </w:rPr>
        <w:t>VeritasNBU8.*</w:t>
      </w:r>
      <w:r w:rsidRPr="00E100ED">
        <w:rPr>
          <w:rFonts w:ascii="Segoe UI" w:hAnsi="Segoe UI" w:cs="Segoe UI" w:hint="eastAsia"/>
          <w:color w:val="000000"/>
        </w:rPr>
        <w:t>备份软件生成的历史备份数据，华为方案采用格式转换引擎，将传统磁带</w:t>
      </w:r>
      <w:r w:rsidRPr="00E100ED">
        <w:rPr>
          <w:rFonts w:ascii="Segoe UI" w:hAnsi="Segoe UI" w:cs="Segoe UI" w:hint="eastAsia"/>
          <w:color w:val="000000"/>
        </w:rPr>
        <w:t>tar</w:t>
      </w:r>
      <w:r w:rsidRPr="00E100ED">
        <w:rPr>
          <w:rFonts w:ascii="Segoe UI" w:hAnsi="Segoe UI" w:cs="Segoe UI" w:hint="eastAsia"/>
          <w:color w:val="000000"/>
        </w:rPr>
        <w:t>格式数据转换为原生磁盘格式，确保历史备份数据在新架构下的可恢复性与可用性。</w:t>
      </w:r>
    </w:p>
    <w:p w14:paraId="2E5B65C8" w14:textId="2202CD51"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平滑迁移技术路径采用“分阶段、分区域”的渐进式实施策略。第一阶段在</w:t>
      </w:r>
      <w:r w:rsidRPr="00E100ED">
        <w:rPr>
          <w:rFonts w:ascii="Segoe UI" w:hAnsi="Segoe UI" w:cs="Segoe UI" w:hint="eastAsia"/>
          <w:color w:val="000000"/>
        </w:rPr>
        <w:t>NCS</w:t>
      </w:r>
      <w:r w:rsidRPr="00E100ED">
        <w:rPr>
          <w:rFonts w:ascii="Segoe UI" w:hAnsi="Segoe UI" w:cs="Segoe UI" w:hint="eastAsia"/>
          <w:color w:val="000000"/>
        </w:rPr>
        <w:t>数据中心与</w:t>
      </w:r>
      <w:r w:rsidR="00152F2A">
        <w:rPr>
          <w:rFonts w:ascii="Segoe UI" w:hAnsi="Segoe UI" w:cs="Segoe UI" w:hint="eastAsia"/>
          <w:color w:val="000000"/>
        </w:rPr>
        <w:t>A380</w:t>
      </w:r>
      <w:r w:rsidRPr="00E100ED">
        <w:rPr>
          <w:rFonts w:ascii="Segoe UI" w:hAnsi="Segoe UI" w:cs="Segoe UI" w:hint="eastAsia"/>
          <w:color w:val="000000"/>
        </w:rPr>
        <w:t>机房并行部署华为备份一体机，与现有</w:t>
      </w:r>
      <w:r w:rsidRPr="00E100ED">
        <w:rPr>
          <w:rFonts w:ascii="Segoe UI" w:hAnsi="Segoe UI" w:cs="Segoe UI" w:hint="eastAsia"/>
          <w:color w:val="000000"/>
        </w:rPr>
        <w:t>Veritas</w:t>
      </w:r>
      <w:r w:rsidRPr="00E100ED">
        <w:rPr>
          <w:rFonts w:ascii="Segoe UI" w:hAnsi="Segoe UI" w:cs="Segoe UI" w:hint="eastAsia"/>
          <w:color w:val="000000"/>
        </w:rPr>
        <w:t>备份系统形成双活备份架构，通过数据对比工具验证华为方案的备份完整性与恢复准确性，同时将</w:t>
      </w:r>
      <w:r w:rsidRPr="00E100ED">
        <w:rPr>
          <w:rFonts w:ascii="Segoe UI" w:hAnsi="Segoe UI" w:cs="Segoe UI" w:hint="eastAsia"/>
          <w:color w:val="000000"/>
        </w:rPr>
        <w:t>418</w:t>
      </w:r>
      <w:r w:rsidRPr="00E100ED">
        <w:rPr>
          <w:rFonts w:ascii="Segoe UI" w:hAnsi="Segoe UI" w:cs="Segoe UI" w:hint="eastAsia"/>
          <w:color w:val="000000"/>
        </w:rPr>
        <w:t>备份系统数据通过专线逐步迁移至</w:t>
      </w:r>
      <w:r w:rsidR="00152F2A">
        <w:rPr>
          <w:rFonts w:ascii="Segoe UI" w:hAnsi="Segoe UI" w:cs="Segoe UI" w:hint="eastAsia"/>
          <w:color w:val="000000"/>
        </w:rPr>
        <w:t>A380</w:t>
      </w:r>
      <w:r w:rsidRPr="00E100ED">
        <w:rPr>
          <w:rFonts w:ascii="Segoe UI" w:hAnsi="Segoe UI" w:cs="Segoe UI" w:hint="eastAsia"/>
          <w:color w:val="000000"/>
        </w:rPr>
        <w:t>机房的华为备份一体机，实现本地机房间的数据同步与格式转换；第二阶段完成</w:t>
      </w:r>
      <w:r w:rsidRPr="00E100ED">
        <w:rPr>
          <w:rFonts w:ascii="Segoe UI" w:hAnsi="Segoe UI" w:cs="Segoe UI" w:hint="eastAsia"/>
          <w:color w:val="000000"/>
        </w:rPr>
        <w:t>OBV</w:t>
      </w:r>
      <w:r w:rsidRPr="00E100ED">
        <w:rPr>
          <w:rFonts w:ascii="Segoe UI" w:hAnsi="Segoe UI" w:cs="Segoe UI" w:hint="eastAsia"/>
          <w:color w:val="000000"/>
        </w:rPr>
        <w:t>机房备份系统升级，将原有单节点备份服务器替换为利旧硬件承载的华为备份软件模块，建立与核心机房的安全数据链路，实现隔离环境下的备份策略统一管理；第三阶段启动割接切换，通过自动化迁移工具将</w:t>
      </w:r>
      <w:r w:rsidRPr="00E100ED">
        <w:rPr>
          <w:rFonts w:ascii="Segoe UI" w:hAnsi="Segoe UI" w:cs="Segoe UI" w:hint="eastAsia"/>
          <w:color w:val="000000"/>
        </w:rPr>
        <w:t>Veritas</w:t>
      </w:r>
      <w:r w:rsidRPr="00E100ED">
        <w:rPr>
          <w:rFonts w:ascii="Segoe UI" w:hAnsi="Segoe UI" w:cs="Segoe UI" w:hint="eastAsia"/>
          <w:color w:val="000000"/>
        </w:rPr>
        <w:t>备份任务逐步迁移至华为管理平台，同时利用</w:t>
      </w:r>
      <w:r w:rsidRPr="00E100ED">
        <w:rPr>
          <w:rFonts w:ascii="Segoe UI" w:hAnsi="Segoe UI" w:cs="Segoe UI" w:hint="eastAsia"/>
          <w:color w:val="000000"/>
        </w:rPr>
        <w:t>CDM</w:t>
      </w:r>
      <w:r w:rsidRPr="00E100ED">
        <w:rPr>
          <w:rFonts w:ascii="Segoe UI" w:hAnsi="Segoe UI" w:cs="Segoe UI" w:hint="eastAsia"/>
          <w:color w:val="000000"/>
        </w:rPr>
        <w:t>技术的指针式快照能力，对关键业务系统进行迁移前的一致性备份，确保切换过程中数据零丢失。迁移过程中采用“先试点后推广”的方式，优先在非核心业务系统验证迁移流程，逐步扩展至</w:t>
      </w:r>
      <w:r w:rsidRPr="00E100ED">
        <w:rPr>
          <w:rFonts w:ascii="Segoe UI" w:hAnsi="Segoe UI" w:cs="Segoe UI" w:hint="eastAsia"/>
          <w:color w:val="000000"/>
        </w:rPr>
        <w:t>Oracle19C</w:t>
      </w:r>
      <w:r w:rsidRPr="00E100ED">
        <w:rPr>
          <w:rFonts w:ascii="Segoe UI" w:hAnsi="Segoe UI" w:cs="Segoe UI" w:hint="eastAsia"/>
          <w:color w:val="000000"/>
        </w:rPr>
        <w:t>与</w:t>
      </w:r>
      <w:r w:rsidR="009D6E2A">
        <w:rPr>
          <w:rFonts w:ascii="Segoe UI" w:hAnsi="Segoe UI" w:cs="Segoe UI" w:hint="eastAsia"/>
          <w:color w:val="000000"/>
        </w:rPr>
        <w:t>SAPHANA</w:t>
      </w:r>
      <w:r w:rsidRPr="00E100ED">
        <w:rPr>
          <w:rFonts w:ascii="Segoe UI" w:hAnsi="Segoe UI" w:cs="Segoe UI" w:hint="eastAsia"/>
          <w:color w:val="000000"/>
        </w:rPr>
        <w:t>等核心系统，每个阶段均配备回滚机制，当出现兼容性问题时可快速恢复至原系统状态，最终实现从传统架构到华为混合云容灾体系的平滑过渡，保障业务连续性不受迁移过程影响。</w:t>
      </w:r>
    </w:p>
    <w:p w14:paraId="5B7BF02E" w14:textId="683A33B8" w:rsidR="00731408" w:rsidRPr="00731408" w:rsidRDefault="00731408" w:rsidP="00731408">
      <w:pPr>
        <w:pStyle w:val="4"/>
        <w:rPr>
          <w:rFonts w:hint="eastAsia"/>
        </w:rPr>
      </w:pPr>
      <w:r w:rsidRPr="00731408">
        <w:t>华为容灾方案详细设计</w:t>
      </w:r>
    </w:p>
    <w:p w14:paraId="3CBA0AA6" w14:textId="77777777" w:rsidR="00731408" w:rsidRPr="00731408" w:rsidRDefault="00731408" w:rsidP="00731408">
      <w:pPr>
        <w:pStyle w:val="5"/>
        <w:rPr>
          <w:rFonts w:hint="eastAsia"/>
        </w:rPr>
      </w:pPr>
      <w:r w:rsidRPr="00731408">
        <w:t>数据保护核心能力</w:t>
      </w:r>
    </w:p>
    <w:p w14:paraId="7C3ED8CF" w14:textId="6E0C1BB5"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华为容灾方案的数据保护核心能力构建于全栈技术架构之上，通过融合创新技术实现对复杂业务环境的全面保护。在全栈数据保护支持方面，华为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备份一体机可无缝覆盖异构数据库、操作系统及虚拟化平台，针对本地数据中心的</w:t>
      </w:r>
      <w:r w:rsidRPr="00E100ED">
        <w:rPr>
          <w:rFonts w:ascii="Segoe UI" w:hAnsi="Segoe UI" w:cs="Segoe UI" w:hint="eastAsia"/>
          <w:color w:val="000000"/>
        </w:rPr>
        <w:t>2</w:t>
      </w:r>
      <w:r w:rsidRPr="00E100ED">
        <w:rPr>
          <w:rFonts w:ascii="Segoe UI" w:hAnsi="Segoe UI" w:cs="Segoe UI" w:hint="eastAsia"/>
          <w:color w:val="000000"/>
        </w:rPr>
        <w:t>套</w:t>
      </w:r>
      <w:r w:rsidRPr="00E100ED">
        <w:rPr>
          <w:rFonts w:ascii="Segoe UI" w:hAnsi="Segoe UI" w:cs="Segoe UI" w:hint="eastAsia"/>
          <w:color w:val="000000"/>
        </w:rPr>
        <w:t>Oracle19C</w:t>
      </w:r>
      <w:r w:rsidRPr="00E100ED">
        <w:rPr>
          <w:rFonts w:ascii="Segoe UI" w:hAnsi="Segoe UI" w:cs="Segoe UI" w:hint="eastAsia"/>
          <w:color w:val="000000"/>
        </w:rPr>
        <w:t>数据库，基于</w:t>
      </w:r>
      <w:r w:rsidRPr="00E100ED">
        <w:rPr>
          <w:rFonts w:ascii="Segoe UI" w:hAnsi="Segoe UI" w:cs="Segoe UI" w:hint="eastAsia"/>
          <w:color w:val="000000"/>
        </w:rPr>
        <w:t>Redhat8.9</w:t>
      </w:r>
      <w:r w:rsidRPr="00E100ED">
        <w:rPr>
          <w:rFonts w:ascii="Segoe UI" w:hAnsi="Segoe UI" w:cs="Segoe UI" w:hint="eastAsia"/>
          <w:color w:val="000000"/>
        </w:rPr>
        <w:t>操作系统环境，提供从数据库实例到表空间的细粒度备份能力，支持</w:t>
      </w:r>
      <w:r w:rsidRPr="00E100ED">
        <w:rPr>
          <w:rFonts w:ascii="Segoe UI" w:hAnsi="Segoe UI" w:cs="Segoe UI" w:hint="eastAsia"/>
          <w:color w:val="000000"/>
        </w:rPr>
        <w:t>RMAN</w:t>
      </w:r>
      <w:r w:rsidRPr="00E100ED">
        <w:rPr>
          <w:rFonts w:ascii="Segoe UI" w:hAnsi="Segoe UI" w:cs="Segoe UI" w:hint="eastAsia"/>
          <w:color w:val="000000"/>
        </w:rPr>
        <w:t>备份协议与</w:t>
      </w:r>
      <w:r w:rsidRPr="00E100ED">
        <w:rPr>
          <w:rFonts w:ascii="Segoe UI" w:hAnsi="Segoe UI" w:cs="Segoe UI" w:hint="eastAsia"/>
          <w:color w:val="000000"/>
        </w:rPr>
        <w:t>BCT</w:t>
      </w:r>
      <w:r w:rsidRPr="00E100ED">
        <w:rPr>
          <w:rFonts w:ascii="Segoe UI" w:hAnsi="Segoe UI" w:cs="Segoe UI" w:hint="eastAsia"/>
          <w:color w:val="000000"/>
        </w:rPr>
        <w:t>块变化追踪技术，确保每次备份仅捕获修改过的数据库块；对于</w:t>
      </w:r>
      <w:r w:rsidRPr="00E100ED">
        <w:rPr>
          <w:rFonts w:ascii="Segoe UI" w:hAnsi="Segoe UI" w:cs="Segoe UI" w:hint="eastAsia"/>
          <w:color w:val="000000"/>
        </w:rPr>
        <w:t>1</w:t>
      </w:r>
      <w:r w:rsidRPr="00E100ED">
        <w:rPr>
          <w:rFonts w:ascii="Segoe UI" w:hAnsi="Segoe UI" w:cs="Segoe UI" w:hint="eastAsia"/>
          <w:color w:val="000000"/>
        </w:rPr>
        <w:t>套</w:t>
      </w:r>
      <w:r w:rsidR="009D6E2A">
        <w:rPr>
          <w:rFonts w:ascii="Segoe UI" w:hAnsi="Segoe UI" w:cs="Segoe UI" w:hint="eastAsia"/>
          <w:color w:val="000000"/>
        </w:rPr>
        <w:t>SAPHANA</w:t>
      </w:r>
      <w:r w:rsidRPr="00E100ED">
        <w:rPr>
          <w:rFonts w:ascii="Segoe UI" w:hAnsi="Segoe UI" w:cs="Segoe UI" w:hint="eastAsia"/>
          <w:color w:val="000000"/>
        </w:rPr>
        <w:t>系统在</w:t>
      </w:r>
      <w:r w:rsidRPr="00E100ED">
        <w:rPr>
          <w:rFonts w:ascii="Segoe UI" w:hAnsi="Segoe UI" w:cs="Segoe UI" w:hint="eastAsia"/>
          <w:color w:val="000000"/>
        </w:rPr>
        <w:t>Suse15SP6</w:t>
      </w:r>
      <w:r w:rsidRPr="00E100ED">
        <w:rPr>
          <w:rFonts w:ascii="Segoe UI" w:hAnsi="Segoe UI" w:cs="Segoe UI" w:hint="eastAsia"/>
          <w:color w:val="000000"/>
        </w:rPr>
        <w:t>下的运行环境，采用</w:t>
      </w:r>
      <w:r w:rsidRPr="00E100ED">
        <w:rPr>
          <w:rFonts w:ascii="Segoe UI" w:hAnsi="Segoe UI" w:cs="Segoe UI" w:hint="eastAsia"/>
          <w:color w:val="000000"/>
        </w:rPr>
        <w:t>HANA</w:t>
      </w:r>
      <w:r w:rsidRPr="00E100ED">
        <w:rPr>
          <w:rFonts w:ascii="Segoe UI" w:hAnsi="Segoe UI" w:cs="Segoe UI" w:hint="eastAsia"/>
          <w:color w:val="000000"/>
        </w:rPr>
        <w:t>原生备份接口实现增量日志备份与数据库级恢复，同时兼容</w:t>
      </w:r>
      <w:r w:rsidRPr="00E100ED">
        <w:rPr>
          <w:rFonts w:ascii="Segoe UI" w:hAnsi="Segoe UI" w:cs="Segoe UI" w:hint="eastAsia"/>
          <w:color w:val="000000"/>
        </w:rPr>
        <w:t>VMware</w:t>
      </w:r>
      <w:r w:rsidRPr="00E100ED">
        <w:rPr>
          <w:rFonts w:ascii="Segoe UI" w:hAnsi="Segoe UI" w:cs="Segoe UI" w:hint="eastAsia"/>
          <w:color w:val="000000"/>
        </w:rPr>
        <w:t>、</w:t>
      </w:r>
      <w:r w:rsidRPr="00E100ED">
        <w:rPr>
          <w:rFonts w:ascii="Segoe UI" w:hAnsi="Segoe UI" w:cs="Segoe UI" w:hint="eastAsia"/>
          <w:color w:val="000000"/>
        </w:rPr>
        <w:t>KVM</w:t>
      </w:r>
      <w:r w:rsidRPr="00E100ED">
        <w:rPr>
          <w:rFonts w:ascii="Segoe UI" w:hAnsi="Segoe UI" w:cs="Segoe UI" w:hint="eastAsia"/>
          <w:color w:val="000000"/>
        </w:rPr>
        <w:t>等虚拟化平台的</w:t>
      </w:r>
      <w:r w:rsidRPr="00E100ED">
        <w:rPr>
          <w:rFonts w:ascii="Segoe UI" w:hAnsi="Segoe UI" w:cs="Segoe UI" w:hint="eastAsia"/>
          <w:color w:val="000000"/>
        </w:rPr>
        <w:t>CBT</w:t>
      </w:r>
      <w:r w:rsidRPr="00E100ED">
        <w:rPr>
          <w:rFonts w:ascii="Segoe UI" w:hAnsi="Segoe UI" w:cs="Segoe UI" w:hint="eastAsia"/>
          <w:color w:val="000000"/>
        </w:rPr>
        <w:t>技术，对</w:t>
      </w:r>
      <w:r w:rsidRPr="00E100ED">
        <w:rPr>
          <w:rFonts w:ascii="Segoe UI" w:hAnsi="Segoe UI" w:cs="Segoe UI" w:hint="eastAsia"/>
          <w:color w:val="000000"/>
        </w:rPr>
        <w:t>OA</w:t>
      </w:r>
      <w:r w:rsidRPr="00E100ED">
        <w:rPr>
          <w:rFonts w:ascii="Segoe UI" w:hAnsi="Segoe UI" w:cs="Segoe UI" w:hint="eastAsia"/>
          <w:color w:val="000000"/>
        </w:rPr>
        <w:t>服务器、邮件服务器等应用系统的文件系统提供基于策略的定时备份，形成从底层存储到上层应用的全栈保护体系。</w:t>
      </w:r>
    </w:p>
    <w:p w14:paraId="12106640" w14:textId="60A9A75B"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华为特有的永远增量备份技术彻底革新了传统备份模式，首次全量备份完成后，系统通过应用层标准的块变化追踪机制（如</w:t>
      </w:r>
      <w:r w:rsidRPr="00E100ED">
        <w:rPr>
          <w:rFonts w:ascii="Segoe UI" w:hAnsi="Segoe UI" w:cs="Segoe UI" w:hint="eastAsia"/>
          <w:color w:val="000000"/>
        </w:rPr>
        <w:t>Oracle</w:t>
      </w:r>
      <w:r w:rsidRPr="00E100ED">
        <w:rPr>
          <w:rFonts w:ascii="Segoe UI" w:hAnsi="Segoe UI" w:cs="Segoe UI" w:hint="eastAsia"/>
          <w:color w:val="000000"/>
        </w:rPr>
        <w:t>的</w:t>
      </w:r>
      <w:r w:rsidRPr="00E100ED">
        <w:rPr>
          <w:rFonts w:ascii="Segoe UI" w:hAnsi="Segoe UI" w:cs="Segoe UI" w:hint="eastAsia"/>
          <w:color w:val="000000"/>
        </w:rPr>
        <w:t>BCT</w:t>
      </w:r>
      <w:r w:rsidRPr="00E100ED">
        <w:rPr>
          <w:rFonts w:ascii="Segoe UI" w:hAnsi="Segoe UI" w:cs="Segoe UI" w:hint="eastAsia"/>
          <w:color w:val="000000"/>
        </w:rPr>
        <w:t>、</w:t>
      </w:r>
      <w:r w:rsidRPr="00E100ED">
        <w:rPr>
          <w:rFonts w:ascii="Segoe UI" w:hAnsi="Segoe UI" w:cs="Segoe UI" w:hint="eastAsia"/>
          <w:color w:val="000000"/>
        </w:rPr>
        <w:t>VMware</w:t>
      </w:r>
      <w:r w:rsidRPr="00E100ED">
        <w:rPr>
          <w:rFonts w:ascii="Segoe UI" w:hAnsi="Segoe UI" w:cs="Segoe UI" w:hint="eastAsia"/>
          <w:color w:val="000000"/>
        </w:rPr>
        <w:t>的</w:t>
      </w:r>
      <w:r w:rsidRPr="00E100ED">
        <w:rPr>
          <w:rFonts w:ascii="Segoe UI" w:hAnsi="Segoe UI" w:cs="Segoe UI" w:hint="eastAsia"/>
          <w:color w:val="000000"/>
        </w:rPr>
        <w:t>CBT</w:t>
      </w:r>
      <w:r w:rsidRPr="00E100ED">
        <w:rPr>
          <w:rFonts w:ascii="Segoe UI" w:hAnsi="Segoe UI" w:cs="Segoe UI" w:hint="eastAsia"/>
          <w:color w:val="000000"/>
        </w:rPr>
        <w:t>）实时捕获源端数据变化，后续每次备份仅传输增量变化块至备份平台，由</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内部自动执行增量合成，生成虚拟全量备份副本。以</w:t>
      </w:r>
      <w:r w:rsidRPr="00E100ED">
        <w:rPr>
          <w:rFonts w:ascii="Segoe UI" w:hAnsi="Segoe UI" w:cs="Segoe UI" w:hint="eastAsia"/>
          <w:color w:val="000000"/>
        </w:rPr>
        <w:t>NCS</w:t>
      </w:r>
      <w:r w:rsidRPr="00E100ED">
        <w:rPr>
          <w:rFonts w:ascii="Segoe UI" w:hAnsi="Segoe UI" w:cs="Segoe UI" w:hint="eastAsia"/>
          <w:color w:val="000000"/>
        </w:rPr>
        <w:t>与</w:t>
      </w:r>
      <w:r w:rsidR="00152F2A">
        <w:rPr>
          <w:rFonts w:ascii="Segoe UI" w:hAnsi="Segoe UI" w:cs="Segoe UI" w:hint="eastAsia"/>
          <w:color w:val="000000"/>
        </w:rPr>
        <w:t>A380</w:t>
      </w:r>
      <w:r w:rsidRPr="00E100ED">
        <w:rPr>
          <w:rFonts w:ascii="Segoe UI" w:hAnsi="Segoe UI" w:cs="Segoe UI" w:hint="eastAsia"/>
          <w:color w:val="000000"/>
        </w:rPr>
        <w:t>机房每月</w:t>
      </w:r>
      <w:r w:rsidRPr="00E100ED">
        <w:rPr>
          <w:rFonts w:ascii="Segoe UI" w:hAnsi="Segoe UI" w:cs="Segoe UI" w:hint="eastAsia"/>
          <w:color w:val="000000"/>
        </w:rPr>
        <w:t>200TB</w:t>
      </w:r>
      <w:r w:rsidRPr="00E100ED">
        <w:rPr>
          <w:rFonts w:ascii="Segoe UI" w:hAnsi="Segoe UI" w:cs="Segoe UI" w:hint="eastAsia"/>
          <w:color w:val="000000"/>
        </w:rPr>
        <w:t>的数据流量为例，该技术可使每日备份数据量仅与实际变更数据相关，大幅缩短备份窗口，相比传统方案减少</w:t>
      </w:r>
      <w:r w:rsidRPr="00E100ED">
        <w:rPr>
          <w:rFonts w:ascii="Segoe UI" w:hAnsi="Segoe UI" w:cs="Segoe UI" w:hint="eastAsia"/>
          <w:color w:val="000000"/>
        </w:rPr>
        <w:t>80%</w:t>
      </w:r>
      <w:r w:rsidRPr="00E100ED">
        <w:rPr>
          <w:rFonts w:ascii="Segoe UI" w:hAnsi="Segoe UI" w:cs="Segoe UI" w:hint="eastAsia"/>
          <w:color w:val="000000"/>
        </w:rPr>
        <w:t>以上的备份时间，同时降低对生产系统的资源占用，避免因全量备份导致的业务卡顿。增量合成过程在备份软件内部完成，无需额外占用生产网络带宽，确保备份任务对业务系统的影响降至最低。</w:t>
      </w:r>
    </w:p>
    <w:p w14:paraId="572D8864" w14:textId="618FEC08"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原生磁盘格式优化是华为数据保护能力的另一核心优势，摒弃传统备份集的</w:t>
      </w:r>
      <w:r w:rsidRPr="00E100ED">
        <w:rPr>
          <w:rFonts w:ascii="Segoe UI" w:hAnsi="Segoe UI" w:cs="Segoe UI" w:hint="eastAsia"/>
          <w:color w:val="000000"/>
        </w:rPr>
        <w:t>tar</w:t>
      </w:r>
      <w:r w:rsidRPr="00E100ED">
        <w:rPr>
          <w:rFonts w:ascii="Segoe UI" w:hAnsi="Segoe UI" w:cs="Segoe UI" w:hint="eastAsia"/>
          <w:color w:val="000000"/>
        </w:rPr>
        <w:t>格式，直接采用与生产系统一致的原生磁盘格式存储备份数据。这种设计使备份数据无需经过格式转换即可直接挂载使用，当</w:t>
      </w:r>
      <w:r w:rsidRPr="00E100ED">
        <w:rPr>
          <w:rFonts w:ascii="Segoe UI" w:hAnsi="Segoe UI" w:cs="Segoe UI" w:hint="eastAsia"/>
          <w:color w:val="000000"/>
        </w:rPr>
        <w:t>Oracle</w:t>
      </w:r>
      <w:r w:rsidRPr="00E100ED">
        <w:rPr>
          <w:rFonts w:ascii="Segoe UI" w:hAnsi="Segoe UI" w:cs="Segoe UI" w:hint="eastAsia"/>
          <w:color w:val="000000"/>
        </w:rPr>
        <w:t>数据库出现误删表等逻辑错误时，可将备份数据以可读</w:t>
      </w:r>
      <w:r w:rsidRPr="00E100ED">
        <w:rPr>
          <w:rFonts w:ascii="Segoe UI" w:hAnsi="Segoe UI" w:cs="Segoe UI" w:hint="eastAsia"/>
          <w:color w:val="000000"/>
        </w:rPr>
        <w:lastRenderedPageBreak/>
        <w:t>写模式直接挂载至恢复服务器，实现分钟级恢复；若生产库损坏，可直接在原生产服务器上挂载备份磁盘，跳过传统恢复的拷贝过程。原生格式存储还支持指针式分时快照技术，通过对同一备份数据生成多个时间点的快照副本，满足开发测试、培训环境等多场景需求，例如将</w:t>
      </w:r>
      <w:r w:rsidR="009D6E2A">
        <w:rPr>
          <w:rFonts w:ascii="Segoe UI" w:hAnsi="Segoe UI" w:cs="Segoe UI" w:hint="eastAsia"/>
          <w:color w:val="000000"/>
        </w:rPr>
        <w:t>SAPHANA</w:t>
      </w:r>
      <w:r w:rsidRPr="00E100ED">
        <w:rPr>
          <w:rFonts w:ascii="Segoe UI" w:hAnsi="Segoe UI" w:cs="Segoe UI" w:hint="eastAsia"/>
          <w:color w:val="000000"/>
        </w:rPr>
        <w:t>的备份数据快照挂载至测试服务器，无需额外存储即可快速搭建测试环境，同时避免对生产数据的直接操作风险。该优化不仅提升了恢复效率，还通过重复数据删除与压缩技术减少</w:t>
      </w:r>
      <w:r w:rsidRPr="00E100ED">
        <w:rPr>
          <w:rFonts w:ascii="Segoe UI" w:hAnsi="Segoe UI" w:cs="Segoe UI" w:hint="eastAsia"/>
          <w:color w:val="000000"/>
        </w:rPr>
        <w:t>30%-50%</w:t>
      </w:r>
      <w:r w:rsidRPr="00E100ED">
        <w:rPr>
          <w:rFonts w:ascii="Segoe UI" w:hAnsi="Segoe UI" w:cs="Segoe UI" w:hint="eastAsia"/>
          <w:color w:val="000000"/>
        </w:rPr>
        <w:t>的存储占用，降低整体存储成本。</w:t>
      </w:r>
    </w:p>
    <w:p w14:paraId="08D64630" w14:textId="77777777" w:rsidR="00731408" w:rsidRPr="00731408" w:rsidRDefault="00731408" w:rsidP="00731408">
      <w:pPr>
        <w:pStyle w:val="5"/>
        <w:rPr>
          <w:rFonts w:hint="eastAsia"/>
        </w:rPr>
      </w:pPr>
      <w:r w:rsidRPr="00731408">
        <w:t>快速恢复技术方案</w:t>
      </w:r>
    </w:p>
    <w:p w14:paraId="77664B51" w14:textId="695EE3B8"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容灾方案的快速恢复技术体系基于底层架构创新，构建了一套覆盖数据挂载、技术加速与流程验证的完整解决方案，从根本上解决传统备份恢复时效不足的痛点。分钟级挂载恢复机制彻底颠覆了传统恢复模式，当</w:t>
      </w:r>
      <w:r w:rsidRPr="00E100ED">
        <w:rPr>
          <w:rFonts w:ascii="Segoe UI" w:hAnsi="Segoe UI" w:cs="Segoe UI" w:hint="eastAsia"/>
          <w:color w:val="000000"/>
        </w:rPr>
        <w:t>Oracle19C</w:t>
      </w:r>
      <w:r w:rsidRPr="00E100ED">
        <w:rPr>
          <w:rFonts w:ascii="Segoe UI" w:hAnsi="Segoe UI" w:cs="Segoe UI" w:hint="eastAsia"/>
          <w:color w:val="000000"/>
        </w:rPr>
        <w:t>数据库或</w:t>
      </w:r>
      <w:r w:rsidR="009D6E2A">
        <w:rPr>
          <w:rFonts w:ascii="Segoe UI" w:hAnsi="Segoe UI" w:cs="Segoe UI" w:hint="eastAsia"/>
          <w:color w:val="000000"/>
        </w:rPr>
        <w:t>SAPHANA</w:t>
      </w:r>
      <w:r w:rsidRPr="00E100ED">
        <w:rPr>
          <w:rFonts w:ascii="Segoe UI" w:hAnsi="Segoe UI" w:cs="Segoe UI" w:hint="eastAsia"/>
          <w:color w:val="000000"/>
        </w:rPr>
        <w:t>系统需要恢复时，华为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备份一体机可直接将备份数据以原生磁盘格式通过</w:t>
      </w:r>
      <w:r w:rsidRPr="00E100ED">
        <w:rPr>
          <w:rFonts w:ascii="Segoe UI" w:hAnsi="Segoe UI" w:cs="Segoe UI" w:hint="eastAsia"/>
          <w:color w:val="000000"/>
        </w:rPr>
        <w:t>IPSAN</w:t>
      </w:r>
      <w:r w:rsidRPr="00E100ED">
        <w:rPr>
          <w:rFonts w:ascii="Segoe UI" w:hAnsi="Segoe UI" w:cs="Segoe UI" w:hint="eastAsia"/>
          <w:color w:val="000000"/>
        </w:rPr>
        <w:t>网络挂载至目标服务器，无需经历数据拷贝与格式转换过程。以</w:t>
      </w:r>
      <w:r w:rsidRPr="00E100ED">
        <w:rPr>
          <w:rFonts w:ascii="Segoe UI" w:hAnsi="Segoe UI" w:cs="Segoe UI" w:hint="eastAsia"/>
          <w:color w:val="000000"/>
        </w:rPr>
        <w:t>3TB</w:t>
      </w:r>
      <w:r w:rsidRPr="00E100ED">
        <w:rPr>
          <w:rFonts w:ascii="Segoe UI" w:hAnsi="Segoe UI" w:cs="Segoe UI" w:hint="eastAsia"/>
          <w:color w:val="000000"/>
        </w:rPr>
        <w:t>规模的</w:t>
      </w:r>
      <w:r w:rsidRPr="00E100ED">
        <w:rPr>
          <w:rFonts w:ascii="Segoe UI" w:hAnsi="Segoe UI" w:cs="Segoe UI" w:hint="eastAsia"/>
          <w:color w:val="000000"/>
        </w:rPr>
        <w:t>Oracle</w:t>
      </w:r>
      <w:r w:rsidRPr="00E100ED">
        <w:rPr>
          <w:rFonts w:ascii="Segoe UI" w:hAnsi="Segoe UI" w:cs="Segoe UI" w:hint="eastAsia"/>
          <w:color w:val="000000"/>
        </w:rPr>
        <w:t>数据库为例，传统方案需数小时完成恢复，而华为方案通过挂载技术可在</w:t>
      </w:r>
      <w:r w:rsidRPr="00E100ED">
        <w:rPr>
          <w:rFonts w:ascii="Segoe UI" w:hAnsi="Segoe UI" w:cs="Segoe UI" w:hint="eastAsia"/>
          <w:color w:val="000000"/>
        </w:rPr>
        <w:t>5</w:t>
      </w:r>
      <w:r w:rsidRPr="00E100ED">
        <w:rPr>
          <w:rFonts w:ascii="Segoe UI" w:hAnsi="Segoe UI" w:cs="Segoe UI" w:hint="eastAsia"/>
          <w:color w:val="000000"/>
        </w:rPr>
        <w:t>分钟内实现数据库的可用状态，且恢复时间与数据量大小无关。该机制的核心在于备份数据以原格式存储于快照池中，恢复时仅需对备份母本创建可读写快照并映射至目标主机，无需准备额外恢复存储空间，极大简化了操作流程并缩短了业务中断时间。</w:t>
      </w:r>
    </w:p>
    <w:p w14:paraId="2A6459A3" w14:textId="253EBFFB"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w:t>
      </w:r>
      <w:proofErr w:type="spellStart"/>
      <w:r w:rsidRPr="00E100ED">
        <w:rPr>
          <w:rFonts w:ascii="Segoe UI" w:hAnsi="Segoe UI" w:cs="Segoe UI" w:hint="eastAsia"/>
          <w:color w:val="000000"/>
        </w:rPr>
        <w:t>UltraVR</w:t>
      </w:r>
      <w:proofErr w:type="spellEnd"/>
      <w:r w:rsidRPr="00E100ED">
        <w:rPr>
          <w:rFonts w:ascii="Segoe UI" w:hAnsi="Segoe UI" w:cs="Segoe UI" w:hint="eastAsia"/>
          <w:color w:val="000000"/>
        </w:rPr>
        <w:t>快速恢复技术进一步强化了复杂场景下的恢复能力，通过硬件加速与软件算法的深度融合实现恢复效率的跃升。在硬件层面，</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一体机搭载专用的存储加速芯片，针对数据库日志回滚、文件系统索引重建等关键步骤提供并行处理能力，使</w:t>
      </w:r>
      <w:r w:rsidR="009D6E2A">
        <w:rPr>
          <w:rFonts w:ascii="Segoe UI" w:hAnsi="Segoe UI" w:cs="Segoe UI" w:hint="eastAsia"/>
          <w:color w:val="000000"/>
        </w:rPr>
        <w:t>SAPHANA</w:t>
      </w:r>
      <w:r w:rsidRPr="00E100ED">
        <w:rPr>
          <w:rFonts w:ascii="Segoe UI" w:hAnsi="Segoe UI" w:cs="Segoe UI" w:hint="eastAsia"/>
          <w:color w:val="000000"/>
        </w:rPr>
        <w:t>系统在容灾拉起时的日志应用速度提升</w:t>
      </w:r>
      <w:r w:rsidRPr="00E100ED">
        <w:rPr>
          <w:rFonts w:ascii="Segoe UI" w:hAnsi="Segoe UI" w:cs="Segoe UI" w:hint="eastAsia"/>
          <w:color w:val="000000"/>
        </w:rPr>
        <w:t>3</w:t>
      </w:r>
      <w:r w:rsidRPr="00E100ED">
        <w:rPr>
          <w:rFonts w:ascii="Segoe UI" w:hAnsi="Segoe UI" w:cs="Segoe UI" w:hint="eastAsia"/>
          <w:color w:val="000000"/>
        </w:rPr>
        <w:t>倍以上；软件层面则采用智能数据定位算法，在恢复过程中跳过无效数据块扫描，直接定位需要恢复的业务数据区域。对于虚拟化环境中的</w:t>
      </w:r>
      <w:r w:rsidRPr="00E100ED">
        <w:rPr>
          <w:rFonts w:ascii="Segoe UI" w:hAnsi="Segoe UI" w:cs="Segoe UI" w:hint="eastAsia"/>
          <w:color w:val="000000"/>
        </w:rPr>
        <w:t>VMware</w:t>
      </w:r>
      <w:r w:rsidRPr="00E100ED">
        <w:rPr>
          <w:rFonts w:ascii="Segoe UI" w:hAnsi="Segoe UI" w:cs="Segoe UI" w:hint="eastAsia"/>
          <w:color w:val="000000"/>
        </w:rPr>
        <w:t>或</w:t>
      </w:r>
      <w:r w:rsidRPr="00E100ED">
        <w:rPr>
          <w:rFonts w:ascii="Segoe UI" w:hAnsi="Segoe UI" w:cs="Segoe UI" w:hint="eastAsia"/>
          <w:color w:val="000000"/>
        </w:rPr>
        <w:t>KVM</w:t>
      </w:r>
      <w:r w:rsidRPr="00E100ED">
        <w:rPr>
          <w:rFonts w:ascii="Segoe UI" w:hAnsi="Segoe UI" w:cs="Segoe UI" w:hint="eastAsia"/>
          <w:color w:val="000000"/>
        </w:rPr>
        <w:t>虚拟机，</w:t>
      </w:r>
      <w:proofErr w:type="spellStart"/>
      <w:r w:rsidRPr="00E100ED">
        <w:rPr>
          <w:rFonts w:ascii="Segoe UI" w:hAnsi="Segoe UI" w:cs="Segoe UI" w:hint="eastAsia"/>
          <w:color w:val="000000"/>
        </w:rPr>
        <w:t>UltraVR</w:t>
      </w:r>
      <w:proofErr w:type="spellEnd"/>
      <w:r w:rsidRPr="00E100ED">
        <w:rPr>
          <w:rFonts w:ascii="Segoe UI" w:hAnsi="Segoe UI" w:cs="Segoe UI" w:hint="eastAsia"/>
          <w:color w:val="000000"/>
        </w:rPr>
        <w:t>技术支持基于</w:t>
      </w:r>
      <w:r w:rsidRPr="00E100ED">
        <w:rPr>
          <w:rFonts w:ascii="Segoe UI" w:hAnsi="Segoe UI" w:cs="Segoe UI" w:hint="eastAsia"/>
          <w:color w:val="000000"/>
        </w:rPr>
        <w:t>CBT</w:t>
      </w:r>
      <w:r w:rsidRPr="00E100ED">
        <w:rPr>
          <w:rFonts w:ascii="Segoe UI" w:hAnsi="Segoe UI" w:cs="Segoe UI" w:hint="eastAsia"/>
          <w:color w:val="000000"/>
        </w:rPr>
        <w:t>（更改块跟踪）的增量恢复，仅同步虚拟机变更数据块，配合内存状态捕获技术，可实现虚拟机的秒级恢复启动。该技术特别适用于</w:t>
      </w:r>
      <w:r w:rsidRPr="00E100ED">
        <w:rPr>
          <w:rFonts w:ascii="Segoe UI" w:hAnsi="Segoe UI" w:cs="Segoe UI" w:hint="eastAsia"/>
          <w:color w:val="000000"/>
        </w:rPr>
        <w:t>NCS</w:t>
      </w:r>
      <w:r w:rsidRPr="00E100ED">
        <w:rPr>
          <w:rFonts w:ascii="Segoe UI" w:hAnsi="Segoe UI" w:cs="Segoe UI" w:hint="eastAsia"/>
          <w:color w:val="000000"/>
        </w:rPr>
        <w:t>与</w:t>
      </w:r>
      <w:r w:rsidR="00152F2A">
        <w:rPr>
          <w:rFonts w:ascii="Segoe UI" w:hAnsi="Segoe UI" w:cs="Segoe UI" w:hint="eastAsia"/>
          <w:color w:val="000000"/>
        </w:rPr>
        <w:t>A380</w:t>
      </w:r>
      <w:r w:rsidRPr="00E100ED">
        <w:rPr>
          <w:rFonts w:ascii="Segoe UI" w:hAnsi="Segoe UI" w:cs="Segoe UI" w:hint="eastAsia"/>
          <w:color w:val="000000"/>
        </w:rPr>
        <w:t>机房中大规模数据库与虚拟化集群的快速恢复，确保核心业务在遭遇故障时能以最短时间恢复运行。</w:t>
      </w:r>
    </w:p>
    <w:p w14:paraId="05449024" w14:textId="1FFB167B"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自动化恢复验证流程从可靠性角度构建了闭环保障机制，解决传统备份中“备份数据不可用”的隐性风险。华为方案通过</w:t>
      </w:r>
      <w:proofErr w:type="spellStart"/>
      <w:r w:rsidRPr="00E100ED">
        <w:rPr>
          <w:rFonts w:ascii="Segoe UI" w:hAnsi="Segoe UI" w:cs="Segoe UI" w:hint="eastAsia"/>
          <w:color w:val="000000"/>
        </w:rPr>
        <w:t>eBackup</w:t>
      </w:r>
      <w:proofErr w:type="spellEnd"/>
      <w:r w:rsidRPr="00E100ED">
        <w:rPr>
          <w:rFonts w:ascii="Segoe UI" w:hAnsi="Segoe UI" w:cs="Segoe UI" w:hint="eastAsia"/>
          <w:color w:val="000000"/>
        </w:rPr>
        <w:t>管理平台预设周期性恢复验证任务，无需人工干预即可自动执行备份数据的恢复测试：系统会在指定时间将</w:t>
      </w:r>
      <w:r w:rsidRPr="00E100ED">
        <w:rPr>
          <w:rFonts w:ascii="Segoe UI" w:hAnsi="Segoe UI" w:cs="Segoe UI" w:hint="eastAsia"/>
          <w:color w:val="000000"/>
        </w:rPr>
        <w:t>Oracle</w:t>
      </w:r>
      <w:r w:rsidRPr="00E100ED">
        <w:rPr>
          <w:rFonts w:ascii="Segoe UI" w:hAnsi="Segoe UI" w:cs="Segoe UI" w:hint="eastAsia"/>
          <w:color w:val="000000"/>
        </w:rPr>
        <w:t>或</w:t>
      </w:r>
      <w:r w:rsidR="009D6E2A">
        <w:rPr>
          <w:rFonts w:ascii="Segoe UI" w:hAnsi="Segoe UI" w:cs="Segoe UI" w:hint="eastAsia"/>
          <w:color w:val="000000"/>
        </w:rPr>
        <w:t>SAPHANA</w:t>
      </w:r>
      <w:r w:rsidRPr="00E100ED">
        <w:rPr>
          <w:rFonts w:ascii="Segoe UI" w:hAnsi="Segoe UI" w:cs="Segoe UI" w:hint="eastAsia"/>
          <w:color w:val="000000"/>
        </w:rPr>
        <w:t>的备份数据挂载至专用验证服务器，自动执行数据库一致性检查、应用服务启动及业务交易验证，完成后自动卸载并删除临时环境，整个过程仅需几分钟且不占用生产资源。验证结果会生成详细报表，包括恢复时间、数据完整性指标及业务可用性状态，若发现备份数据异常则立即触发告警。这种自动化机制使容灾恢复能力从“被动响应”转变为“主动验证”，例如每周对</w:t>
      </w:r>
      <w:r w:rsidRPr="00E100ED">
        <w:rPr>
          <w:rFonts w:ascii="Segoe UI" w:hAnsi="Segoe UI" w:cs="Segoe UI" w:hint="eastAsia"/>
          <w:color w:val="000000"/>
        </w:rPr>
        <w:t>OBV</w:t>
      </w:r>
      <w:r w:rsidRPr="00E100ED">
        <w:rPr>
          <w:rFonts w:ascii="Segoe UI" w:hAnsi="Segoe UI" w:cs="Segoe UI" w:hint="eastAsia"/>
          <w:color w:val="000000"/>
        </w:rPr>
        <w:t>机房的备份数据进行自动化验证，确保隔离环境下的备份有效性，避免传统人工验证的疏漏与耗时问题，为业务连续性提供可量化的可靠性保障。</w:t>
      </w:r>
    </w:p>
    <w:p w14:paraId="325A6149" w14:textId="77777777" w:rsidR="00731408" w:rsidRPr="00731408" w:rsidRDefault="00731408" w:rsidP="00731408">
      <w:pPr>
        <w:pStyle w:val="5"/>
        <w:rPr>
          <w:rFonts w:hint="eastAsia"/>
        </w:rPr>
      </w:pPr>
      <w:r w:rsidRPr="00731408">
        <w:t>复制数据管理（CDM）</w:t>
      </w:r>
    </w:p>
    <w:p w14:paraId="1005BF10" w14:textId="478B86ED"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华为容灾方案中的复制数据管理（</w:t>
      </w:r>
      <w:r w:rsidRPr="00E100ED">
        <w:rPr>
          <w:rFonts w:ascii="Segoe UI" w:hAnsi="Segoe UI" w:cs="Segoe UI" w:hint="eastAsia"/>
          <w:color w:val="000000"/>
        </w:rPr>
        <w:t>CDM</w:t>
      </w:r>
      <w:r w:rsidRPr="00E100ED">
        <w:rPr>
          <w:rFonts w:ascii="Segoe UI" w:hAnsi="Segoe UI" w:cs="Segoe UI" w:hint="eastAsia"/>
          <w:color w:val="000000"/>
        </w:rPr>
        <w:t>）技术以</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备份一体机为核心载体，通过智能副本管理、多场景应用与存储优化的深度整合，构建了超越传统备份的高效数据利</w:t>
      </w:r>
      <w:r w:rsidRPr="00E100ED">
        <w:rPr>
          <w:rFonts w:ascii="Segoe UI" w:hAnsi="Segoe UI" w:cs="Segoe UI" w:hint="eastAsia"/>
          <w:color w:val="000000"/>
        </w:rPr>
        <w:lastRenderedPageBreak/>
        <w:t>用体系。</w:t>
      </w:r>
    </w:p>
    <w:p w14:paraId="477F9577" w14:textId="6FB28254"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华为智能副本管理技术基于指针式快照与增量追踪机制，将生产数据的备份副本转化为可复用的“黄金副本”。当首次全量备份完成后，系统通过块级指针映射技术对备份数据建立时间轴快照（如快照</w:t>
      </w:r>
      <w:r w:rsidRPr="00E100ED">
        <w:rPr>
          <w:rFonts w:ascii="Segoe UI" w:hAnsi="Segoe UI" w:cs="Segoe UI" w:hint="eastAsia"/>
          <w:color w:val="000000"/>
        </w:rPr>
        <w:t>1</w:t>
      </w:r>
      <w:r w:rsidRPr="00E100ED">
        <w:rPr>
          <w:rFonts w:ascii="Segoe UI" w:hAnsi="Segoe UI" w:cs="Segoe UI" w:hint="eastAsia"/>
          <w:color w:val="000000"/>
        </w:rPr>
        <w:t>、快照</w:t>
      </w:r>
      <w:r w:rsidRPr="00E100ED">
        <w:rPr>
          <w:rFonts w:ascii="Segoe UI" w:hAnsi="Segoe UI" w:cs="Segoe UI" w:hint="eastAsia"/>
          <w:color w:val="000000"/>
        </w:rPr>
        <w:t>2</w:t>
      </w:r>
      <w:r w:rsidRPr="00E100ED">
        <w:rPr>
          <w:rFonts w:ascii="Segoe UI" w:hAnsi="Segoe UI" w:cs="Segoe UI" w:hint="eastAsia"/>
          <w:color w:val="000000"/>
        </w:rPr>
        <w:t>等），后续每次增量备份仅记录数据变化指针，而非物理复制全部数据。这种设计使同一份备份数据可同时生成多个虚拟副本，供不同业务场景调用。例如，针对</w:t>
      </w:r>
      <w:r w:rsidRPr="00E100ED">
        <w:rPr>
          <w:rFonts w:ascii="Segoe UI" w:hAnsi="Segoe UI" w:cs="Segoe UI" w:hint="eastAsia"/>
          <w:color w:val="000000"/>
        </w:rPr>
        <w:t>Oracle19C</w:t>
      </w:r>
      <w:r w:rsidRPr="00E100ED">
        <w:rPr>
          <w:rFonts w:ascii="Segoe UI" w:hAnsi="Segoe UI" w:cs="Segoe UI" w:hint="eastAsia"/>
          <w:color w:val="000000"/>
        </w:rPr>
        <w:t>数据库的备份副本，开发团队可直接挂载特定时间点的快照用于测试环境搭建，测试完成后删除快照即可释放逻辑空间，而原始备份数据始终保持不可修改状态，确保容灾备份的可靠性。该技术避免了传统模式下为开发、测试等场景单独创建数据副本的存储浪费，使副本管理效率提升</w:t>
      </w:r>
      <w:r w:rsidRPr="00E100ED">
        <w:rPr>
          <w:rFonts w:ascii="Segoe UI" w:hAnsi="Segoe UI" w:cs="Segoe UI" w:hint="eastAsia"/>
          <w:color w:val="000000"/>
        </w:rPr>
        <w:t>80%</w:t>
      </w:r>
      <w:r w:rsidRPr="00E100ED">
        <w:rPr>
          <w:rFonts w:ascii="Segoe UI" w:hAnsi="Segoe UI" w:cs="Segoe UI" w:hint="eastAsia"/>
          <w:color w:val="000000"/>
        </w:rPr>
        <w:t>以上。</w:t>
      </w:r>
    </w:p>
    <w:p w14:paraId="0495C91B" w14:textId="7E9A2866"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备份数据多场景应用能力打破了传统备份“仅用于恢复”的局限，通过</w:t>
      </w:r>
      <w:r w:rsidRPr="00E100ED">
        <w:rPr>
          <w:rFonts w:ascii="Segoe UI" w:hAnsi="Segoe UI" w:cs="Segoe UI" w:hint="eastAsia"/>
          <w:color w:val="000000"/>
        </w:rPr>
        <w:t>CDM</w:t>
      </w:r>
      <w:r w:rsidRPr="00E100ED">
        <w:rPr>
          <w:rFonts w:ascii="Segoe UI" w:hAnsi="Segoe UI" w:cs="Segoe UI" w:hint="eastAsia"/>
          <w:color w:val="000000"/>
        </w:rPr>
        <w:t>技术将备份数据转化为企业级数据服务资源。在生产环境中，当</w:t>
      </w:r>
      <w:r w:rsidR="009D6E2A">
        <w:rPr>
          <w:rFonts w:ascii="Segoe UI" w:hAnsi="Segoe UI" w:cs="Segoe UI" w:hint="eastAsia"/>
          <w:color w:val="000000"/>
        </w:rPr>
        <w:t>SAPHANA</w:t>
      </w:r>
      <w:r w:rsidRPr="00E100ED">
        <w:rPr>
          <w:rFonts w:ascii="Segoe UI" w:hAnsi="Segoe UI" w:cs="Segoe UI" w:hint="eastAsia"/>
          <w:color w:val="000000"/>
        </w:rPr>
        <w:t>系统需要进行容灾演练时，可直接挂载云端备份副本在隔离环境中执行自动化演练，无需占用生产资源；在研发场景下，基于</w:t>
      </w:r>
      <w:r w:rsidRPr="00E100ED">
        <w:rPr>
          <w:rFonts w:ascii="Segoe UI" w:hAnsi="Segoe UI" w:cs="Segoe UI" w:hint="eastAsia"/>
          <w:color w:val="000000"/>
        </w:rPr>
        <w:t>Redhat8.9</w:t>
      </w:r>
      <w:r w:rsidRPr="00E100ED">
        <w:rPr>
          <w:rFonts w:ascii="Segoe UI" w:hAnsi="Segoe UI" w:cs="Segoe UI" w:hint="eastAsia"/>
          <w:color w:val="000000"/>
        </w:rPr>
        <w:t>或</w:t>
      </w:r>
      <w:r w:rsidRPr="00E100ED">
        <w:rPr>
          <w:rFonts w:ascii="Segoe UI" w:hAnsi="Segoe UI" w:cs="Segoe UI" w:hint="eastAsia"/>
          <w:color w:val="000000"/>
        </w:rPr>
        <w:t>Suse15SP6</w:t>
      </w:r>
      <w:r w:rsidRPr="00E100ED">
        <w:rPr>
          <w:rFonts w:ascii="Segoe UI" w:hAnsi="Segoe UI" w:cs="Segoe UI" w:hint="eastAsia"/>
          <w:color w:val="000000"/>
        </w:rPr>
        <w:t>系统的备份数据可快速生成测试环境，支持新应用的兼容性验证；在合规审计场景中，备份数据的可读写挂载能力可满足监管机构对历史数据的追溯需求。以</w:t>
      </w:r>
      <w:r w:rsidRPr="00E100ED">
        <w:rPr>
          <w:rFonts w:ascii="Segoe UI" w:hAnsi="Segoe UI" w:cs="Segoe UI" w:hint="eastAsia"/>
          <w:color w:val="000000"/>
        </w:rPr>
        <w:t>NCS</w:t>
      </w:r>
      <w:r w:rsidRPr="00E100ED">
        <w:rPr>
          <w:rFonts w:ascii="Segoe UI" w:hAnsi="Segoe UI" w:cs="Segoe UI" w:hint="eastAsia"/>
          <w:color w:val="000000"/>
        </w:rPr>
        <w:t>数据中心的邮件服务器备份为例，通过</w:t>
      </w:r>
      <w:r w:rsidRPr="00E100ED">
        <w:rPr>
          <w:rFonts w:ascii="Segoe UI" w:hAnsi="Segoe UI" w:cs="Segoe UI" w:hint="eastAsia"/>
          <w:color w:val="000000"/>
        </w:rPr>
        <w:t>CDM</w:t>
      </w:r>
      <w:r w:rsidRPr="00E100ED">
        <w:rPr>
          <w:rFonts w:ascii="Segoe UI" w:hAnsi="Segoe UI" w:cs="Segoe UI" w:hint="eastAsia"/>
          <w:color w:val="000000"/>
        </w:rPr>
        <w:t>技术可将邮件数据副本挂载至分析平台，实现历史邮件的快速检索与合规审查，而无需依赖生产系统的查询接口，避免对核心业务的性能影响。</w:t>
      </w:r>
    </w:p>
    <w:p w14:paraId="08BFD2B5" w14:textId="09F84503"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存储资源优化策略通过“数据精简</w:t>
      </w:r>
      <w:r w:rsidRPr="00E100ED">
        <w:rPr>
          <w:rFonts w:ascii="Segoe UI" w:hAnsi="Segoe UI" w:cs="Segoe UI" w:hint="eastAsia"/>
          <w:color w:val="000000"/>
        </w:rPr>
        <w:t>+</w:t>
      </w:r>
      <w:r w:rsidRPr="00E100ED">
        <w:rPr>
          <w:rFonts w:ascii="Segoe UI" w:hAnsi="Segoe UI" w:cs="Segoe UI" w:hint="eastAsia"/>
          <w:color w:val="000000"/>
        </w:rPr>
        <w:t>分层存储”实现成本与效率的平衡。在数据精简层面，华为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采用全局重复数据删除与压缩技术，对备份数据中的重复块进行指纹识别与合并存储，结合原生磁盘格式的增量合成机制，使实际存储占用量减少</w:t>
      </w:r>
      <w:r w:rsidRPr="00E100ED">
        <w:rPr>
          <w:rFonts w:ascii="Segoe UI" w:hAnsi="Segoe UI" w:cs="Segoe UI" w:hint="eastAsia"/>
          <w:color w:val="000000"/>
        </w:rPr>
        <w:t>30%-50%</w:t>
      </w:r>
      <w:r w:rsidRPr="00E100ED">
        <w:rPr>
          <w:rFonts w:ascii="Segoe UI" w:hAnsi="Segoe UI" w:cs="Segoe UI" w:hint="eastAsia"/>
          <w:color w:val="000000"/>
        </w:rPr>
        <w:t>。以</w:t>
      </w:r>
      <w:r w:rsidR="00152F2A">
        <w:rPr>
          <w:rFonts w:ascii="Segoe UI" w:hAnsi="Segoe UI" w:cs="Segoe UI" w:hint="eastAsia"/>
          <w:color w:val="000000"/>
        </w:rPr>
        <w:t>A380</w:t>
      </w:r>
      <w:r w:rsidRPr="00E100ED">
        <w:rPr>
          <w:rFonts w:ascii="Segoe UI" w:hAnsi="Segoe UI" w:cs="Segoe UI" w:hint="eastAsia"/>
          <w:color w:val="000000"/>
        </w:rPr>
        <w:t>机房每月</w:t>
      </w:r>
      <w:r w:rsidRPr="00E100ED">
        <w:rPr>
          <w:rFonts w:ascii="Segoe UI" w:hAnsi="Segoe UI" w:cs="Segoe UI" w:hint="eastAsia"/>
          <w:color w:val="000000"/>
        </w:rPr>
        <w:t>200TB</w:t>
      </w:r>
      <w:r w:rsidRPr="00E100ED">
        <w:rPr>
          <w:rFonts w:ascii="Segoe UI" w:hAnsi="Segoe UI" w:cs="Segoe UI" w:hint="eastAsia"/>
          <w:color w:val="000000"/>
        </w:rPr>
        <w:t>的数据流量为例，通过精简技术可将存储需求压缩至</w:t>
      </w:r>
      <w:r w:rsidRPr="00E100ED">
        <w:rPr>
          <w:rFonts w:ascii="Segoe UI" w:hAnsi="Segoe UI" w:cs="Segoe UI" w:hint="eastAsia"/>
          <w:color w:val="000000"/>
        </w:rPr>
        <w:t>100TB</w:t>
      </w:r>
      <w:r w:rsidRPr="00E100ED">
        <w:rPr>
          <w:rFonts w:ascii="Segoe UI" w:hAnsi="Segoe UI" w:cs="Segoe UI" w:hint="eastAsia"/>
          <w:color w:val="000000"/>
        </w:rPr>
        <w:t>以下。在分层存储层面，系统自动将高频访问的备份数据保留在高性能</w:t>
      </w:r>
      <w:r w:rsidRPr="00E100ED">
        <w:rPr>
          <w:rFonts w:ascii="Segoe UI" w:hAnsi="Segoe UI" w:cs="Segoe UI" w:hint="eastAsia"/>
          <w:color w:val="000000"/>
        </w:rPr>
        <w:t>SSD</w:t>
      </w:r>
      <w:r w:rsidRPr="00E100ED">
        <w:rPr>
          <w:rFonts w:ascii="Segoe UI" w:hAnsi="Segoe UI" w:cs="Segoe UI" w:hint="eastAsia"/>
          <w:color w:val="000000"/>
        </w:rPr>
        <w:t>存储池，低频访问的历史数据迁移至蓝光归档或华为云存储，形成“热数据</w:t>
      </w:r>
      <w:r w:rsidRPr="00E100ED">
        <w:rPr>
          <w:rFonts w:ascii="Segoe UI" w:hAnsi="Segoe UI" w:cs="Segoe UI" w:hint="eastAsia"/>
          <w:color w:val="000000"/>
        </w:rPr>
        <w:t>-</w:t>
      </w:r>
      <w:r w:rsidRPr="00E100ED">
        <w:rPr>
          <w:rFonts w:ascii="Segoe UI" w:hAnsi="Segoe UI" w:cs="Segoe UI" w:hint="eastAsia"/>
          <w:color w:val="000000"/>
        </w:rPr>
        <w:t>温数据</w:t>
      </w:r>
      <w:r w:rsidRPr="00E100ED">
        <w:rPr>
          <w:rFonts w:ascii="Segoe UI" w:hAnsi="Segoe UI" w:cs="Segoe UI" w:hint="eastAsia"/>
          <w:color w:val="000000"/>
        </w:rPr>
        <w:t>-</w:t>
      </w:r>
      <w:r w:rsidRPr="00E100ED">
        <w:rPr>
          <w:rFonts w:ascii="Segoe UI" w:hAnsi="Segoe UI" w:cs="Segoe UI" w:hint="eastAsia"/>
          <w:color w:val="000000"/>
        </w:rPr>
        <w:t>冷数据”的分级存储架构。同时，指针式快照技术避免了物理副本的重复创建，进一步降低存储开销，例如对同一</w:t>
      </w:r>
      <w:r w:rsidR="009D6E2A">
        <w:rPr>
          <w:rFonts w:ascii="Segoe UI" w:hAnsi="Segoe UI" w:cs="Segoe UI" w:hint="eastAsia"/>
          <w:color w:val="000000"/>
        </w:rPr>
        <w:t>SAPHANA</w:t>
      </w:r>
      <w:r w:rsidRPr="00E100ED">
        <w:rPr>
          <w:rFonts w:ascii="Segoe UI" w:hAnsi="Segoe UI" w:cs="Segoe UI" w:hint="eastAsia"/>
          <w:color w:val="000000"/>
        </w:rPr>
        <w:t>备份数据生成</w:t>
      </w:r>
      <w:r w:rsidRPr="00E100ED">
        <w:rPr>
          <w:rFonts w:ascii="Segoe UI" w:hAnsi="Segoe UI" w:cs="Segoe UI" w:hint="eastAsia"/>
          <w:color w:val="000000"/>
        </w:rPr>
        <w:t>10</w:t>
      </w:r>
      <w:r w:rsidRPr="00E100ED">
        <w:rPr>
          <w:rFonts w:ascii="Segoe UI" w:hAnsi="Segoe UI" w:cs="Segoe UI" w:hint="eastAsia"/>
          <w:color w:val="000000"/>
        </w:rPr>
        <w:t>个时间点快照，实际存储增量仅为数据变化量的</w:t>
      </w:r>
      <w:r w:rsidRPr="00E100ED">
        <w:rPr>
          <w:rFonts w:ascii="Segoe UI" w:hAnsi="Segoe UI" w:cs="Segoe UI" w:hint="eastAsia"/>
          <w:color w:val="000000"/>
        </w:rPr>
        <w:t>1/10</w:t>
      </w:r>
      <w:r w:rsidRPr="00E100ED">
        <w:rPr>
          <w:rFonts w:ascii="Segoe UI" w:hAnsi="Segoe UI" w:cs="Segoe UI" w:hint="eastAsia"/>
          <w:color w:val="000000"/>
        </w:rPr>
        <w:t>，大幅优化了存储资源利用率，帮助企业降低</w:t>
      </w:r>
      <w:r w:rsidRPr="00E100ED">
        <w:rPr>
          <w:rFonts w:ascii="Segoe UI" w:hAnsi="Segoe UI" w:cs="Segoe UI" w:hint="eastAsia"/>
          <w:color w:val="000000"/>
        </w:rPr>
        <w:t>60%</w:t>
      </w:r>
      <w:r w:rsidRPr="00E100ED">
        <w:rPr>
          <w:rFonts w:ascii="Segoe UI" w:hAnsi="Segoe UI" w:cs="Segoe UI" w:hint="eastAsia"/>
          <w:color w:val="000000"/>
        </w:rPr>
        <w:t>以上的复制数据存储成本。</w:t>
      </w:r>
    </w:p>
    <w:p w14:paraId="420331D6" w14:textId="329F38CF" w:rsidR="00731408" w:rsidRPr="00731408" w:rsidRDefault="00731408" w:rsidP="00731408">
      <w:pPr>
        <w:pStyle w:val="4"/>
        <w:rPr>
          <w:rFonts w:hint="eastAsia"/>
        </w:rPr>
      </w:pPr>
      <w:r w:rsidRPr="00731408">
        <w:t>分场景容灾方案</w:t>
      </w:r>
    </w:p>
    <w:p w14:paraId="0F9BAE8B" w14:textId="4218602E" w:rsidR="00731408" w:rsidRPr="00731408" w:rsidRDefault="00731408" w:rsidP="00731408">
      <w:pPr>
        <w:pStyle w:val="5"/>
        <w:rPr>
          <w:rFonts w:hint="eastAsia"/>
        </w:rPr>
      </w:pPr>
      <w:r w:rsidRPr="00731408">
        <w:t>Oracle数据库容灾方案</w:t>
      </w:r>
    </w:p>
    <w:p w14:paraId="5245399C" w14:textId="133615AB"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针对本地数据中心的</w:t>
      </w:r>
      <w:r w:rsidRPr="00E100ED">
        <w:rPr>
          <w:rFonts w:ascii="Segoe UI" w:hAnsi="Segoe UI" w:cs="Segoe UI" w:hint="eastAsia"/>
          <w:color w:val="000000"/>
        </w:rPr>
        <w:t>2</w:t>
      </w:r>
      <w:r w:rsidRPr="00E100ED">
        <w:rPr>
          <w:rFonts w:ascii="Segoe UI" w:hAnsi="Segoe UI" w:cs="Segoe UI" w:hint="eastAsia"/>
          <w:color w:val="000000"/>
        </w:rPr>
        <w:t>套</w:t>
      </w:r>
      <w:r w:rsidRPr="00E100ED">
        <w:rPr>
          <w:rFonts w:ascii="Segoe UI" w:hAnsi="Segoe UI" w:cs="Segoe UI" w:hint="eastAsia"/>
          <w:color w:val="000000"/>
        </w:rPr>
        <w:t>Oracle19C</w:t>
      </w:r>
      <w:r w:rsidRPr="00E100ED">
        <w:rPr>
          <w:rFonts w:ascii="Segoe UI" w:hAnsi="Segoe UI" w:cs="Segoe UI" w:hint="eastAsia"/>
          <w:color w:val="000000"/>
        </w:rPr>
        <w:t>数据库，华为容灾方案构建了覆盖备份恢复、实时同步及异构集成的全流程保护体系，确保在</w:t>
      </w:r>
      <w:r w:rsidRPr="00E100ED">
        <w:rPr>
          <w:rFonts w:ascii="Segoe UI" w:hAnsi="Segoe UI" w:cs="Segoe UI" w:hint="eastAsia"/>
          <w:color w:val="000000"/>
        </w:rPr>
        <w:t>Redhat8.9</w:t>
      </w:r>
      <w:r w:rsidRPr="00E100ED">
        <w:rPr>
          <w:rFonts w:ascii="Segoe UI" w:hAnsi="Segoe UI" w:cs="Segoe UI" w:hint="eastAsia"/>
          <w:color w:val="000000"/>
        </w:rPr>
        <w:t>操作系统环境下实现数据高可用性与业务连续性。</w:t>
      </w:r>
    </w:p>
    <w:p w14:paraId="44BFE46C" w14:textId="75543967"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在</w:t>
      </w:r>
      <w:r w:rsidRPr="00E100ED">
        <w:rPr>
          <w:rFonts w:ascii="Segoe UI" w:hAnsi="Segoe UI" w:cs="Segoe UI" w:hint="eastAsia"/>
          <w:color w:val="000000"/>
        </w:rPr>
        <w:t>19C</w:t>
      </w:r>
      <w:r w:rsidRPr="00E100ED">
        <w:rPr>
          <w:rFonts w:ascii="Segoe UI" w:hAnsi="Segoe UI" w:cs="Segoe UI" w:hint="eastAsia"/>
          <w:color w:val="000000"/>
        </w:rPr>
        <w:t>数据库备份恢复策略上，华为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备份一体机采用“永远增量</w:t>
      </w:r>
      <w:r w:rsidRPr="00E100ED">
        <w:rPr>
          <w:rFonts w:ascii="Segoe UI" w:hAnsi="Segoe UI" w:cs="Segoe UI" w:hint="eastAsia"/>
          <w:color w:val="000000"/>
        </w:rPr>
        <w:t>+</w:t>
      </w:r>
      <w:r w:rsidRPr="00E100ED">
        <w:rPr>
          <w:rFonts w:ascii="Segoe UI" w:hAnsi="Segoe UI" w:cs="Segoe UI" w:hint="eastAsia"/>
          <w:color w:val="000000"/>
        </w:rPr>
        <w:t>原生挂载”的技术组合。首次全量备份通过</w:t>
      </w:r>
      <w:r w:rsidRPr="00E100ED">
        <w:rPr>
          <w:rFonts w:ascii="Segoe UI" w:hAnsi="Segoe UI" w:cs="Segoe UI" w:hint="eastAsia"/>
          <w:color w:val="000000"/>
        </w:rPr>
        <w:t>RMAN</w:t>
      </w:r>
      <w:r w:rsidRPr="00E100ED">
        <w:rPr>
          <w:rFonts w:ascii="Segoe UI" w:hAnsi="Segoe UI" w:cs="Segoe UI" w:hint="eastAsia"/>
          <w:color w:val="000000"/>
        </w:rPr>
        <w:t>协议执行，完整捕获数据库物理文件与逻辑结构，后续每日备份借助</w:t>
      </w:r>
      <w:r w:rsidRPr="00E100ED">
        <w:rPr>
          <w:rFonts w:ascii="Segoe UI" w:hAnsi="Segoe UI" w:cs="Segoe UI" w:hint="eastAsia"/>
          <w:color w:val="000000"/>
        </w:rPr>
        <w:t>Oracle</w:t>
      </w:r>
      <w:r w:rsidRPr="00E100ED">
        <w:rPr>
          <w:rFonts w:ascii="Segoe UI" w:hAnsi="Segoe UI" w:cs="Segoe UI" w:hint="eastAsia"/>
          <w:color w:val="000000"/>
        </w:rPr>
        <w:t>原生</w:t>
      </w:r>
      <w:r w:rsidRPr="00E100ED">
        <w:rPr>
          <w:rFonts w:ascii="Segoe UI" w:hAnsi="Segoe UI" w:cs="Segoe UI" w:hint="eastAsia"/>
          <w:color w:val="000000"/>
        </w:rPr>
        <w:t>BCT</w:t>
      </w:r>
      <w:r w:rsidRPr="00E100ED">
        <w:rPr>
          <w:rFonts w:ascii="Segoe UI" w:hAnsi="Segoe UI" w:cs="Segoe UI" w:hint="eastAsia"/>
          <w:color w:val="000000"/>
        </w:rPr>
        <w:t>（块变化追踪）技术，仅扫描并传输变更数据块，备份数据以原生磁盘格式存储于一体机的存储池中。当需要恢复时，无论是数据库物理损坏还是逻辑错误（如误删表），均可通过</w:t>
      </w:r>
      <w:r w:rsidRPr="00E100ED">
        <w:rPr>
          <w:rFonts w:ascii="Segoe UI" w:hAnsi="Segoe UI" w:cs="Segoe UI" w:hint="eastAsia"/>
          <w:color w:val="000000"/>
        </w:rPr>
        <w:t>IPSAN</w:t>
      </w:r>
      <w:r w:rsidRPr="00E100ED">
        <w:rPr>
          <w:rFonts w:ascii="Segoe UI" w:hAnsi="Segoe UI" w:cs="Segoe UI" w:hint="eastAsia"/>
          <w:color w:val="000000"/>
        </w:rPr>
        <w:t>将备份数据直接挂载至原生产服务器或专用恢复服</w:t>
      </w:r>
      <w:r w:rsidRPr="00E100ED">
        <w:rPr>
          <w:rFonts w:ascii="Segoe UI" w:hAnsi="Segoe UI" w:cs="Segoe UI" w:hint="eastAsia"/>
          <w:color w:val="000000"/>
        </w:rPr>
        <w:lastRenderedPageBreak/>
        <w:t>务器，跳过传统恢复的拷贝过程，实现</w:t>
      </w:r>
      <w:r w:rsidRPr="00E100ED">
        <w:rPr>
          <w:rFonts w:ascii="Segoe UI" w:hAnsi="Segoe UI" w:cs="Segoe UI" w:hint="eastAsia"/>
          <w:color w:val="000000"/>
        </w:rPr>
        <w:t>3TB</w:t>
      </w:r>
      <w:r w:rsidRPr="00E100ED">
        <w:rPr>
          <w:rFonts w:ascii="Segoe UI" w:hAnsi="Segoe UI" w:cs="Segoe UI" w:hint="eastAsia"/>
          <w:color w:val="000000"/>
        </w:rPr>
        <w:t>数据库在</w:t>
      </w:r>
      <w:r w:rsidRPr="00E100ED">
        <w:rPr>
          <w:rFonts w:ascii="Segoe UI" w:hAnsi="Segoe UI" w:cs="Segoe UI" w:hint="eastAsia"/>
          <w:color w:val="000000"/>
        </w:rPr>
        <w:t>5</w:t>
      </w:r>
      <w:r w:rsidRPr="00E100ED">
        <w:rPr>
          <w:rFonts w:ascii="Segoe UI" w:hAnsi="Segoe UI" w:cs="Segoe UI" w:hint="eastAsia"/>
          <w:color w:val="000000"/>
        </w:rPr>
        <w:t>分钟内的可用状态。恢复过程中，系统自动完成数据一致性校验，确保挂载后的数据库处于可读写状态，同时支持基于时间点的细粒度恢复，通过指针式快照技术定位至特定事务时间点，满足</w:t>
      </w:r>
      <w:r w:rsidRPr="00E100ED">
        <w:rPr>
          <w:rFonts w:ascii="Segoe UI" w:hAnsi="Segoe UI" w:cs="Segoe UI" w:hint="eastAsia"/>
          <w:color w:val="000000"/>
        </w:rPr>
        <w:t>Oracle</w:t>
      </w:r>
      <w:r w:rsidRPr="00E100ED">
        <w:rPr>
          <w:rFonts w:ascii="Segoe UI" w:hAnsi="Segoe UI" w:cs="Segoe UI" w:hint="eastAsia"/>
          <w:color w:val="000000"/>
        </w:rPr>
        <w:t>数据库对恢复点目标（</w:t>
      </w:r>
      <w:r w:rsidRPr="00E100ED">
        <w:rPr>
          <w:rFonts w:ascii="Segoe UI" w:hAnsi="Segoe UI" w:cs="Segoe UI" w:hint="eastAsia"/>
          <w:color w:val="000000"/>
        </w:rPr>
        <w:t>RPO</w:t>
      </w:r>
      <w:r w:rsidRPr="00E100ED">
        <w:rPr>
          <w:rFonts w:ascii="Segoe UI" w:hAnsi="Segoe UI" w:cs="Segoe UI" w:hint="eastAsia"/>
          <w:color w:val="000000"/>
        </w:rPr>
        <w:t>）的严格</w:t>
      </w:r>
      <w:r w:rsidR="006C6F6D" w:rsidRPr="006C6F6D">
        <w:rPr>
          <w:rFonts w:ascii="Segoe UI" w:hAnsi="Segoe UI" w:cs="Segoe UI" w:hint="eastAsia"/>
          <w:b/>
          <w:color w:val="000000"/>
        </w:rPr>
        <w:t>招标文件要求</w:t>
      </w:r>
      <w:r w:rsidRPr="00E100ED">
        <w:rPr>
          <w:rFonts w:ascii="Segoe UI" w:hAnsi="Segoe UI" w:cs="Segoe UI" w:hint="eastAsia"/>
          <w:color w:val="000000"/>
        </w:rPr>
        <w:t>。</w:t>
      </w:r>
    </w:p>
    <w:p w14:paraId="10AAD968" w14:textId="7F00D256"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实时同步与异地拉起方案实现了本地数据与公有云灾备中心的无缝衔接。华为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通过</w:t>
      </w:r>
      <w:r w:rsidRPr="00E100ED">
        <w:rPr>
          <w:rFonts w:ascii="Segoe UI" w:hAnsi="Segoe UI" w:cs="Segoe UI" w:hint="eastAsia"/>
          <w:color w:val="000000"/>
        </w:rPr>
        <w:t>IP</w:t>
      </w:r>
      <w:r w:rsidRPr="00E100ED">
        <w:rPr>
          <w:rFonts w:ascii="Segoe UI" w:hAnsi="Segoe UI" w:cs="Segoe UI" w:hint="eastAsia"/>
          <w:color w:val="000000"/>
        </w:rPr>
        <w:t>专线将本地</w:t>
      </w:r>
      <w:r w:rsidRPr="00E100ED">
        <w:rPr>
          <w:rFonts w:ascii="Segoe UI" w:hAnsi="Segoe UI" w:cs="Segoe UI" w:hint="eastAsia"/>
          <w:color w:val="000000"/>
        </w:rPr>
        <w:t>Oracle19C</w:t>
      </w:r>
      <w:r w:rsidRPr="00E100ED">
        <w:rPr>
          <w:rFonts w:ascii="Segoe UI" w:hAnsi="Segoe UI" w:cs="Segoe UI" w:hint="eastAsia"/>
          <w:color w:val="000000"/>
        </w:rPr>
        <w:t>数据库的增量备份数据实时同步至华为云灾备存储池，同步过程采用增量合成技术，将每日增量数据在云端自动生成虚拟全量副本。当本地数据中心遭遇灾难时，可直接利用华为云的计算资源，在公有云环境中快速拉起</w:t>
      </w:r>
      <w:r w:rsidRPr="00E100ED">
        <w:rPr>
          <w:rFonts w:ascii="Segoe UI" w:hAnsi="Segoe UI" w:cs="Segoe UI" w:hint="eastAsia"/>
          <w:color w:val="000000"/>
        </w:rPr>
        <w:t>Oracle</w:t>
      </w:r>
      <w:r w:rsidRPr="00E100ED">
        <w:rPr>
          <w:rFonts w:ascii="Segoe UI" w:hAnsi="Segoe UI" w:cs="Segoe UI" w:hint="eastAsia"/>
          <w:color w:val="000000"/>
        </w:rPr>
        <w:t>数据库实例：通过挂载云端备份数据，结合华为云的弹性计算能力，实现数据库服务的分钟级恢复，满足业务连续性对恢复时间目标（</w:t>
      </w:r>
      <w:r w:rsidRPr="00E100ED">
        <w:rPr>
          <w:rFonts w:ascii="Segoe UI" w:hAnsi="Segoe UI" w:cs="Segoe UI" w:hint="eastAsia"/>
          <w:color w:val="000000"/>
        </w:rPr>
        <w:t>RTO</w:t>
      </w:r>
      <w:r w:rsidRPr="00E100ED">
        <w:rPr>
          <w:rFonts w:ascii="Segoe UI" w:hAnsi="Segoe UI" w:cs="Segoe UI" w:hint="eastAsia"/>
          <w:color w:val="000000"/>
        </w:rPr>
        <w:t>）的</w:t>
      </w:r>
      <w:r w:rsidR="006C6F6D" w:rsidRPr="006C6F6D">
        <w:rPr>
          <w:rFonts w:ascii="Segoe UI" w:hAnsi="Segoe UI" w:cs="Segoe UI" w:hint="eastAsia"/>
          <w:b/>
          <w:color w:val="000000"/>
        </w:rPr>
        <w:t>招标文件要求</w:t>
      </w:r>
      <w:r w:rsidRPr="00E100ED">
        <w:rPr>
          <w:rFonts w:ascii="Segoe UI" w:hAnsi="Segoe UI" w:cs="Segoe UI" w:hint="eastAsia"/>
          <w:color w:val="000000"/>
        </w:rPr>
        <w:t>。异地拉起过程中，系统自动适配云端与本地的硬件差异，通过参数模板快速完成数据库初始化配置，确保拉起后的数据库性能与本地环境一致，同时支持双向同步机制，在本地系统恢复后可将云端变更数据反向同步至本地，保障数据一致性。</w:t>
      </w:r>
    </w:p>
    <w:p w14:paraId="31494357" w14:textId="49E0EA72"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RMAN</w:t>
      </w:r>
      <w:r w:rsidRPr="00E100ED">
        <w:rPr>
          <w:rFonts w:ascii="Segoe UI" w:hAnsi="Segoe UI" w:cs="Segoe UI" w:hint="eastAsia"/>
          <w:color w:val="000000"/>
        </w:rPr>
        <w:t>与华为备份集成方案解决了异构备份环境的兼容性问题。针对现有基于</w:t>
      </w:r>
      <w:r w:rsidRPr="00E100ED">
        <w:rPr>
          <w:rFonts w:ascii="Segoe UI" w:hAnsi="Segoe UI" w:cs="Segoe UI" w:hint="eastAsia"/>
          <w:color w:val="000000"/>
        </w:rPr>
        <w:t>VeritasNBU8.*</w:t>
      </w:r>
      <w:r w:rsidRPr="00E100ED">
        <w:rPr>
          <w:rFonts w:ascii="Segoe UI" w:hAnsi="Segoe UI" w:cs="Segoe UI" w:hint="eastAsia"/>
          <w:color w:val="000000"/>
        </w:rPr>
        <w:t>的</w:t>
      </w:r>
      <w:r w:rsidRPr="00E100ED">
        <w:rPr>
          <w:rFonts w:ascii="Segoe UI" w:hAnsi="Segoe UI" w:cs="Segoe UI" w:hint="eastAsia"/>
          <w:color w:val="000000"/>
        </w:rPr>
        <w:t>RMAN</w:t>
      </w:r>
      <w:r w:rsidRPr="00E100ED">
        <w:rPr>
          <w:rFonts w:ascii="Segoe UI" w:hAnsi="Segoe UI" w:cs="Segoe UI" w:hint="eastAsia"/>
          <w:color w:val="000000"/>
        </w:rPr>
        <w:t>备份体系，华为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提供标准化接口实现无缝对接：一方面，保留原有</w:t>
      </w:r>
      <w:r w:rsidRPr="00E100ED">
        <w:rPr>
          <w:rFonts w:ascii="Segoe UI" w:hAnsi="Segoe UI" w:cs="Segoe UI" w:hint="eastAsia"/>
          <w:color w:val="000000"/>
        </w:rPr>
        <w:t>RMAN</w:t>
      </w:r>
      <w:r w:rsidRPr="00E100ED">
        <w:rPr>
          <w:rFonts w:ascii="Segoe UI" w:hAnsi="Segoe UI" w:cs="Segoe UI" w:hint="eastAsia"/>
          <w:color w:val="000000"/>
        </w:rPr>
        <w:t>脚本的备份策略，通过华为备份管理平台接管</w:t>
      </w:r>
      <w:r w:rsidRPr="00E100ED">
        <w:rPr>
          <w:rFonts w:ascii="Segoe UI" w:hAnsi="Segoe UI" w:cs="Segoe UI" w:hint="eastAsia"/>
          <w:color w:val="000000"/>
        </w:rPr>
        <w:t>RMAN</w:t>
      </w:r>
      <w:r w:rsidRPr="00E100ED">
        <w:rPr>
          <w:rFonts w:ascii="Segoe UI" w:hAnsi="Segoe UI" w:cs="Segoe UI" w:hint="eastAsia"/>
          <w:color w:val="000000"/>
        </w:rPr>
        <w:t>备份任务的调度与执行，利用</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的存储资源替代传统磁带库，提升</w:t>
      </w:r>
      <w:r w:rsidRPr="00E100ED">
        <w:rPr>
          <w:rFonts w:ascii="Segoe UI" w:hAnsi="Segoe UI" w:cs="Segoe UI" w:hint="eastAsia"/>
          <w:color w:val="000000"/>
        </w:rPr>
        <w:t>RMAN</w:t>
      </w:r>
      <w:r w:rsidRPr="00E100ED">
        <w:rPr>
          <w:rFonts w:ascii="Segoe UI" w:hAnsi="Segoe UI" w:cs="Segoe UI" w:hint="eastAsia"/>
          <w:color w:val="000000"/>
        </w:rPr>
        <w:t>备份的效率与可靠性；另一方面，对历史</w:t>
      </w:r>
      <w:r w:rsidRPr="00E100ED">
        <w:rPr>
          <w:rFonts w:ascii="Segoe UI" w:hAnsi="Segoe UI" w:cs="Segoe UI" w:hint="eastAsia"/>
          <w:color w:val="000000"/>
        </w:rPr>
        <w:t>RMAN</w:t>
      </w:r>
      <w:r w:rsidRPr="00E100ED">
        <w:rPr>
          <w:rFonts w:ascii="Segoe UI" w:hAnsi="Segoe UI" w:cs="Segoe UI" w:hint="eastAsia"/>
          <w:color w:val="000000"/>
        </w:rPr>
        <w:t>备份数据进行格式转换，将磁带</w:t>
      </w:r>
      <w:r w:rsidRPr="00E100ED">
        <w:rPr>
          <w:rFonts w:ascii="Segoe UI" w:hAnsi="Segoe UI" w:cs="Segoe UI" w:hint="eastAsia"/>
          <w:color w:val="000000"/>
        </w:rPr>
        <w:t>tar</w:t>
      </w:r>
      <w:r w:rsidRPr="00E100ED">
        <w:rPr>
          <w:rFonts w:ascii="Segoe UI" w:hAnsi="Segoe UI" w:cs="Segoe UI" w:hint="eastAsia"/>
          <w:color w:val="000000"/>
        </w:rPr>
        <w:t>格式数据迁移至华为一体机的原生磁盘存储池，确保历史备份数据的可恢复性。集成方案支持</w:t>
      </w:r>
      <w:r w:rsidRPr="00E100ED">
        <w:rPr>
          <w:rFonts w:ascii="Segoe UI" w:hAnsi="Segoe UI" w:cs="Segoe UI" w:hint="eastAsia"/>
          <w:color w:val="000000"/>
        </w:rPr>
        <w:t>RMAN</w:t>
      </w:r>
      <w:r w:rsidRPr="00E100ED">
        <w:rPr>
          <w:rFonts w:ascii="Segoe UI" w:hAnsi="Segoe UI" w:cs="Segoe UI" w:hint="eastAsia"/>
          <w:color w:val="000000"/>
        </w:rPr>
        <w:t>与华为备份的并行运行，在过渡期内通过数据对比工具验证两种备份方式的一致性，确保迁移过程中数据零丢失。此外，华为备份管理平台提供</w:t>
      </w:r>
      <w:r w:rsidRPr="00E100ED">
        <w:rPr>
          <w:rFonts w:ascii="Segoe UI" w:hAnsi="Segoe UI" w:cs="Segoe UI" w:hint="eastAsia"/>
          <w:color w:val="000000"/>
        </w:rPr>
        <w:t>RMAN</w:t>
      </w:r>
      <w:r w:rsidRPr="00E100ED">
        <w:rPr>
          <w:rFonts w:ascii="Segoe UI" w:hAnsi="Segoe UI" w:cs="Segoe UI" w:hint="eastAsia"/>
          <w:color w:val="000000"/>
        </w:rPr>
        <w:t>备份任务的可视化监控，实时追踪备份进度、成功率及存储占用，结合智能告警机制，对</w:t>
      </w:r>
      <w:r w:rsidRPr="00E100ED">
        <w:rPr>
          <w:rFonts w:ascii="Segoe UI" w:hAnsi="Segoe UI" w:cs="Segoe UI" w:hint="eastAsia"/>
          <w:color w:val="000000"/>
        </w:rPr>
        <w:t>RMAN</w:t>
      </w:r>
      <w:r w:rsidRPr="00E100ED">
        <w:rPr>
          <w:rFonts w:ascii="Segoe UI" w:hAnsi="Segoe UI" w:cs="Segoe UI" w:hint="eastAsia"/>
          <w:color w:val="000000"/>
        </w:rPr>
        <w:t>备份中的异常情况（如备份失败、增量捕获异常）进行即时通知，提升</w:t>
      </w:r>
      <w:r w:rsidRPr="00E100ED">
        <w:rPr>
          <w:rFonts w:ascii="Segoe UI" w:hAnsi="Segoe UI" w:cs="Segoe UI" w:hint="eastAsia"/>
          <w:color w:val="000000"/>
        </w:rPr>
        <w:t>Oracle</w:t>
      </w:r>
      <w:r w:rsidRPr="00E100ED">
        <w:rPr>
          <w:rFonts w:ascii="Segoe UI" w:hAnsi="Segoe UI" w:cs="Segoe UI" w:hint="eastAsia"/>
          <w:color w:val="000000"/>
        </w:rPr>
        <w:t>数据库备份的运维管理效率。</w:t>
      </w:r>
    </w:p>
    <w:p w14:paraId="62A9380C" w14:textId="346E920A" w:rsidR="00731408" w:rsidRPr="00731408" w:rsidRDefault="009D6E2A" w:rsidP="00731408">
      <w:pPr>
        <w:pStyle w:val="5"/>
        <w:rPr>
          <w:rFonts w:hint="eastAsia"/>
        </w:rPr>
      </w:pPr>
      <w:r>
        <w:t>SAPHANA</w:t>
      </w:r>
      <w:r w:rsidR="00731408" w:rsidRPr="00731408">
        <w:t>容灾方案</w:t>
      </w:r>
    </w:p>
    <w:p w14:paraId="3A7C5F44" w14:textId="49D879A1"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针对本地数据中心的</w:t>
      </w:r>
      <w:r w:rsidRPr="00E100ED">
        <w:rPr>
          <w:rFonts w:ascii="Segoe UI" w:hAnsi="Segoe UI" w:cs="Segoe UI" w:hint="eastAsia"/>
          <w:color w:val="000000"/>
        </w:rPr>
        <w:t>1</w:t>
      </w:r>
      <w:r w:rsidRPr="00E100ED">
        <w:rPr>
          <w:rFonts w:ascii="Segoe UI" w:hAnsi="Segoe UI" w:cs="Segoe UI" w:hint="eastAsia"/>
          <w:color w:val="000000"/>
        </w:rPr>
        <w:t>套</w:t>
      </w:r>
      <w:r w:rsidR="009D6E2A">
        <w:rPr>
          <w:rFonts w:ascii="Segoe UI" w:hAnsi="Segoe UI" w:cs="Segoe UI" w:hint="eastAsia"/>
          <w:color w:val="000000"/>
        </w:rPr>
        <w:t>SAPHANA</w:t>
      </w:r>
      <w:r w:rsidRPr="00E100ED">
        <w:rPr>
          <w:rFonts w:ascii="Segoe UI" w:hAnsi="Segoe UI" w:cs="Segoe UI" w:hint="eastAsia"/>
          <w:color w:val="000000"/>
        </w:rPr>
        <w:t>系统，华为容灾方案在</w:t>
      </w:r>
      <w:r w:rsidRPr="00E100ED">
        <w:rPr>
          <w:rFonts w:ascii="Segoe UI" w:hAnsi="Segoe UI" w:cs="Segoe UI" w:hint="eastAsia"/>
          <w:color w:val="000000"/>
        </w:rPr>
        <w:t>SUSE15SP6</w:t>
      </w:r>
      <w:r w:rsidRPr="00E100ED">
        <w:rPr>
          <w:rFonts w:ascii="Segoe UI" w:hAnsi="Segoe UI" w:cs="Segoe UI" w:hint="eastAsia"/>
          <w:color w:val="000000"/>
        </w:rPr>
        <w:t>操作系统环境下，构建了覆盖环境适配、增量备份及容灾验证的全流程保护体系，确保</w:t>
      </w:r>
      <w:r w:rsidR="009D6E2A">
        <w:rPr>
          <w:rFonts w:ascii="Segoe UI" w:hAnsi="Segoe UI" w:cs="Segoe UI" w:hint="eastAsia"/>
          <w:color w:val="000000"/>
        </w:rPr>
        <w:t>SAPHANA</w:t>
      </w:r>
      <w:r w:rsidRPr="00E100ED">
        <w:rPr>
          <w:rFonts w:ascii="Segoe UI" w:hAnsi="Segoe UI" w:cs="Segoe UI" w:hint="eastAsia"/>
          <w:color w:val="000000"/>
        </w:rPr>
        <w:t>系统的高可用性与业务连续性。</w:t>
      </w:r>
    </w:p>
    <w:p w14:paraId="505F9017" w14:textId="395E9CAE"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在</w:t>
      </w:r>
      <w:r w:rsidRPr="00E100ED">
        <w:rPr>
          <w:rFonts w:ascii="Segoe UI" w:hAnsi="Segoe UI" w:cs="Segoe UI" w:hint="eastAsia"/>
          <w:color w:val="000000"/>
        </w:rPr>
        <w:t>SUSE15SP6</w:t>
      </w:r>
      <w:r w:rsidRPr="00E100ED">
        <w:rPr>
          <w:rFonts w:ascii="Segoe UI" w:hAnsi="Segoe UI" w:cs="Segoe UI" w:hint="eastAsia"/>
          <w:color w:val="000000"/>
        </w:rPr>
        <w:t>环境适配方面，华为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备份一体机通过深度优化的内核驱动与系统接口，实现对</w:t>
      </w:r>
      <w:r w:rsidRPr="00E100ED">
        <w:rPr>
          <w:rFonts w:ascii="Segoe UI" w:hAnsi="Segoe UI" w:cs="Segoe UI" w:hint="eastAsia"/>
          <w:color w:val="000000"/>
        </w:rPr>
        <w:t>SUSE15SP6</w:t>
      </w:r>
      <w:r w:rsidRPr="00E100ED">
        <w:rPr>
          <w:rFonts w:ascii="Segoe UI" w:hAnsi="Segoe UI" w:cs="Segoe UI" w:hint="eastAsia"/>
          <w:color w:val="000000"/>
        </w:rPr>
        <w:t>操作系统的原生支持。一体机内置的</w:t>
      </w:r>
      <w:r w:rsidRPr="00E100ED">
        <w:rPr>
          <w:rFonts w:ascii="Segoe UI" w:hAnsi="Segoe UI" w:cs="Segoe UI" w:hint="eastAsia"/>
          <w:color w:val="000000"/>
        </w:rPr>
        <w:t>SUSE</w:t>
      </w:r>
      <w:r w:rsidRPr="00E100ED">
        <w:rPr>
          <w:rFonts w:ascii="Segoe UI" w:hAnsi="Segoe UI" w:cs="Segoe UI" w:hint="eastAsia"/>
          <w:color w:val="000000"/>
        </w:rPr>
        <w:t>专用代理模块可自动识别系统内核版本与文件系统特性，支持</w:t>
      </w:r>
      <w:r w:rsidRPr="00E100ED">
        <w:rPr>
          <w:rFonts w:ascii="Segoe UI" w:hAnsi="Segoe UI" w:cs="Segoe UI" w:hint="eastAsia"/>
          <w:color w:val="000000"/>
        </w:rPr>
        <w:t>EXT4/XFS</w:t>
      </w:r>
      <w:r w:rsidRPr="00E100ED">
        <w:rPr>
          <w:rFonts w:ascii="Segoe UI" w:hAnsi="Segoe UI" w:cs="Segoe UI" w:hint="eastAsia"/>
          <w:color w:val="000000"/>
        </w:rPr>
        <w:t>等主流文件系统的高效备份，同时兼容</w:t>
      </w:r>
      <w:r w:rsidRPr="00E100ED">
        <w:rPr>
          <w:rFonts w:ascii="Segoe UI" w:hAnsi="Segoe UI" w:cs="Segoe UI" w:hint="eastAsia"/>
          <w:color w:val="000000"/>
        </w:rPr>
        <w:t>SUSE15SP6</w:t>
      </w:r>
      <w:r w:rsidRPr="00E100ED">
        <w:rPr>
          <w:rFonts w:ascii="Segoe UI" w:hAnsi="Segoe UI" w:cs="Segoe UI" w:hint="eastAsia"/>
          <w:color w:val="000000"/>
        </w:rPr>
        <w:t>下的</w:t>
      </w:r>
      <w:r w:rsidR="009D6E2A">
        <w:rPr>
          <w:rFonts w:ascii="Segoe UI" w:hAnsi="Segoe UI" w:cs="Segoe UI" w:hint="eastAsia"/>
          <w:color w:val="000000"/>
        </w:rPr>
        <w:t>SAPHANA</w:t>
      </w:r>
      <w:r w:rsidRPr="00E100ED">
        <w:rPr>
          <w:rFonts w:ascii="Segoe UI" w:hAnsi="Segoe UI" w:cs="Segoe UI" w:hint="eastAsia"/>
          <w:color w:val="000000"/>
        </w:rPr>
        <w:t>数据库运行环境，确保备份过程中对系统资源的合理占用。针对</w:t>
      </w:r>
      <w:r w:rsidRPr="00E100ED">
        <w:rPr>
          <w:rFonts w:ascii="Segoe UI" w:hAnsi="Segoe UI" w:cs="Segoe UI" w:hint="eastAsia"/>
          <w:color w:val="000000"/>
        </w:rPr>
        <w:t>SUSE</w:t>
      </w:r>
      <w:r w:rsidRPr="00E100ED">
        <w:rPr>
          <w:rFonts w:ascii="Segoe UI" w:hAnsi="Segoe UI" w:cs="Segoe UI" w:hint="eastAsia"/>
          <w:color w:val="000000"/>
        </w:rPr>
        <w:t>系统的安全机制，华为方案通过</w:t>
      </w:r>
      <w:proofErr w:type="spellStart"/>
      <w:r w:rsidRPr="00E100ED">
        <w:rPr>
          <w:rFonts w:ascii="Segoe UI" w:hAnsi="Segoe UI" w:cs="Segoe UI" w:hint="eastAsia"/>
          <w:color w:val="000000"/>
        </w:rPr>
        <w:t>SELinux</w:t>
      </w:r>
      <w:proofErr w:type="spellEnd"/>
      <w:r w:rsidRPr="00E100ED">
        <w:rPr>
          <w:rFonts w:ascii="Segoe UI" w:hAnsi="Segoe UI" w:cs="Segoe UI" w:hint="eastAsia"/>
          <w:color w:val="000000"/>
        </w:rPr>
        <w:t>策略白名单配置，保障备份代理与</w:t>
      </w:r>
      <w:r w:rsidR="009D6E2A">
        <w:rPr>
          <w:rFonts w:ascii="Segoe UI" w:hAnsi="Segoe UI" w:cs="Segoe UI" w:hint="eastAsia"/>
          <w:color w:val="000000"/>
        </w:rPr>
        <w:t>SAPHANA</w:t>
      </w:r>
      <w:r w:rsidRPr="00E100ED">
        <w:rPr>
          <w:rFonts w:ascii="Segoe UI" w:hAnsi="Segoe UI" w:cs="Segoe UI" w:hint="eastAsia"/>
          <w:color w:val="000000"/>
        </w:rPr>
        <w:t>进程的安全交互，避免因权限问题导致的备份失败。此外，</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管理平台提供</w:t>
      </w:r>
      <w:r w:rsidRPr="00E100ED">
        <w:rPr>
          <w:rFonts w:ascii="Segoe UI" w:hAnsi="Segoe UI" w:cs="Segoe UI" w:hint="eastAsia"/>
          <w:color w:val="000000"/>
        </w:rPr>
        <w:t>SUSE</w:t>
      </w:r>
      <w:r w:rsidRPr="00E100ED">
        <w:rPr>
          <w:rFonts w:ascii="Segoe UI" w:hAnsi="Segoe UI" w:cs="Segoe UI" w:hint="eastAsia"/>
          <w:color w:val="000000"/>
        </w:rPr>
        <w:t>系统的可视化监控面板，实时采集系统资源利用率、备份任务状态等指标，结合智能告警机制，对</w:t>
      </w:r>
      <w:r w:rsidRPr="00E100ED">
        <w:rPr>
          <w:rFonts w:ascii="Segoe UI" w:hAnsi="Segoe UI" w:cs="Segoe UI" w:hint="eastAsia"/>
          <w:color w:val="000000"/>
        </w:rPr>
        <w:t>SUSE</w:t>
      </w:r>
      <w:r w:rsidRPr="00E100ED">
        <w:rPr>
          <w:rFonts w:ascii="Segoe UI" w:hAnsi="Segoe UI" w:cs="Segoe UI" w:hint="eastAsia"/>
          <w:color w:val="000000"/>
        </w:rPr>
        <w:t>环境下的备份异常（如磁盘空间不足、网络连接中断）进行即时通知，确保</w:t>
      </w:r>
      <w:r w:rsidR="009D6E2A">
        <w:rPr>
          <w:rFonts w:ascii="Segoe UI" w:hAnsi="Segoe UI" w:cs="Segoe UI" w:hint="eastAsia"/>
          <w:color w:val="000000"/>
        </w:rPr>
        <w:t>SAPHANA</w:t>
      </w:r>
      <w:r w:rsidRPr="00E100ED">
        <w:rPr>
          <w:rFonts w:ascii="Segoe UI" w:hAnsi="Segoe UI" w:cs="Segoe UI" w:hint="eastAsia"/>
          <w:color w:val="000000"/>
        </w:rPr>
        <w:t>容灾体系在</w:t>
      </w:r>
      <w:r w:rsidRPr="00E100ED">
        <w:rPr>
          <w:rFonts w:ascii="Segoe UI" w:hAnsi="Segoe UI" w:cs="Segoe UI" w:hint="eastAsia"/>
          <w:color w:val="000000"/>
        </w:rPr>
        <w:t>SUSE15SP6</w:t>
      </w:r>
      <w:r w:rsidRPr="00E100ED">
        <w:rPr>
          <w:rFonts w:ascii="Segoe UI" w:hAnsi="Segoe UI" w:cs="Segoe UI" w:hint="eastAsia"/>
          <w:color w:val="000000"/>
        </w:rPr>
        <w:t>环境中的稳定运行。</w:t>
      </w:r>
    </w:p>
    <w:p w14:paraId="7D279AC4" w14:textId="7F916322"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HANA</w:t>
      </w:r>
      <w:r w:rsidRPr="00E100ED">
        <w:rPr>
          <w:rFonts w:ascii="Segoe UI" w:hAnsi="Segoe UI" w:cs="Segoe UI" w:hint="eastAsia"/>
          <w:color w:val="000000"/>
        </w:rPr>
        <w:t>系统增量备份策略采用“日志增量</w:t>
      </w:r>
      <w:r w:rsidRPr="00E100ED">
        <w:rPr>
          <w:rFonts w:ascii="Segoe UI" w:hAnsi="Segoe UI" w:cs="Segoe UI" w:hint="eastAsia"/>
          <w:color w:val="000000"/>
        </w:rPr>
        <w:t>+</w:t>
      </w:r>
      <w:r w:rsidRPr="00E100ED">
        <w:rPr>
          <w:rFonts w:ascii="Segoe UI" w:hAnsi="Segoe UI" w:cs="Segoe UI" w:hint="eastAsia"/>
          <w:color w:val="000000"/>
        </w:rPr>
        <w:t>全量合成”的高效机制，适配</w:t>
      </w:r>
      <w:r w:rsidR="009D6E2A">
        <w:rPr>
          <w:rFonts w:ascii="Segoe UI" w:hAnsi="Segoe UI" w:cs="Segoe UI" w:hint="eastAsia"/>
          <w:color w:val="000000"/>
        </w:rPr>
        <w:t>SAPHANA</w:t>
      </w:r>
      <w:r w:rsidRPr="00E100ED">
        <w:rPr>
          <w:rFonts w:ascii="Segoe UI" w:hAnsi="Segoe UI" w:cs="Segoe UI" w:hint="eastAsia"/>
          <w:color w:val="000000"/>
        </w:rPr>
        <w:t>的事务特性与数据增长模式。首次全量备份通过</w:t>
      </w:r>
      <w:r w:rsidR="009D6E2A">
        <w:rPr>
          <w:rFonts w:ascii="Segoe UI" w:hAnsi="Segoe UI" w:cs="Segoe UI" w:hint="eastAsia"/>
          <w:color w:val="000000"/>
        </w:rPr>
        <w:t>SAPHANA</w:t>
      </w:r>
      <w:r w:rsidRPr="00E100ED">
        <w:rPr>
          <w:rFonts w:ascii="Segoe UI" w:hAnsi="Segoe UI" w:cs="Segoe UI" w:hint="eastAsia"/>
          <w:color w:val="000000"/>
        </w:rPr>
        <w:t>原生备份接口执行，完整备份数据库</w:t>
      </w:r>
      <w:r w:rsidRPr="00E100ED">
        <w:rPr>
          <w:rFonts w:ascii="Segoe UI" w:hAnsi="Segoe UI" w:cs="Segoe UI" w:hint="eastAsia"/>
          <w:color w:val="000000"/>
        </w:rPr>
        <w:lastRenderedPageBreak/>
        <w:t>数据卷与日志卷，后续每日备份仅捕获增量日志文件（</w:t>
      </w:r>
      <w:r w:rsidRPr="00E100ED">
        <w:rPr>
          <w:rFonts w:ascii="Segoe UI" w:hAnsi="Segoe UI" w:cs="Segoe UI" w:hint="eastAsia"/>
          <w:color w:val="000000"/>
        </w:rPr>
        <w:t>HANA</w:t>
      </w:r>
      <w:r w:rsidRPr="00E100ED">
        <w:rPr>
          <w:rFonts w:ascii="Segoe UI" w:hAnsi="Segoe UI" w:cs="Segoe UI" w:hint="eastAsia"/>
          <w:color w:val="000000"/>
        </w:rPr>
        <w:t>数据库的重做日志与增量备份），通过块级变化追踪技术识别变更数据块，将增量数据传输至</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备份一体机。一体机内部自动执行增量合成，将每日增量日志应用到全量备份副本，生成最新的虚拟全量备份，该过程无需占用生产系统资源，确保</w:t>
      </w:r>
      <w:r w:rsidR="009D6E2A">
        <w:rPr>
          <w:rFonts w:ascii="Segoe UI" w:hAnsi="Segoe UI" w:cs="Segoe UI" w:hint="eastAsia"/>
          <w:color w:val="000000"/>
        </w:rPr>
        <w:t>SAPHANA</w:t>
      </w:r>
      <w:r w:rsidRPr="00E100ED">
        <w:rPr>
          <w:rFonts w:ascii="Segoe UI" w:hAnsi="Segoe UI" w:cs="Segoe UI" w:hint="eastAsia"/>
          <w:color w:val="000000"/>
        </w:rPr>
        <w:t>业务的持续运行。以</w:t>
      </w:r>
      <w:r w:rsidR="00152F2A">
        <w:rPr>
          <w:rFonts w:ascii="Segoe UI" w:hAnsi="Segoe UI" w:cs="Segoe UI" w:hint="eastAsia"/>
          <w:color w:val="000000"/>
        </w:rPr>
        <w:t>A380</w:t>
      </w:r>
      <w:r w:rsidRPr="00E100ED">
        <w:rPr>
          <w:rFonts w:ascii="Segoe UI" w:hAnsi="Segoe UI" w:cs="Segoe UI" w:hint="eastAsia"/>
          <w:color w:val="000000"/>
        </w:rPr>
        <w:t>机房的</w:t>
      </w:r>
      <w:r w:rsidR="009D6E2A">
        <w:rPr>
          <w:rFonts w:ascii="Segoe UI" w:hAnsi="Segoe UI" w:cs="Segoe UI" w:hint="eastAsia"/>
          <w:color w:val="000000"/>
        </w:rPr>
        <w:t>SAPHANA</w:t>
      </w:r>
      <w:r w:rsidRPr="00E100ED">
        <w:rPr>
          <w:rFonts w:ascii="Segoe UI" w:hAnsi="Segoe UI" w:cs="Segoe UI" w:hint="eastAsia"/>
          <w:color w:val="000000"/>
        </w:rPr>
        <w:t>系统为例，采用该增量策略后，每日备份数据量可减少</w:t>
      </w:r>
      <w:r w:rsidRPr="00E100ED">
        <w:rPr>
          <w:rFonts w:ascii="Segoe UI" w:hAnsi="Segoe UI" w:cs="Segoe UI" w:hint="eastAsia"/>
          <w:color w:val="000000"/>
        </w:rPr>
        <w:t>90%</w:t>
      </w:r>
      <w:r w:rsidRPr="00E100ED">
        <w:rPr>
          <w:rFonts w:ascii="Segoe UI" w:hAnsi="Segoe UI" w:cs="Segoe UI" w:hint="eastAsia"/>
          <w:color w:val="000000"/>
        </w:rPr>
        <w:t>以上，备份窗口从传统方案的数小时缩短至</w:t>
      </w:r>
      <w:r w:rsidRPr="00E100ED">
        <w:rPr>
          <w:rFonts w:ascii="Segoe UI" w:hAnsi="Segoe UI" w:cs="Segoe UI" w:hint="eastAsia"/>
          <w:color w:val="000000"/>
        </w:rPr>
        <w:t>30</w:t>
      </w:r>
      <w:r w:rsidRPr="00E100ED">
        <w:rPr>
          <w:rFonts w:ascii="Segoe UI" w:hAnsi="Segoe UI" w:cs="Segoe UI" w:hint="eastAsia"/>
          <w:color w:val="000000"/>
        </w:rPr>
        <w:t>分钟内，同时通过增量合成技术保证备份副本的完整性与可恢复性，满足</w:t>
      </w:r>
      <w:r w:rsidR="009D6E2A">
        <w:rPr>
          <w:rFonts w:ascii="Segoe UI" w:hAnsi="Segoe UI" w:cs="Segoe UI" w:hint="eastAsia"/>
          <w:color w:val="000000"/>
        </w:rPr>
        <w:t>SAPHANA</w:t>
      </w:r>
      <w:r w:rsidRPr="00E100ED">
        <w:rPr>
          <w:rFonts w:ascii="Segoe UI" w:hAnsi="Segoe UI" w:cs="Segoe UI" w:hint="eastAsia"/>
          <w:color w:val="000000"/>
        </w:rPr>
        <w:t>对高频次备份的需求。</w:t>
      </w:r>
    </w:p>
    <w:p w14:paraId="13906957" w14:textId="726EB59D"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容灾演练与验证流程构建了“自动化测试</w:t>
      </w:r>
      <w:r w:rsidRPr="00E100ED">
        <w:rPr>
          <w:rFonts w:ascii="Segoe UI" w:hAnsi="Segoe UI" w:cs="Segoe UI" w:hint="eastAsia"/>
          <w:color w:val="000000"/>
        </w:rPr>
        <w:t>+</w:t>
      </w:r>
      <w:r w:rsidRPr="00E100ED">
        <w:rPr>
          <w:rFonts w:ascii="Segoe UI" w:hAnsi="Segoe UI" w:cs="Segoe UI" w:hint="eastAsia"/>
          <w:color w:val="000000"/>
        </w:rPr>
        <w:t>可视化报告”的可靠性保障机制，确保</w:t>
      </w:r>
      <w:r w:rsidR="009D6E2A">
        <w:rPr>
          <w:rFonts w:ascii="Segoe UI" w:hAnsi="Segoe UI" w:cs="Segoe UI" w:hint="eastAsia"/>
          <w:color w:val="000000"/>
        </w:rPr>
        <w:t>SAPHANA</w:t>
      </w:r>
      <w:r w:rsidRPr="00E100ED">
        <w:rPr>
          <w:rFonts w:ascii="Segoe UI" w:hAnsi="Segoe UI" w:cs="Segoe UI" w:hint="eastAsia"/>
          <w:color w:val="000000"/>
        </w:rPr>
        <w:t>容灾能力的持续有效性。华为方案通过</w:t>
      </w:r>
      <w:proofErr w:type="spellStart"/>
      <w:r w:rsidRPr="00E100ED">
        <w:rPr>
          <w:rFonts w:ascii="Segoe UI" w:hAnsi="Segoe UI" w:cs="Segoe UI" w:hint="eastAsia"/>
          <w:color w:val="000000"/>
        </w:rPr>
        <w:t>eBackup</w:t>
      </w:r>
      <w:proofErr w:type="spellEnd"/>
      <w:r w:rsidRPr="00E100ED">
        <w:rPr>
          <w:rFonts w:ascii="Segoe UI" w:hAnsi="Segoe UI" w:cs="Segoe UI" w:hint="eastAsia"/>
          <w:color w:val="000000"/>
        </w:rPr>
        <w:t>管理平台预设周期性演练任务，自动触发</w:t>
      </w:r>
      <w:r w:rsidR="009D6E2A">
        <w:rPr>
          <w:rFonts w:ascii="Segoe UI" w:hAnsi="Segoe UI" w:cs="Segoe UI" w:hint="eastAsia"/>
          <w:color w:val="000000"/>
        </w:rPr>
        <w:t>SAPHANA</w:t>
      </w:r>
      <w:r w:rsidRPr="00E100ED">
        <w:rPr>
          <w:rFonts w:ascii="Segoe UI" w:hAnsi="Segoe UI" w:cs="Segoe UI" w:hint="eastAsia"/>
          <w:color w:val="000000"/>
        </w:rPr>
        <w:t>备份数据的容灾拉起测试：系统在隔离环境中挂载云端或本地的备份副本，启动</w:t>
      </w:r>
      <w:r w:rsidR="009D6E2A">
        <w:rPr>
          <w:rFonts w:ascii="Segoe UI" w:hAnsi="Segoe UI" w:cs="Segoe UI" w:hint="eastAsia"/>
          <w:color w:val="000000"/>
        </w:rPr>
        <w:t>SAPHANA</w:t>
      </w:r>
      <w:r w:rsidRPr="00E100ED">
        <w:rPr>
          <w:rFonts w:ascii="Segoe UI" w:hAnsi="Segoe UI" w:cs="Segoe UI" w:hint="eastAsia"/>
          <w:color w:val="000000"/>
        </w:rPr>
        <w:t>数据库实例，自动执行数据一致性检查（如</w:t>
      </w:r>
      <w:r w:rsidRPr="00E100ED">
        <w:rPr>
          <w:rFonts w:ascii="Segoe UI" w:hAnsi="Segoe UI" w:cs="Segoe UI" w:hint="eastAsia"/>
          <w:color w:val="000000"/>
        </w:rPr>
        <w:t>HANA</w:t>
      </w:r>
      <w:r w:rsidRPr="00E100ED">
        <w:rPr>
          <w:rFonts w:ascii="Segoe UI" w:hAnsi="Segoe UI" w:cs="Segoe UI" w:hint="eastAsia"/>
          <w:color w:val="000000"/>
        </w:rPr>
        <w:t>系统的完整性校验、表空间一致性验证）与业务交易模拟（如物料主数据查询、财务凭证过账），验证完成后自动卸载备份环境并清理临时资源，整个演练过程无需人工干预，耗时控制在</w:t>
      </w:r>
      <w:r w:rsidRPr="00E100ED">
        <w:rPr>
          <w:rFonts w:ascii="Segoe UI" w:hAnsi="Segoe UI" w:cs="Segoe UI" w:hint="eastAsia"/>
          <w:color w:val="000000"/>
        </w:rPr>
        <w:t>15</w:t>
      </w:r>
      <w:r w:rsidRPr="00E100ED">
        <w:rPr>
          <w:rFonts w:ascii="Segoe UI" w:hAnsi="Segoe UI" w:cs="Segoe UI" w:hint="eastAsia"/>
          <w:color w:val="000000"/>
        </w:rPr>
        <w:t>分钟内。演练结果生成详细报表，包含</w:t>
      </w:r>
      <w:r w:rsidRPr="00E100ED">
        <w:rPr>
          <w:rFonts w:ascii="Segoe UI" w:hAnsi="Segoe UI" w:cs="Segoe UI" w:hint="eastAsia"/>
          <w:color w:val="000000"/>
        </w:rPr>
        <w:t>RTO</w:t>
      </w:r>
      <w:r w:rsidRPr="00E100ED">
        <w:rPr>
          <w:rFonts w:ascii="Segoe UI" w:hAnsi="Segoe UI" w:cs="Segoe UI" w:hint="eastAsia"/>
          <w:color w:val="000000"/>
        </w:rPr>
        <w:t>（恢复时间目标）达成情况、数据一致性指标及业务可用性状态，若发现异常（如数据校验失败、应用启动超时）则立即触发告警。对于</w:t>
      </w:r>
      <w:r w:rsidRPr="00E100ED">
        <w:rPr>
          <w:rFonts w:ascii="Segoe UI" w:hAnsi="Segoe UI" w:cs="Segoe UI" w:hint="eastAsia"/>
          <w:color w:val="000000"/>
        </w:rPr>
        <w:t>OBV</w:t>
      </w:r>
      <w:r w:rsidRPr="00E100ED">
        <w:rPr>
          <w:rFonts w:ascii="Segoe UI" w:hAnsi="Segoe UI" w:cs="Segoe UI" w:hint="eastAsia"/>
          <w:color w:val="000000"/>
        </w:rPr>
        <w:t>机房的物理隔离环境，华为方案支持离线状态下的容灾演练，通过利旧服务器构建临时验证环境，确保隔离场景下的容灾能力可验证。该流程将传统手动演练的耗时从数天缩短至分钟级，同时避免对生产系统的影响，为</w:t>
      </w:r>
      <w:r w:rsidR="009D6E2A">
        <w:rPr>
          <w:rFonts w:ascii="Segoe UI" w:hAnsi="Segoe UI" w:cs="Segoe UI" w:hint="eastAsia"/>
          <w:color w:val="000000"/>
        </w:rPr>
        <w:t>SAPHANA</w:t>
      </w:r>
      <w:r w:rsidRPr="00E100ED">
        <w:rPr>
          <w:rFonts w:ascii="Segoe UI" w:hAnsi="Segoe UI" w:cs="Segoe UI" w:hint="eastAsia"/>
          <w:color w:val="000000"/>
        </w:rPr>
        <w:t>业务连续性提供可量化的保障。</w:t>
      </w:r>
    </w:p>
    <w:p w14:paraId="2625F7F6" w14:textId="77777777" w:rsidR="00731408" w:rsidRPr="00731408" w:rsidRDefault="00731408" w:rsidP="00731408">
      <w:pPr>
        <w:pStyle w:val="5"/>
        <w:rPr>
          <w:rFonts w:hint="eastAsia"/>
        </w:rPr>
      </w:pPr>
      <w:r w:rsidRPr="00731408">
        <w:t>异构环境统一容灾</w:t>
      </w:r>
    </w:p>
    <w:p w14:paraId="2BA87C96" w14:textId="3667AE14"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针对</w:t>
      </w:r>
      <w:r w:rsidRPr="00FB4CE7">
        <w:rPr>
          <w:rFonts w:ascii="Segoe UI" w:hAnsi="Segoe UI" w:cs="Segoe UI" w:hint="eastAsia"/>
          <w:color w:val="000000"/>
        </w:rPr>
        <w:t>RedHat8.9</w:t>
      </w:r>
      <w:r w:rsidRPr="00FB4CE7">
        <w:rPr>
          <w:rFonts w:ascii="Segoe UI" w:hAnsi="Segoe UI" w:cs="Segoe UI" w:hint="eastAsia"/>
          <w:color w:val="000000"/>
        </w:rPr>
        <w:t>系统、虚拟化平台及跨云环境的异构特性，华为容灾方案构建了标准化、自动化的统一容灾体系，确保不同架构与平台下的数据一致性与业务连续性。</w:t>
      </w:r>
    </w:p>
    <w:p w14:paraId="79C056F6" w14:textId="4AB86DD1"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在</w:t>
      </w:r>
      <w:r w:rsidRPr="00FB4CE7">
        <w:rPr>
          <w:rFonts w:ascii="Segoe UI" w:hAnsi="Segoe UI" w:cs="Segoe UI" w:hint="eastAsia"/>
          <w:color w:val="000000"/>
        </w:rPr>
        <w:t>RedHat8.9</w:t>
      </w:r>
      <w:r w:rsidRPr="00FB4CE7">
        <w:rPr>
          <w:rFonts w:ascii="Segoe UI" w:hAnsi="Segoe UI" w:cs="Segoe UI" w:hint="eastAsia"/>
          <w:color w:val="000000"/>
        </w:rPr>
        <w:t>系统保护方面，华为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备份一体机通过深度集成的</w:t>
      </w:r>
      <w:r w:rsidRPr="00FB4CE7">
        <w:rPr>
          <w:rFonts w:ascii="Segoe UI" w:hAnsi="Segoe UI" w:cs="Segoe UI" w:hint="eastAsia"/>
          <w:color w:val="000000"/>
        </w:rPr>
        <w:t>Linux</w:t>
      </w:r>
      <w:r w:rsidRPr="00FB4CE7">
        <w:rPr>
          <w:rFonts w:ascii="Segoe UI" w:hAnsi="Segoe UI" w:cs="Segoe UI" w:hint="eastAsia"/>
          <w:color w:val="000000"/>
        </w:rPr>
        <w:t>代理模块，实现对</w:t>
      </w:r>
      <w:r w:rsidRPr="00FB4CE7">
        <w:rPr>
          <w:rFonts w:ascii="Segoe UI" w:hAnsi="Segoe UI" w:cs="Segoe UI" w:hint="eastAsia"/>
          <w:color w:val="000000"/>
        </w:rPr>
        <w:t>RedHat8.9</w:t>
      </w:r>
      <w:r w:rsidRPr="00FB4CE7">
        <w:rPr>
          <w:rFonts w:ascii="Segoe UI" w:hAnsi="Segoe UI" w:cs="Segoe UI" w:hint="eastAsia"/>
          <w:color w:val="000000"/>
        </w:rPr>
        <w:t>操作系统全栈资源的保护。该模块支持</w:t>
      </w:r>
      <w:r w:rsidRPr="00FB4CE7">
        <w:rPr>
          <w:rFonts w:ascii="Segoe UI" w:hAnsi="Segoe UI" w:cs="Segoe UI" w:hint="eastAsia"/>
          <w:color w:val="000000"/>
        </w:rPr>
        <w:t>EXT4</w:t>
      </w:r>
      <w:r w:rsidRPr="00FB4CE7">
        <w:rPr>
          <w:rFonts w:ascii="Segoe UI" w:hAnsi="Segoe UI" w:cs="Segoe UI" w:hint="eastAsia"/>
          <w:color w:val="000000"/>
        </w:rPr>
        <w:t>文件系统的块级增量备份，借助</w:t>
      </w:r>
      <w:r w:rsidRPr="00FB4CE7">
        <w:rPr>
          <w:rFonts w:ascii="Segoe UI" w:hAnsi="Segoe UI" w:cs="Segoe UI" w:hint="eastAsia"/>
          <w:color w:val="000000"/>
        </w:rPr>
        <w:t>Linux</w:t>
      </w:r>
      <w:r w:rsidRPr="00FB4CE7">
        <w:rPr>
          <w:rFonts w:ascii="Segoe UI" w:hAnsi="Segoe UI" w:cs="Segoe UI" w:hint="eastAsia"/>
          <w:color w:val="000000"/>
        </w:rPr>
        <w:t>内核的块变化追踪技术（如</w:t>
      </w:r>
      <w:r w:rsidRPr="00FB4CE7">
        <w:rPr>
          <w:rFonts w:ascii="Segoe UI" w:hAnsi="Segoe UI" w:cs="Segoe UI" w:hint="eastAsia"/>
          <w:color w:val="000000"/>
        </w:rPr>
        <w:t>BCC</w:t>
      </w:r>
      <w:r w:rsidRPr="00FB4CE7">
        <w:rPr>
          <w:rFonts w:ascii="Segoe UI" w:hAnsi="Segoe UI" w:cs="Segoe UI" w:hint="eastAsia"/>
          <w:color w:val="000000"/>
        </w:rPr>
        <w:t>工具），首次全量备份后仅传输变更数据块，每日备份窗口可缩短至传统方案的</w:t>
      </w:r>
      <w:r w:rsidRPr="00FB4CE7">
        <w:rPr>
          <w:rFonts w:ascii="Segoe UI" w:hAnsi="Segoe UI" w:cs="Segoe UI" w:hint="eastAsia"/>
          <w:color w:val="000000"/>
        </w:rPr>
        <w:t>1/5</w:t>
      </w:r>
      <w:r w:rsidRPr="00FB4CE7">
        <w:rPr>
          <w:rFonts w:ascii="Segoe UI" w:hAnsi="Segoe UI" w:cs="Segoe UI" w:hint="eastAsia"/>
          <w:color w:val="000000"/>
        </w:rPr>
        <w:t>。对于系统中的关键应用（如</w:t>
      </w:r>
      <w:r w:rsidRPr="00FB4CE7">
        <w:rPr>
          <w:rFonts w:ascii="Segoe UI" w:hAnsi="Segoe UI" w:cs="Segoe UI" w:hint="eastAsia"/>
          <w:color w:val="000000"/>
        </w:rPr>
        <w:t>OA</w:t>
      </w:r>
      <w:r w:rsidRPr="00FB4CE7">
        <w:rPr>
          <w:rFonts w:ascii="Segoe UI" w:hAnsi="Segoe UI" w:cs="Segoe UI" w:hint="eastAsia"/>
          <w:color w:val="000000"/>
        </w:rPr>
        <w:t>服务器、邮件服务器），方案采用“系统镜像</w:t>
      </w:r>
      <w:r w:rsidRPr="00FB4CE7">
        <w:rPr>
          <w:rFonts w:ascii="Segoe UI" w:hAnsi="Segoe UI" w:cs="Segoe UI" w:hint="eastAsia"/>
          <w:color w:val="000000"/>
        </w:rPr>
        <w:t>+</w:t>
      </w:r>
      <w:r w:rsidRPr="00FB4CE7">
        <w:rPr>
          <w:rFonts w:ascii="Segoe UI" w:hAnsi="Segoe UI" w:cs="Segoe UI" w:hint="eastAsia"/>
          <w:color w:val="000000"/>
        </w:rPr>
        <w:t>应用数据”的组合备份策略：通过</w:t>
      </w:r>
      <w:r w:rsidRPr="00FB4CE7">
        <w:rPr>
          <w:rFonts w:ascii="Segoe UI" w:hAnsi="Segoe UI" w:cs="Segoe UI" w:hint="eastAsia"/>
          <w:color w:val="000000"/>
        </w:rPr>
        <w:t>LVM</w:t>
      </w:r>
      <w:r w:rsidRPr="00FB4CE7">
        <w:rPr>
          <w:rFonts w:ascii="Segoe UI" w:hAnsi="Segoe UI" w:cs="Segoe UI" w:hint="eastAsia"/>
          <w:color w:val="000000"/>
        </w:rPr>
        <w:t>快照技术捕获</w:t>
      </w:r>
      <w:r w:rsidRPr="00FB4CE7">
        <w:rPr>
          <w:rFonts w:ascii="Segoe UI" w:hAnsi="Segoe UI" w:cs="Segoe UI" w:hint="eastAsia"/>
          <w:color w:val="000000"/>
        </w:rPr>
        <w:t>RedHat</w:t>
      </w:r>
      <w:r w:rsidRPr="00FB4CE7">
        <w:rPr>
          <w:rFonts w:ascii="Segoe UI" w:hAnsi="Segoe UI" w:cs="Segoe UI" w:hint="eastAsia"/>
          <w:color w:val="000000"/>
        </w:rPr>
        <w:t>系统卷的一致性状态，同时针对</w:t>
      </w:r>
      <w:r w:rsidRPr="00FB4CE7">
        <w:rPr>
          <w:rFonts w:ascii="Segoe UI" w:hAnsi="Segoe UI" w:cs="Segoe UI" w:hint="eastAsia"/>
          <w:color w:val="000000"/>
        </w:rPr>
        <w:t>MySQL</w:t>
      </w:r>
      <w:r w:rsidRPr="00FB4CE7">
        <w:rPr>
          <w:rFonts w:ascii="Segoe UI" w:hAnsi="Segoe UI" w:cs="Segoe UI" w:hint="eastAsia"/>
          <w:color w:val="000000"/>
        </w:rPr>
        <w:t>、</w:t>
      </w:r>
      <w:r w:rsidRPr="00FB4CE7">
        <w:rPr>
          <w:rFonts w:ascii="Segoe UI" w:hAnsi="Segoe UI" w:cs="Segoe UI" w:hint="eastAsia"/>
          <w:color w:val="000000"/>
        </w:rPr>
        <w:t>PostgreSQL</w:t>
      </w:r>
      <w:r w:rsidRPr="00FB4CE7">
        <w:rPr>
          <w:rFonts w:ascii="Segoe UI" w:hAnsi="Segoe UI" w:cs="Segoe UI" w:hint="eastAsia"/>
          <w:color w:val="000000"/>
        </w:rPr>
        <w:t>等数据库应用执行应用感知备份，确保系统恢复时应用数据与配置的完整性。当</w:t>
      </w:r>
      <w:r w:rsidRPr="00FB4CE7">
        <w:rPr>
          <w:rFonts w:ascii="Segoe UI" w:hAnsi="Segoe UI" w:cs="Segoe UI" w:hint="eastAsia"/>
          <w:color w:val="000000"/>
        </w:rPr>
        <w:t>RedHat</w:t>
      </w:r>
      <w:r w:rsidRPr="00FB4CE7">
        <w:rPr>
          <w:rFonts w:ascii="Segoe UI" w:hAnsi="Segoe UI" w:cs="Segoe UI" w:hint="eastAsia"/>
          <w:color w:val="000000"/>
        </w:rPr>
        <w:t>系统遭遇故障时，可通过</w:t>
      </w:r>
      <w:r w:rsidRPr="00FB4CE7">
        <w:rPr>
          <w:rFonts w:ascii="Segoe UI" w:hAnsi="Segoe UI" w:cs="Segoe UI" w:hint="eastAsia"/>
          <w:color w:val="000000"/>
        </w:rPr>
        <w:t>P2V</w:t>
      </w:r>
      <w:r w:rsidRPr="00FB4CE7">
        <w:rPr>
          <w:rFonts w:ascii="Segoe UI" w:hAnsi="Segoe UI" w:cs="Segoe UI" w:hint="eastAsia"/>
          <w:color w:val="000000"/>
        </w:rPr>
        <w:t>（物理到虚拟）或</w:t>
      </w:r>
      <w:r w:rsidRPr="00FB4CE7">
        <w:rPr>
          <w:rFonts w:ascii="Segoe UI" w:hAnsi="Segoe UI" w:cs="Segoe UI" w:hint="eastAsia"/>
          <w:color w:val="000000"/>
        </w:rPr>
        <w:t>V2V</w:t>
      </w:r>
      <w:r w:rsidRPr="00FB4CE7">
        <w:rPr>
          <w:rFonts w:ascii="Segoe UI" w:hAnsi="Segoe UI" w:cs="Segoe UI" w:hint="eastAsia"/>
          <w:color w:val="000000"/>
        </w:rPr>
        <w:t>（虚拟到虚拟）迁移技术，将备份的系统镜像快速恢复至物理服务器或虚拟机，配合</w:t>
      </w:r>
      <w:r w:rsidRPr="00FB4CE7">
        <w:rPr>
          <w:rFonts w:ascii="Segoe UI" w:hAnsi="Segoe UI" w:cs="Segoe UI" w:hint="eastAsia"/>
          <w:color w:val="000000"/>
        </w:rPr>
        <w:t>kickstart</w:t>
      </w:r>
      <w:r w:rsidRPr="00FB4CE7">
        <w:rPr>
          <w:rFonts w:ascii="Segoe UI" w:hAnsi="Segoe UI" w:cs="Segoe UI" w:hint="eastAsia"/>
          <w:color w:val="000000"/>
        </w:rPr>
        <w:t>自动化部署工具，实现</w:t>
      </w:r>
      <w:r w:rsidRPr="00FB4CE7">
        <w:rPr>
          <w:rFonts w:ascii="Segoe UI" w:hAnsi="Segoe UI" w:cs="Segoe UI" w:hint="eastAsia"/>
          <w:color w:val="000000"/>
        </w:rPr>
        <w:t>RedHat</w:t>
      </w:r>
      <w:r w:rsidRPr="00FB4CE7">
        <w:rPr>
          <w:rFonts w:ascii="Segoe UI" w:hAnsi="Segoe UI" w:cs="Segoe UI" w:hint="eastAsia"/>
          <w:color w:val="000000"/>
        </w:rPr>
        <w:t>系统与应用的分钟级重建，满足业务对系统恢复时效性的</w:t>
      </w:r>
      <w:r w:rsidR="006C6F6D" w:rsidRPr="006C6F6D">
        <w:rPr>
          <w:rFonts w:ascii="Segoe UI" w:hAnsi="Segoe UI" w:cs="Segoe UI" w:hint="eastAsia"/>
          <w:b/>
          <w:color w:val="000000"/>
        </w:rPr>
        <w:t>招标文件要求</w:t>
      </w:r>
      <w:r w:rsidRPr="00FB4CE7">
        <w:rPr>
          <w:rFonts w:ascii="Segoe UI" w:hAnsi="Segoe UI" w:cs="Segoe UI" w:hint="eastAsia"/>
          <w:color w:val="000000"/>
        </w:rPr>
        <w:t>。</w:t>
      </w:r>
    </w:p>
    <w:p w14:paraId="62D51EB7" w14:textId="7BFE5247"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虚拟化平台容灾方案覆盖</w:t>
      </w:r>
      <w:r w:rsidRPr="00FB4CE7">
        <w:rPr>
          <w:rFonts w:ascii="Segoe UI" w:hAnsi="Segoe UI" w:cs="Segoe UI" w:hint="eastAsia"/>
          <w:color w:val="000000"/>
        </w:rPr>
        <w:t>VMware</w:t>
      </w:r>
      <w:r w:rsidRPr="00FB4CE7">
        <w:rPr>
          <w:rFonts w:ascii="Segoe UI" w:hAnsi="Segoe UI" w:cs="Segoe UI" w:hint="eastAsia"/>
          <w:color w:val="000000"/>
        </w:rPr>
        <w:t>、</w:t>
      </w:r>
      <w:r w:rsidRPr="00FB4CE7">
        <w:rPr>
          <w:rFonts w:ascii="Segoe UI" w:hAnsi="Segoe UI" w:cs="Segoe UI" w:hint="eastAsia"/>
          <w:color w:val="000000"/>
        </w:rPr>
        <w:t>KVM</w:t>
      </w:r>
      <w:r w:rsidRPr="00FB4CE7">
        <w:rPr>
          <w:rFonts w:ascii="Segoe UI" w:hAnsi="Segoe UI" w:cs="Segoe UI" w:hint="eastAsia"/>
          <w:color w:val="000000"/>
        </w:rPr>
        <w:t>等主流虚拟化环境，采用基于</w:t>
      </w:r>
      <w:r w:rsidRPr="00FB4CE7">
        <w:rPr>
          <w:rFonts w:ascii="Segoe UI" w:hAnsi="Segoe UI" w:cs="Segoe UI" w:hint="eastAsia"/>
          <w:color w:val="000000"/>
        </w:rPr>
        <w:t>Hypervisor</w:t>
      </w:r>
      <w:r w:rsidRPr="00FB4CE7">
        <w:rPr>
          <w:rFonts w:ascii="Segoe UI" w:hAnsi="Segoe UI" w:cs="Segoe UI" w:hint="eastAsia"/>
          <w:color w:val="000000"/>
        </w:rPr>
        <w:t>的原生保护技术提升容灾效率。对于</w:t>
      </w:r>
      <w:proofErr w:type="spellStart"/>
      <w:r w:rsidRPr="00FB4CE7">
        <w:rPr>
          <w:rFonts w:ascii="Segoe UI" w:hAnsi="Segoe UI" w:cs="Segoe UI" w:hint="eastAsia"/>
          <w:color w:val="000000"/>
        </w:rPr>
        <w:t>VMwarevSphere</w:t>
      </w:r>
      <w:proofErr w:type="spellEnd"/>
      <w:r w:rsidRPr="00FB4CE7">
        <w:rPr>
          <w:rFonts w:ascii="Segoe UI" w:hAnsi="Segoe UI" w:cs="Segoe UI" w:hint="eastAsia"/>
          <w:color w:val="000000"/>
        </w:rPr>
        <w:t>平台，华为方案利用</w:t>
      </w:r>
      <w:proofErr w:type="spellStart"/>
      <w:r w:rsidRPr="00FB4CE7">
        <w:rPr>
          <w:rFonts w:ascii="Segoe UI" w:hAnsi="Segoe UI" w:cs="Segoe UI" w:hint="eastAsia"/>
          <w:color w:val="000000"/>
        </w:rPr>
        <w:t>vStorageAPI</w:t>
      </w:r>
      <w:proofErr w:type="spellEnd"/>
      <w:r w:rsidRPr="00FB4CE7">
        <w:rPr>
          <w:rFonts w:ascii="Segoe UI" w:hAnsi="Segoe UI" w:cs="Segoe UI" w:hint="eastAsia"/>
          <w:color w:val="000000"/>
        </w:rPr>
        <w:t>接口与</w:t>
      </w:r>
      <w:r w:rsidRPr="00FB4CE7">
        <w:rPr>
          <w:rFonts w:ascii="Segoe UI" w:hAnsi="Segoe UI" w:cs="Segoe UI" w:hint="eastAsia"/>
          <w:color w:val="000000"/>
        </w:rPr>
        <w:t>CBT</w:t>
      </w:r>
      <w:r w:rsidRPr="00FB4CE7">
        <w:rPr>
          <w:rFonts w:ascii="Segoe UI" w:hAnsi="Segoe UI" w:cs="Segoe UI" w:hint="eastAsia"/>
          <w:color w:val="000000"/>
        </w:rPr>
        <w:t>（更改块跟踪）技术，实现虚拟机的永远增量备份，每次备份仅传输虚拟机磁盘的变更块，结合内存快照技术捕获虚拟机运行状态，确保恢复时虚拟机的一致性。针对</w:t>
      </w:r>
      <w:r w:rsidRPr="00FB4CE7">
        <w:rPr>
          <w:rFonts w:ascii="Segoe UI" w:hAnsi="Segoe UI" w:cs="Segoe UI" w:hint="eastAsia"/>
          <w:color w:val="000000"/>
        </w:rPr>
        <w:t>KVM</w:t>
      </w:r>
      <w:r w:rsidRPr="00FB4CE7">
        <w:rPr>
          <w:rFonts w:ascii="Segoe UI" w:hAnsi="Segoe UI" w:cs="Segoe UI" w:hint="eastAsia"/>
          <w:color w:val="000000"/>
        </w:rPr>
        <w:t>虚拟化环境，通过</w:t>
      </w:r>
      <w:proofErr w:type="spellStart"/>
      <w:r w:rsidRPr="00FB4CE7">
        <w:rPr>
          <w:rFonts w:ascii="Segoe UI" w:hAnsi="Segoe UI" w:cs="Segoe UI" w:hint="eastAsia"/>
          <w:color w:val="000000"/>
        </w:rPr>
        <w:t>libvirt</w:t>
      </w:r>
      <w:proofErr w:type="spellEnd"/>
      <w:r w:rsidRPr="00FB4CE7">
        <w:rPr>
          <w:rFonts w:ascii="Segoe UI" w:hAnsi="Segoe UI" w:cs="Segoe UI" w:hint="eastAsia"/>
          <w:color w:val="000000"/>
        </w:rPr>
        <w:t>接口与</w:t>
      </w:r>
      <w:r w:rsidRPr="00FB4CE7">
        <w:rPr>
          <w:rFonts w:ascii="Segoe UI" w:hAnsi="Segoe UI" w:cs="Segoe UI" w:hint="eastAsia"/>
          <w:color w:val="000000"/>
        </w:rPr>
        <w:t>QEMU</w:t>
      </w:r>
      <w:r w:rsidRPr="00FB4CE7">
        <w:rPr>
          <w:rFonts w:ascii="Segoe UI" w:hAnsi="Segoe UI" w:cs="Segoe UI" w:hint="eastAsia"/>
          <w:color w:val="000000"/>
        </w:rPr>
        <w:t>驱动集成，支持基于扇区的增量备份与快速克隆，虚拟机恢复时间可控制在</w:t>
      </w:r>
      <w:r w:rsidRPr="00FB4CE7">
        <w:rPr>
          <w:rFonts w:ascii="Segoe UI" w:hAnsi="Segoe UI" w:cs="Segoe UI" w:hint="eastAsia"/>
          <w:color w:val="000000"/>
        </w:rPr>
        <w:t>10</w:t>
      </w:r>
      <w:r w:rsidRPr="00FB4CE7">
        <w:rPr>
          <w:rFonts w:ascii="Segoe UI" w:hAnsi="Segoe UI" w:cs="Segoe UI" w:hint="eastAsia"/>
          <w:color w:val="000000"/>
        </w:rPr>
        <w:t>秒以内。在虚拟化容灾架构上，采用“本地备份</w:t>
      </w:r>
      <w:r w:rsidRPr="00FB4CE7">
        <w:rPr>
          <w:rFonts w:ascii="Segoe UI" w:hAnsi="Segoe UI" w:cs="Segoe UI" w:hint="eastAsia"/>
          <w:color w:val="000000"/>
        </w:rPr>
        <w:t>+</w:t>
      </w:r>
      <w:r w:rsidRPr="00FB4CE7">
        <w:rPr>
          <w:rFonts w:ascii="Segoe UI" w:hAnsi="Segoe UI" w:cs="Segoe UI" w:hint="eastAsia"/>
          <w:color w:val="000000"/>
        </w:rPr>
        <w:t>异地复制”模式：</w:t>
      </w:r>
      <w:r w:rsidRPr="00FB4CE7">
        <w:rPr>
          <w:rFonts w:ascii="Segoe UI" w:hAnsi="Segoe UI" w:cs="Segoe UI" w:hint="eastAsia"/>
          <w:color w:val="000000"/>
        </w:rPr>
        <w:t>NCS</w:t>
      </w:r>
      <w:r w:rsidRPr="00FB4CE7">
        <w:rPr>
          <w:rFonts w:ascii="Segoe UI" w:hAnsi="Segoe UI" w:cs="Segoe UI" w:hint="eastAsia"/>
          <w:color w:val="000000"/>
        </w:rPr>
        <w:t>与</w:t>
      </w:r>
      <w:r w:rsidR="00152F2A">
        <w:rPr>
          <w:rFonts w:ascii="Segoe UI" w:hAnsi="Segoe UI" w:cs="Segoe UI" w:hint="eastAsia"/>
          <w:color w:val="000000"/>
        </w:rPr>
        <w:t>A380</w:t>
      </w:r>
      <w:r w:rsidRPr="00FB4CE7">
        <w:rPr>
          <w:rFonts w:ascii="Segoe UI" w:hAnsi="Segoe UI" w:cs="Segoe UI" w:hint="eastAsia"/>
          <w:color w:val="000000"/>
        </w:rPr>
        <w:t>机房的虚拟化集群备份数据通过</w:t>
      </w:r>
      <w:r w:rsidRPr="00FB4CE7">
        <w:rPr>
          <w:rFonts w:ascii="Segoe UI" w:hAnsi="Segoe UI" w:cs="Segoe UI" w:hint="eastAsia"/>
          <w:color w:val="000000"/>
        </w:rPr>
        <w:t>IP</w:t>
      </w:r>
      <w:r w:rsidRPr="00FB4CE7">
        <w:rPr>
          <w:rFonts w:ascii="Segoe UI" w:hAnsi="Segoe UI" w:cs="Segoe UI" w:hint="eastAsia"/>
          <w:color w:val="000000"/>
        </w:rPr>
        <w:t>专线实时同步至华为云灾备中心，当本地虚拟化平台故障时，可在云端利用备份数据快速拉起虚拟机集群，通过华为云的弹性资源池</w:t>
      </w:r>
      <w:r w:rsidRPr="00FB4CE7">
        <w:rPr>
          <w:rFonts w:ascii="Segoe UI" w:hAnsi="Segoe UI" w:cs="Segoe UI" w:hint="eastAsia"/>
          <w:color w:val="000000"/>
        </w:rPr>
        <w:lastRenderedPageBreak/>
        <w:t>实现业务的无缝迁移。此外，方案支持虚拟化平台的自动化容灾演练，定期在隔离环境中启动备份虚拟机并执行健康检查，验证虚拟化容灾的有效性，避免传统手动演练的耗时与风险。</w:t>
      </w:r>
    </w:p>
    <w:p w14:paraId="43E58938" w14:textId="1C3A4B2A"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跨云数据同步机制构建了本地数据中心与华为云灾备中心的双向同步通道，实现混合云环境下的数据一致性管理。华为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备份一体机通过专线与华为云存储服务对接，采用基于</w:t>
      </w:r>
      <w:r w:rsidRPr="00FB4CE7">
        <w:rPr>
          <w:rFonts w:ascii="Segoe UI" w:hAnsi="Segoe UI" w:cs="Segoe UI" w:hint="eastAsia"/>
          <w:color w:val="000000"/>
        </w:rPr>
        <w:t>CDM</w:t>
      </w:r>
      <w:r w:rsidRPr="00FB4CE7">
        <w:rPr>
          <w:rFonts w:ascii="Segoe UI" w:hAnsi="Segoe UI" w:cs="Segoe UI" w:hint="eastAsia"/>
          <w:color w:val="000000"/>
        </w:rPr>
        <w:t>技术的增量同步模式：本地备份的</w:t>
      </w:r>
      <w:r w:rsidRPr="00FB4CE7">
        <w:rPr>
          <w:rFonts w:ascii="Segoe UI" w:hAnsi="Segoe UI" w:cs="Segoe UI" w:hint="eastAsia"/>
          <w:color w:val="000000"/>
        </w:rPr>
        <w:t>RedHat</w:t>
      </w:r>
      <w:r w:rsidRPr="00FB4CE7">
        <w:rPr>
          <w:rFonts w:ascii="Segoe UI" w:hAnsi="Segoe UI" w:cs="Segoe UI" w:hint="eastAsia"/>
          <w:color w:val="000000"/>
        </w:rPr>
        <w:t>系统镜像、虚拟化虚拟机及数据库增量数据，通过块级差异比对后仅传输变化部分至云端，同步过程中利用数据压缩与加密技术降低带宽占用并保障数据安全。对于</w:t>
      </w:r>
      <w:r w:rsidRPr="00FB4CE7">
        <w:rPr>
          <w:rFonts w:ascii="Segoe UI" w:hAnsi="Segoe UI" w:cs="Segoe UI" w:hint="eastAsia"/>
          <w:color w:val="000000"/>
        </w:rPr>
        <w:t>Oracle19C</w:t>
      </w:r>
      <w:r w:rsidRPr="00FB4CE7">
        <w:rPr>
          <w:rFonts w:ascii="Segoe UI" w:hAnsi="Segoe UI" w:cs="Segoe UI" w:hint="eastAsia"/>
          <w:color w:val="000000"/>
        </w:rPr>
        <w:t>与</w:t>
      </w:r>
      <w:r w:rsidR="009D6E2A">
        <w:rPr>
          <w:rFonts w:ascii="Segoe UI" w:hAnsi="Segoe UI" w:cs="Segoe UI" w:hint="eastAsia"/>
          <w:color w:val="000000"/>
        </w:rPr>
        <w:t>SAPHANA</w:t>
      </w:r>
      <w:r w:rsidRPr="00FB4CE7">
        <w:rPr>
          <w:rFonts w:ascii="Segoe UI" w:hAnsi="Segoe UI" w:cs="Segoe UI" w:hint="eastAsia"/>
          <w:color w:val="000000"/>
        </w:rPr>
        <w:t>等核心业务数据，支持基于事务日志的实时同步，确保云端备份副本与本地生产数据的</w:t>
      </w:r>
      <w:r w:rsidRPr="00FB4CE7">
        <w:rPr>
          <w:rFonts w:ascii="Segoe UI" w:hAnsi="Segoe UI" w:cs="Segoe UI" w:hint="eastAsia"/>
          <w:color w:val="000000"/>
        </w:rPr>
        <w:t>RPO</w:t>
      </w:r>
      <w:r w:rsidRPr="00FB4CE7">
        <w:rPr>
          <w:rFonts w:ascii="Segoe UI" w:hAnsi="Segoe UI" w:cs="Segoe UI" w:hint="eastAsia"/>
          <w:color w:val="000000"/>
        </w:rPr>
        <w:t>（恢复点目标）控制在分钟级以内。跨云同步还支持双向数据流动，当本地系统恢复后，可将云端在灾备期间产生的增量数据反向同步至本地，避免数据丢失。通过华为云管理平台与本地</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的统一编排，跨云数据同步策略可实现自动化调度，例如设定非业务高峰期执行大文件同步，保障生产网络带宽不受影响，同时提供同步状态监控面板，实时显示数据传输进度、带宽利用率及异常告警，确保混合云环境下的容灾体系高效运行。</w:t>
      </w:r>
    </w:p>
    <w:p w14:paraId="57CDFC97" w14:textId="4550409F" w:rsidR="00731408" w:rsidRPr="00731408" w:rsidRDefault="00731408" w:rsidP="00731408">
      <w:pPr>
        <w:pStyle w:val="4"/>
        <w:rPr>
          <w:rFonts w:hint="eastAsia"/>
        </w:rPr>
      </w:pPr>
      <w:r w:rsidRPr="00731408">
        <w:t>华为管理平台方案</w:t>
      </w:r>
    </w:p>
    <w:p w14:paraId="145FFF21" w14:textId="77777777" w:rsidR="00731408" w:rsidRPr="00731408" w:rsidRDefault="00731408" w:rsidP="00731408">
      <w:pPr>
        <w:pStyle w:val="5"/>
        <w:rPr>
          <w:rFonts w:hint="eastAsia"/>
        </w:rPr>
      </w:pPr>
      <w:r w:rsidRPr="00731408">
        <w:t>统一管理架构</w:t>
      </w:r>
    </w:p>
    <w:p w14:paraId="2BC33F06" w14:textId="04283F4E"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华为管理平台的统一管理架构以</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管理平台为核心，构建了覆盖本地与云端的跨云容灾集中监控体系，实现对混合云环境下备份资源、任务及状态的一体化管理。</w:t>
      </w:r>
    </w:p>
    <w:p w14:paraId="7C558B90" w14:textId="40D779F0"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管理平台作为架构核心，集成了备份策略管理、资源调度、数据可视化等关键功能模块。在策略管理方面，平台支持对</w:t>
      </w:r>
      <w:r w:rsidRPr="00FB4CE7">
        <w:rPr>
          <w:rFonts w:ascii="Segoe UI" w:hAnsi="Segoe UI" w:cs="Segoe UI" w:hint="eastAsia"/>
          <w:color w:val="000000"/>
        </w:rPr>
        <w:t>NCS</w:t>
      </w:r>
      <w:r w:rsidRPr="00FB4CE7">
        <w:rPr>
          <w:rFonts w:ascii="Segoe UI" w:hAnsi="Segoe UI" w:cs="Segoe UI" w:hint="eastAsia"/>
          <w:color w:val="000000"/>
        </w:rPr>
        <w:t>数据中心、</w:t>
      </w:r>
      <w:r w:rsidR="00152F2A">
        <w:rPr>
          <w:rFonts w:ascii="Segoe UI" w:hAnsi="Segoe UI" w:cs="Segoe UI" w:hint="eastAsia"/>
          <w:color w:val="000000"/>
        </w:rPr>
        <w:t>A380</w:t>
      </w:r>
      <w:r w:rsidRPr="00FB4CE7">
        <w:rPr>
          <w:rFonts w:ascii="Segoe UI" w:hAnsi="Segoe UI" w:cs="Segoe UI" w:hint="eastAsia"/>
          <w:color w:val="000000"/>
        </w:rPr>
        <w:t>机房及</w:t>
      </w:r>
      <w:r w:rsidRPr="00FB4CE7">
        <w:rPr>
          <w:rFonts w:ascii="Segoe UI" w:hAnsi="Segoe UI" w:cs="Segoe UI" w:hint="eastAsia"/>
          <w:color w:val="000000"/>
        </w:rPr>
        <w:t>OBV</w:t>
      </w:r>
      <w:r w:rsidRPr="00FB4CE7">
        <w:rPr>
          <w:rFonts w:ascii="Segoe UI" w:hAnsi="Segoe UI" w:cs="Segoe UI" w:hint="eastAsia"/>
          <w:color w:val="000000"/>
        </w:rPr>
        <w:t>机房的备份任务进行统一编排，可针对</w:t>
      </w:r>
      <w:r w:rsidRPr="00FB4CE7">
        <w:rPr>
          <w:rFonts w:ascii="Segoe UI" w:hAnsi="Segoe UI" w:cs="Segoe UI" w:hint="eastAsia"/>
          <w:color w:val="000000"/>
        </w:rPr>
        <w:t>Oracle19C</w:t>
      </w:r>
      <w:r w:rsidRPr="00FB4CE7">
        <w:rPr>
          <w:rFonts w:ascii="Segoe UI" w:hAnsi="Segoe UI" w:cs="Segoe UI" w:hint="eastAsia"/>
          <w:color w:val="000000"/>
        </w:rPr>
        <w:t>、</w:t>
      </w:r>
      <w:r w:rsidR="009D6E2A">
        <w:rPr>
          <w:rFonts w:ascii="Segoe UI" w:hAnsi="Segoe UI" w:cs="Segoe UI" w:hint="eastAsia"/>
          <w:color w:val="000000"/>
        </w:rPr>
        <w:t>SAPHANA</w:t>
      </w:r>
      <w:r w:rsidRPr="00FB4CE7">
        <w:rPr>
          <w:rFonts w:ascii="Segoe UI" w:hAnsi="Segoe UI" w:cs="Segoe UI" w:hint="eastAsia"/>
          <w:color w:val="000000"/>
        </w:rPr>
        <w:t>、</w:t>
      </w:r>
      <w:r w:rsidRPr="00FB4CE7">
        <w:rPr>
          <w:rFonts w:ascii="Segoe UI" w:hAnsi="Segoe UI" w:cs="Segoe UI" w:hint="eastAsia"/>
          <w:color w:val="000000"/>
        </w:rPr>
        <w:t>RedHat8.9</w:t>
      </w:r>
      <w:r w:rsidRPr="00FB4CE7">
        <w:rPr>
          <w:rFonts w:ascii="Segoe UI" w:hAnsi="Segoe UI" w:cs="Segoe UI" w:hint="eastAsia"/>
          <w:color w:val="000000"/>
        </w:rPr>
        <w:t>系统等不同业务类型自定义备份周期、保留策略及增量规则，例如为</w:t>
      </w:r>
      <w:r w:rsidRPr="00FB4CE7">
        <w:rPr>
          <w:rFonts w:ascii="Segoe UI" w:hAnsi="Segoe UI" w:cs="Segoe UI" w:hint="eastAsia"/>
          <w:color w:val="000000"/>
        </w:rPr>
        <w:t>Oracle</w:t>
      </w:r>
      <w:r w:rsidRPr="00FB4CE7">
        <w:rPr>
          <w:rFonts w:ascii="Segoe UI" w:hAnsi="Segoe UI" w:cs="Segoe UI" w:hint="eastAsia"/>
          <w:color w:val="000000"/>
        </w:rPr>
        <w:t>数据库设置每日增量备份与每周全量备份，同时将策略自动同步至各机房的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确保跨区域策略的一致性。资源调度功能则实现对备份服务器、存储池、网络带宽等资源的动态分配，当某一机房备份任务并发量较高时，平台自动调整资源配额，优先保障核心业务的备份效率，避免资源冲突。此外，平台提供开放</w:t>
      </w:r>
      <w:r w:rsidRPr="00FB4CE7">
        <w:rPr>
          <w:rFonts w:ascii="Segoe UI" w:hAnsi="Segoe UI" w:cs="Segoe UI" w:hint="eastAsia"/>
          <w:color w:val="000000"/>
        </w:rPr>
        <w:t>API</w:t>
      </w:r>
      <w:r w:rsidRPr="00FB4CE7">
        <w:rPr>
          <w:rFonts w:ascii="Segoe UI" w:hAnsi="Segoe UI" w:cs="Segoe UI" w:hint="eastAsia"/>
          <w:color w:val="000000"/>
        </w:rPr>
        <w:t>接口，可与企业现有</w:t>
      </w:r>
      <w:r w:rsidRPr="00FB4CE7">
        <w:rPr>
          <w:rFonts w:ascii="Segoe UI" w:hAnsi="Segoe UI" w:cs="Segoe UI" w:hint="eastAsia"/>
          <w:color w:val="000000"/>
        </w:rPr>
        <w:t>IT</w:t>
      </w:r>
      <w:r w:rsidRPr="00FB4CE7">
        <w:rPr>
          <w:rFonts w:ascii="Segoe UI" w:hAnsi="Segoe UI" w:cs="Segoe UI" w:hint="eastAsia"/>
          <w:color w:val="000000"/>
        </w:rPr>
        <w:t>管理系统（如</w:t>
      </w:r>
      <w:r w:rsidRPr="00FB4CE7">
        <w:rPr>
          <w:rFonts w:ascii="Segoe UI" w:hAnsi="Segoe UI" w:cs="Segoe UI" w:hint="eastAsia"/>
          <w:color w:val="000000"/>
        </w:rPr>
        <w:t>ITSM</w:t>
      </w:r>
      <w:r w:rsidRPr="00FB4CE7">
        <w:rPr>
          <w:rFonts w:ascii="Segoe UI" w:hAnsi="Segoe UI" w:cs="Segoe UI" w:hint="eastAsia"/>
          <w:color w:val="000000"/>
        </w:rPr>
        <w:t>、监控平台）集成，实现备份管理流程的自动化与标准化。</w:t>
      </w:r>
    </w:p>
    <w:p w14:paraId="313171AD" w14:textId="7E8C7523"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跨云容灾集中监控通过融合本地与云端监控能力，形成统一的可视化管理界面。在本地端，</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平台实时采集各机房</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一体机的运行数据，包括备份任务成功率、数据流量、存储池利用率等指标，以拓扑图形式展示</w:t>
      </w:r>
      <w:r w:rsidRPr="00FB4CE7">
        <w:rPr>
          <w:rFonts w:ascii="Segoe UI" w:hAnsi="Segoe UI" w:cs="Segoe UI" w:hint="eastAsia"/>
          <w:color w:val="000000"/>
        </w:rPr>
        <w:t>NCS</w:t>
      </w:r>
      <w:r w:rsidRPr="00FB4CE7">
        <w:rPr>
          <w:rFonts w:ascii="Segoe UI" w:hAnsi="Segoe UI" w:cs="Segoe UI" w:hint="eastAsia"/>
          <w:color w:val="000000"/>
        </w:rPr>
        <w:t>、</w:t>
      </w:r>
      <w:r w:rsidR="00152F2A">
        <w:rPr>
          <w:rFonts w:ascii="Segoe UI" w:hAnsi="Segoe UI" w:cs="Segoe UI" w:hint="eastAsia"/>
          <w:color w:val="000000"/>
        </w:rPr>
        <w:t>A380</w:t>
      </w:r>
      <w:r w:rsidRPr="00FB4CE7">
        <w:rPr>
          <w:rFonts w:ascii="Segoe UI" w:hAnsi="Segoe UI" w:cs="Segoe UI" w:hint="eastAsia"/>
          <w:color w:val="000000"/>
        </w:rPr>
        <w:t>及</w:t>
      </w:r>
      <w:r w:rsidRPr="00FB4CE7">
        <w:rPr>
          <w:rFonts w:ascii="Segoe UI" w:hAnsi="Segoe UI" w:cs="Segoe UI" w:hint="eastAsia"/>
          <w:color w:val="000000"/>
        </w:rPr>
        <w:t>OBV</w:t>
      </w:r>
      <w:r w:rsidRPr="00FB4CE7">
        <w:rPr>
          <w:rFonts w:ascii="Segoe UI" w:hAnsi="Segoe UI" w:cs="Segoe UI" w:hint="eastAsia"/>
          <w:color w:val="000000"/>
        </w:rPr>
        <w:t>机房的备份架构连接状态，当</w:t>
      </w:r>
      <w:r w:rsidRPr="00FB4CE7">
        <w:rPr>
          <w:rFonts w:ascii="Segoe UI" w:hAnsi="Segoe UI" w:cs="Segoe UI" w:hint="eastAsia"/>
          <w:color w:val="000000"/>
        </w:rPr>
        <w:t>SAN</w:t>
      </w:r>
      <w:r w:rsidRPr="00FB4CE7">
        <w:rPr>
          <w:rFonts w:ascii="Segoe UI" w:hAnsi="Segoe UI" w:cs="Segoe UI" w:hint="eastAsia"/>
          <w:color w:val="000000"/>
        </w:rPr>
        <w:t>交换机或备份链路出现异常时，系统自动在拓扑图中高亮告警并推送通知。针对公有云灾备中心，平台通过华为云</w:t>
      </w:r>
      <w:r w:rsidRPr="00FB4CE7">
        <w:rPr>
          <w:rFonts w:ascii="Segoe UI" w:hAnsi="Segoe UI" w:cs="Segoe UI" w:hint="eastAsia"/>
          <w:color w:val="000000"/>
        </w:rPr>
        <w:t>API</w:t>
      </w:r>
      <w:r w:rsidRPr="00FB4CE7">
        <w:rPr>
          <w:rFonts w:ascii="Segoe UI" w:hAnsi="Segoe UI" w:cs="Segoe UI" w:hint="eastAsia"/>
          <w:color w:val="000000"/>
        </w:rPr>
        <w:t>获取云端存储资源使用情况、数据同步进度及容灾拉起状态，实现“本地</w:t>
      </w:r>
      <w:r w:rsidRPr="00FB4CE7">
        <w:rPr>
          <w:rFonts w:ascii="Segoe UI" w:hAnsi="Segoe UI" w:cs="Segoe UI" w:hint="eastAsia"/>
          <w:color w:val="000000"/>
        </w:rPr>
        <w:t>+</w:t>
      </w:r>
      <w:r w:rsidRPr="00FB4CE7">
        <w:rPr>
          <w:rFonts w:ascii="Segoe UI" w:hAnsi="Segoe UI" w:cs="Segoe UI" w:hint="eastAsia"/>
          <w:color w:val="000000"/>
        </w:rPr>
        <w:t>云端”的跨云监控闭环。监控界面支持自定义仪表盘，可将</w:t>
      </w:r>
      <w:r w:rsidRPr="00FB4CE7">
        <w:rPr>
          <w:rFonts w:ascii="Segoe UI" w:hAnsi="Segoe UI" w:cs="Segoe UI" w:hint="eastAsia"/>
          <w:color w:val="000000"/>
        </w:rPr>
        <w:t>Oracle</w:t>
      </w:r>
      <w:r w:rsidRPr="00FB4CE7">
        <w:rPr>
          <w:rFonts w:ascii="Segoe UI" w:hAnsi="Segoe UI" w:cs="Segoe UI" w:hint="eastAsia"/>
          <w:color w:val="000000"/>
        </w:rPr>
        <w:t>与</w:t>
      </w:r>
      <w:r w:rsidR="009D6E2A">
        <w:rPr>
          <w:rFonts w:ascii="Segoe UI" w:hAnsi="Segoe UI" w:cs="Segoe UI" w:hint="eastAsia"/>
          <w:color w:val="000000"/>
        </w:rPr>
        <w:t>SAPHANA</w:t>
      </w:r>
      <w:r w:rsidRPr="00FB4CE7">
        <w:rPr>
          <w:rFonts w:ascii="Segoe UI" w:hAnsi="Segoe UI" w:cs="Segoe UI" w:hint="eastAsia"/>
          <w:color w:val="000000"/>
        </w:rPr>
        <w:t>的备份恢复耗时、跨云同步延迟等关键指标生成可视化图表，便于运维人员快速掌握容灾体系健康状态。此外，平台内置智能分析引擎，基于历史数据建立备份任务基线，当检测到备份耗时突增或存储利用率异常时，自动触发根因分析，例如定位到某数据库增量数据陡增导致备份超时，并提供优化建议，提升跨云容灾管理的智能化水平。</w:t>
      </w:r>
    </w:p>
    <w:p w14:paraId="50E2C899" w14:textId="77777777" w:rsidR="00731408" w:rsidRPr="00731408" w:rsidRDefault="00731408" w:rsidP="00731408">
      <w:pPr>
        <w:pStyle w:val="5"/>
        <w:rPr>
          <w:rFonts w:hint="eastAsia"/>
        </w:rPr>
      </w:pPr>
      <w:r w:rsidRPr="00731408">
        <w:lastRenderedPageBreak/>
        <w:t>可视化运维系统</w:t>
      </w:r>
    </w:p>
    <w:p w14:paraId="041150EF" w14:textId="77777777"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华为管理平台的可视化运维系统以直观化、智能化为核心设计理念，通过实时状态监控面板与智能告警报表系统的深度融合，构建了覆盖混合云容灾全流程的可视化管理体系。</w:t>
      </w:r>
    </w:p>
    <w:p w14:paraId="275A90DB" w14:textId="7C3AF3BE"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实时状态监控面板采用交互式可视化设计，将</w:t>
      </w:r>
      <w:r w:rsidRPr="00FB4CE7">
        <w:rPr>
          <w:rFonts w:ascii="Segoe UI" w:hAnsi="Segoe UI" w:cs="Segoe UI" w:hint="eastAsia"/>
          <w:color w:val="000000"/>
        </w:rPr>
        <w:t>NCS</w:t>
      </w:r>
      <w:r w:rsidRPr="00FB4CE7">
        <w:rPr>
          <w:rFonts w:ascii="Segoe UI" w:hAnsi="Segoe UI" w:cs="Segoe UI" w:hint="eastAsia"/>
          <w:color w:val="000000"/>
        </w:rPr>
        <w:t>数据中心、</w:t>
      </w:r>
      <w:r w:rsidR="00152F2A">
        <w:rPr>
          <w:rFonts w:ascii="Segoe UI" w:hAnsi="Segoe UI" w:cs="Segoe UI" w:hint="eastAsia"/>
          <w:color w:val="000000"/>
        </w:rPr>
        <w:t>A380</w:t>
      </w:r>
      <w:r w:rsidRPr="00FB4CE7">
        <w:rPr>
          <w:rFonts w:ascii="Segoe UI" w:hAnsi="Segoe UI" w:cs="Segoe UI" w:hint="eastAsia"/>
          <w:color w:val="000000"/>
        </w:rPr>
        <w:t>机房及</w:t>
      </w:r>
      <w:r w:rsidRPr="00FB4CE7">
        <w:rPr>
          <w:rFonts w:ascii="Segoe UI" w:hAnsi="Segoe UI" w:cs="Segoe UI" w:hint="eastAsia"/>
          <w:color w:val="000000"/>
        </w:rPr>
        <w:t>OBV</w:t>
      </w:r>
      <w:r w:rsidRPr="00FB4CE7">
        <w:rPr>
          <w:rFonts w:ascii="Segoe UI" w:hAnsi="Segoe UI" w:cs="Segoe UI" w:hint="eastAsia"/>
          <w:color w:val="000000"/>
        </w:rPr>
        <w:t>机房的备份系统运行状态以拓扑图与仪表盘形式集中呈现。在拓扑图维度，系统动态展示各机房备份服务器、</w:t>
      </w:r>
      <w:r w:rsidRPr="00FB4CE7">
        <w:rPr>
          <w:rFonts w:ascii="Segoe UI" w:hAnsi="Segoe UI" w:cs="Segoe UI" w:hint="eastAsia"/>
          <w:color w:val="000000"/>
        </w:rPr>
        <w:t>SAN</w:t>
      </w:r>
      <w:r w:rsidRPr="00FB4CE7">
        <w:rPr>
          <w:rFonts w:ascii="Segoe UI" w:hAnsi="Segoe UI" w:cs="Segoe UI" w:hint="eastAsia"/>
          <w:color w:val="000000"/>
        </w:rPr>
        <w:t>交换机、磁带库及华为云灾备中心的连接关系，当某一节点（如</w:t>
      </w:r>
      <w:r w:rsidRPr="00FB4CE7">
        <w:rPr>
          <w:rFonts w:ascii="Segoe UI" w:hAnsi="Segoe UI" w:cs="Segoe UI" w:hint="eastAsia"/>
          <w:color w:val="000000"/>
        </w:rPr>
        <w:t>NCS</w:t>
      </w:r>
      <w:r w:rsidRPr="00FB4CE7">
        <w:rPr>
          <w:rFonts w:ascii="Segoe UI" w:hAnsi="Segoe UI" w:cs="Segoe UI" w:hint="eastAsia"/>
          <w:color w:val="000000"/>
        </w:rPr>
        <w:t>机房的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一体机）出现</w:t>
      </w:r>
      <w:r w:rsidRPr="00FB4CE7">
        <w:rPr>
          <w:rFonts w:ascii="Segoe UI" w:hAnsi="Segoe UI" w:cs="Segoe UI" w:hint="eastAsia"/>
          <w:color w:val="000000"/>
        </w:rPr>
        <w:t>CPU</w:t>
      </w:r>
      <w:r w:rsidRPr="00FB4CE7">
        <w:rPr>
          <w:rFonts w:ascii="Segoe UI" w:hAnsi="Segoe UI" w:cs="Segoe UI" w:hint="eastAsia"/>
          <w:color w:val="000000"/>
        </w:rPr>
        <w:t>过载或存储池空间不足时，拓扑图对应位置会实时高亮并标注异常类型，同时显示该节点的备份任务队列、当前数据吞吐量等实时参数。仪表盘维度则针对不同业务系统提供定制化监控视图：对于</w:t>
      </w:r>
      <w:r w:rsidRPr="00FB4CE7">
        <w:rPr>
          <w:rFonts w:ascii="Segoe UI" w:hAnsi="Segoe UI" w:cs="Segoe UI" w:hint="eastAsia"/>
          <w:color w:val="000000"/>
        </w:rPr>
        <w:t>Oracle19C</w:t>
      </w:r>
      <w:r w:rsidRPr="00FB4CE7">
        <w:rPr>
          <w:rFonts w:ascii="Segoe UI" w:hAnsi="Segoe UI" w:cs="Segoe UI" w:hint="eastAsia"/>
          <w:color w:val="000000"/>
        </w:rPr>
        <w:t>数据库，展示每日备份耗时、增量数据量、恢复验证成功率等指标；对于</w:t>
      </w:r>
      <w:r w:rsidR="009D6E2A">
        <w:rPr>
          <w:rFonts w:ascii="Segoe UI" w:hAnsi="Segoe UI" w:cs="Segoe UI" w:hint="eastAsia"/>
          <w:color w:val="000000"/>
        </w:rPr>
        <w:t>SAPHANA</w:t>
      </w:r>
      <w:r w:rsidRPr="00FB4CE7">
        <w:rPr>
          <w:rFonts w:ascii="Segoe UI" w:hAnsi="Segoe UI" w:cs="Segoe UI" w:hint="eastAsia"/>
          <w:color w:val="000000"/>
        </w:rPr>
        <w:t>系统，呈现日志备份频率、增量合成进度及容灾拉起延迟时间。监控面板还支持钻取功能，点击任一指标可下钻至详细数据列表，例如点击“备份失败率”可查看近</w:t>
      </w:r>
      <w:r w:rsidRPr="00FB4CE7">
        <w:rPr>
          <w:rFonts w:ascii="Segoe UI" w:hAnsi="Segoe UI" w:cs="Segoe UI" w:hint="eastAsia"/>
          <w:color w:val="000000"/>
        </w:rPr>
        <w:t>30</w:t>
      </w:r>
      <w:r w:rsidRPr="00FB4CE7">
        <w:rPr>
          <w:rFonts w:ascii="Segoe UI" w:hAnsi="Segoe UI" w:cs="Segoe UI" w:hint="eastAsia"/>
          <w:color w:val="000000"/>
        </w:rPr>
        <w:t>天失败任务的具体原因（如网络中断、权限不足）及影响范围，帮助运维人员快速定位问题。</w:t>
      </w:r>
    </w:p>
    <w:p w14:paraId="6DD07A3E" w14:textId="0633434C"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智能告警与报表系统通过自动化机制与数据建模提升运维效率。在告警层面，系统预设多级告警策略：针对影响业务连续性的关键事件（如</w:t>
      </w:r>
      <w:r w:rsidRPr="00FB4CE7">
        <w:rPr>
          <w:rFonts w:ascii="Segoe UI" w:hAnsi="Segoe UI" w:cs="Segoe UI" w:hint="eastAsia"/>
          <w:color w:val="000000"/>
        </w:rPr>
        <w:t>Oracle</w:t>
      </w:r>
      <w:r w:rsidRPr="00FB4CE7">
        <w:rPr>
          <w:rFonts w:ascii="Segoe UI" w:hAnsi="Segoe UI" w:cs="Segoe UI" w:hint="eastAsia"/>
          <w:color w:val="000000"/>
        </w:rPr>
        <w:t>数据库备份连续</w:t>
      </w:r>
      <w:r w:rsidRPr="00FB4CE7">
        <w:rPr>
          <w:rFonts w:ascii="Segoe UI" w:hAnsi="Segoe UI" w:cs="Segoe UI" w:hint="eastAsia"/>
          <w:color w:val="000000"/>
        </w:rPr>
        <w:t>3</w:t>
      </w:r>
      <w:r w:rsidRPr="00FB4CE7">
        <w:rPr>
          <w:rFonts w:ascii="Segoe UI" w:hAnsi="Segoe UI" w:cs="Segoe UI" w:hint="eastAsia"/>
          <w:color w:val="000000"/>
        </w:rPr>
        <w:t>次失败、跨云同步链路中断），通过短信、邮件及管理平台弹窗三重方式即时通知；对于性能异常等次要事件（如备份窗口超过阈值</w:t>
      </w:r>
      <w:r w:rsidRPr="00FB4CE7">
        <w:rPr>
          <w:rFonts w:ascii="Segoe UI" w:hAnsi="Segoe UI" w:cs="Segoe UI" w:hint="eastAsia"/>
          <w:color w:val="000000"/>
        </w:rPr>
        <w:t>20%</w:t>
      </w:r>
      <w:r w:rsidRPr="00FB4CE7">
        <w:rPr>
          <w:rFonts w:ascii="Segoe UI" w:hAnsi="Segoe UI" w:cs="Segoe UI" w:hint="eastAsia"/>
          <w:color w:val="000000"/>
        </w:rPr>
        <w:t>、存储池利用率达到</w:t>
      </w:r>
      <w:r w:rsidRPr="00FB4CE7">
        <w:rPr>
          <w:rFonts w:ascii="Segoe UI" w:hAnsi="Segoe UI" w:cs="Segoe UI" w:hint="eastAsia"/>
          <w:color w:val="000000"/>
        </w:rPr>
        <w:t>80%</w:t>
      </w:r>
      <w:r w:rsidRPr="00FB4CE7">
        <w:rPr>
          <w:rFonts w:ascii="Segoe UI" w:hAnsi="Segoe UI" w:cs="Segoe UI" w:hint="eastAsia"/>
          <w:color w:val="000000"/>
        </w:rPr>
        <w:t>），则在管理平台中标记并生成待处理工单。告警规则支持自定义配置，例如为</w:t>
      </w:r>
      <w:r w:rsidRPr="00FB4CE7">
        <w:rPr>
          <w:rFonts w:ascii="Segoe UI" w:hAnsi="Segoe UI" w:cs="Segoe UI" w:hint="eastAsia"/>
          <w:color w:val="000000"/>
        </w:rPr>
        <w:t>OBV</w:t>
      </w:r>
      <w:r w:rsidRPr="00FB4CE7">
        <w:rPr>
          <w:rFonts w:ascii="Segoe UI" w:hAnsi="Segoe UI" w:cs="Segoe UI" w:hint="eastAsia"/>
          <w:color w:val="000000"/>
        </w:rPr>
        <w:t>机房的隔离备份系统设置独立的告警阈值，避免误报。报表系统则基于预设模板与自定义需求生成多维度分析报告：周期性报表涵盖每周</w:t>
      </w:r>
      <w:r w:rsidRPr="00FB4CE7">
        <w:rPr>
          <w:rFonts w:ascii="Segoe UI" w:hAnsi="Segoe UI" w:cs="Segoe UI" w:hint="eastAsia"/>
          <w:color w:val="000000"/>
        </w:rPr>
        <w:t>/</w:t>
      </w:r>
      <w:r w:rsidRPr="00FB4CE7">
        <w:rPr>
          <w:rFonts w:ascii="Segoe UI" w:hAnsi="Segoe UI" w:cs="Segoe UI" w:hint="eastAsia"/>
          <w:color w:val="000000"/>
        </w:rPr>
        <w:t>月的备份任务统计（成功率、数据量、资源消耗）、容灾演练结果及存储资源趋势分析，以柱状图、折线图等形式直观展示；定制化报表可针对特定业务系统（如</w:t>
      </w:r>
      <w:r w:rsidR="009D6E2A">
        <w:rPr>
          <w:rFonts w:ascii="Segoe UI" w:hAnsi="Segoe UI" w:cs="Segoe UI" w:hint="eastAsia"/>
          <w:color w:val="000000"/>
        </w:rPr>
        <w:t>SAPHANA</w:t>
      </w:r>
      <w:r w:rsidRPr="00FB4CE7">
        <w:rPr>
          <w:rFonts w:ascii="Segoe UI" w:hAnsi="Segoe UI" w:cs="Segoe UI" w:hint="eastAsia"/>
          <w:color w:val="000000"/>
        </w:rPr>
        <w:t>）提取恢复时间（</w:t>
      </w:r>
      <w:r w:rsidRPr="00FB4CE7">
        <w:rPr>
          <w:rFonts w:ascii="Segoe UI" w:hAnsi="Segoe UI" w:cs="Segoe UI" w:hint="eastAsia"/>
          <w:color w:val="000000"/>
        </w:rPr>
        <w:t>RTO</w:t>
      </w:r>
      <w:r w:rsidRPr="00FB4CE7">
        <w:rPr>
          <w:rFonts w:ascii="Segoe UI" w:hAnsi="Segoe UI" w:cs="Segoe UI" w:hint="eastAsia"/>
          <w:color w:val="000000"/>
        </w:rPr>
        <w:t>）、恢复点（</w:t>
      </w:r>
      <w:r w:rsidRPr="00FB4CE7">
        <w:rPr>
          <w:rFonts w:ascii="Segoe UI" w:hAnsi="Segoe UI" w:cs="Segoe UI" w:hint="eastAsia"/>
          <w:color w:val="000000"/>
        </w:rPr>
        <w:t>RPO</w:t>
      </w:r>
      <w:r w:rsidRPr="00FB4CE7">
        <w:rPr>
          <w:rFonts w:ascii="Segoe UI" w:hAnsi="Segoe UI" w:cs="Segoe UI" w:hint="eastAsia"/>
          <w:color w:val="000000"/>
        </w:rPr>
        <w:t>）达成率等关键指标，支持导出</w:t>
      </w:r>
      <w:r w:rsidRPr="00FB4CE7">
        <w:rPr>
          <w:rFonts w:ascii="Segoe UI" w:hAnsi="Segoe UI" w:cs="Segoe UI" w:hint="eastAsia"/>
          <w:color w:val="000000"/>
        </w:rPr>
        <w:t>PDF</w:t>
      </w:r>
      <w:r w:rsidRPr="00FB4CE7">
        <w:rPr>
          <w:rFonts w:ascii="Segoe UI" w:hAnsi="Segoe UI" w:cs="Segoe UI" w:hint="eastAsia"/>
          <w:color w:val="000000"/>
        </w:rPr>
        <w:t>或</w:t>
      </w:r>
      <w:r w:rsidRPr="00FB4CE7">
        <w:rPr>
          <w:rFonts w:ascii="Segoe UI" w:hAnsi="Segoe UI" w:cs="Segoe UI" w:hint="eastAsia"/>
          <w:color w:val="000000"/>
        </w:rPr>
        <w:t>Excel</w:t>
      </w:r>
      <w:r w:rsidRPr="00FB4CE7">
        <w:rPr>
          <w:rFonts w:ascii="Segoe UI" w:hAnsi="Segoe UI" w:cs="Segoe UI" w:hint="eastAsia"/>
          <w:color w:val="000000"/>
        </w:rPr>
        <w:t>格式供审计使用。此外，报表系统内置智能分析模块，通过对比历史数据自动识别趋势异常，例如发现某机房备份数据量连续两周增长超过</w:t>
      </w:r>
      <w:r w:rsidRPr="00FB4CE7">
        <w:rPr>
          <w:rFonts w:ascii="Segoe UI" w:hAnsi="Segoe UI" w:cs="Segoe UI" w:hint="eastAsia"/>
          <w:color w:val="000000"/>
        </w:rPr>
        <w:t>50%</w:t>
      </w:r>
      <w:r w:rsidRPr="00FB4CE7">
        <w:rPr>
          <w:rFonts w:ascii="Segoe UI" w:hAnsi="Segoe UI" w:cs="Segoe UI" w:hint="eastAsia"/>
          <w:color w:val="000000"/>
        </w:rPr>
        <w:t>时，在报表中高亮提示并建议扩容存储资源，实现从被动告警到主动预警的运维升级。</w:t>
      </w:r>
    </w:p>
    <w:p w14:paraId="71EE8007" w14:textId="77777777" w:rsidR="00731408" w:rsidRPr="00731408" w:rsidRDefault="00731408" w:rsidP="00731408">
      <w:pPr>
        <w:pStyle w:val="5"/>
        <w:rPr>
          <w:rFonts w:hint="eastAsia"/>
        </w:rPr>
      </w:pPr>
      <w:r w:rsidRPr="00731408">
        <w:t>自动化运维能力</w:t>
      </w:r>
    </w:p>
    <w:p w14:paraId="038FE139" w14:textId="77777777"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华为管理平台的自动化运维能力通过策略自动化管理与容灾演练工作流的有机结合，实现了混合云容灾体系的智能化、无人化运维，大幅降低人工干预成本并提升运维可靠性。</w:t>
      </w:r>
    </w:p>
    <w:p w14:paraId="41BFFA6F" w14:textId="3CDC720A"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在策略自动化管理方面，</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管理平台构建了覆盖全业务场景的自动化策略引擎，支持根据业务重要性、数据变更频率等维度自动生成并执行备份策略。针对</w:t>
      </w:r>
      <w:r w:rsidRPr="00FB4CE7">
        <w:rPr>
          <w:rFonts w:ascii="Segoe UI" w:hAnsi="Segoe UI" w:cs="Segoe UI" w:hint="eastAsia"/>
          <w:color w:val="000000"/>
        </w:rPr>
        <w:t>Oracle19C</w:t>
      </w:r>
      <w:r w:rsidRPr="00FB4CE7">
        <w:rPr>
          <w:rFonts w:ascii="Segoe UI" w:hAnsi="Segoe UI" w:cs="Segoe UI" w:hint="eastAsia"/>
          <w:color w:val="000000"/>
        </w:rPr>
        <w:t>数据库，系统可基于历史增量数据模型，自动计算最优备份周期（如每日增量</w:t>
      </w:r>
      <w:r w:rsidRPr="00FB4CE7">
        <w:rPr>
          <w:rFonts w:ascii="Segoe UI" w:hAnsi="Segoe UI" w:cs="Segoe UI" w:hint="eastAsia"/>
          <w:color w:val="000000"/>
        </w:rPr>
        <w:t>+</w:t>
      </w:r>
      <w:r w:rsidRPr="00FB4CE7">
        <w:rPr>
          <w:rFonts w:ascii="Segoe UI" w:hAnsi="Segoe UI" w:cs="Segoe UI" w:hint="eastAsia"/>
          <w:color w:val="000000"/>
        </w:rPr>
        <w:t>每周全量），并在检测到数据量突增时智能调整备份频率；对于</w:t>
      </w:r>
      <w:r w:rsidR="009D6E2A">
        <w:rPr>
          <w:rFonts w:ascii="Segoe UI" w:hAnsi="Segoe UI" w:cs="Segoe UI" w:hint="eastAsia"/>
          <w:color w:val="000000"/>
        </w:rPr>
        <w:t>SAPHANA</w:t>
      </w:r>
      <w:r w:rsidRPr="00FB4CE7">
        <w:rPr>
          <w:rFonts w:ascii="Segoe UI" w:hAnsi="Segoe UI" w:cs="Segoe UI" w:hint="eastAsia"/>
          <w:color w:val="000000"/>
        </w:rPr>
        <w:t>系统，策略引擎结合事务日志生成速率，动态分配增量备份与日志备份的资源配额，确保备份窗口始终控制在业务允许范围内。策略自动化还体现在跨云资源调度上，当本地存储池利用率超过阈值时，系统自动触发数据分层迁移策略，将低频访问的备份数据迁移至华为云存储，释放本地高性能存储资源。此外，平台支持基于时间、事件的自动化策略触发，例如在每月财务结账日自动增加</w:t>
      </w:r>
      <w:r w:rsidR="009D6E2A">
        <w:rPr>
          <w:rFonts w:ascii="Segoe UI" w:hAnsi="Segoe UI" w:cs="Segoe UI" w:hint="eastAsia"/>
          <w:color w:val="000000"/>
        </w:rPr>
        <w:t>SAPHANA</w:t>
      </w:r>
      <w:r w:rsidRPr="00FB4CE7">
        <w:rPr>
          <w:rFonts w:ascii="Segoe UI" w:hAnsi="Segoe UI" w:cs="Segoe UI" w:hint="eastAsia"/>
          <w:color w:val="000000"/>
        </w:rPr>
        <w:t>的备份频次，结账完成后恢复常规策略，避免人工干预导致的策略遗漏。</w:t>
      </w:r>
    </w:p>
    <w:p w14:paraId="095080DE" w14:textId="700FC5DE"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lastRenderedPageBreak/>
        <w:t>容灾演练工作流实现了从演练计划到结果验证的全流程自动化，彻底改变传统手动演练的低效与高风险模式。华为方案通过</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平台预设标准化演练模板，可针对</w:t>
      </w:r>
      <w:r w:rsidRPr="00FB4CE7">
        <w:rPr>
          <w:rFonts w:ascii="Segoe UI" w:hAnsi="Segoe UI" w:cs="Segoe UI" w:hint="eastAsia"/>
          <w:color w:val="000000"/>
        </w:rPr>
        <w:t>Oracle</w:t>
      </w:r>
      <w:r w:rsidRPr="00FB4CE7">
        <w:rPr>
          <w:rFonts w:ascii="Segoe UI" w:hAnsi="Segoe UI" w:cs="Segoe UI" w:hint="eastAsia"/>
          <w:color w:val="000000"/>
        </w:rPr>
        <w:t>数据库、</w:t>
      </w:r>
      <w:r w:rsidR="009D6E2A">
        <w:rPr>
          <w:rFonts w:ascii="Segoe UI" w:hAnsi="Segoe UI" w:cs="Segoe UI" w:hint="eastAsia"/>
          <w:color w:val="000000"/>
        </w:rPr>
        <w:t>SAPHANA</w:t>
      </w:r>
      <w:r w:rsidRPr="00FB4CE7">
        <w:rPr>
          <w:rFonts w:ascii="Segoe UI" w:hAnsi="Segoe UI" w:cs="Segoe UI" w:hint="eastAsia"/>
          <w:color w:val="000000"/>
        </w:rPr>
        <w:t>系统及虚拟化平台分别定义演练流程：以</w:t>
      </w:r>
      <w:r w:rsidRPr="00FB4CE7">
        <w:rPr>
          <w:rFonts w:ascii="Segoe UI" w:hAnsi="Segoe UI" w:cs="Segoe UI" w:hint="eastAsia"/>
          <w:color w:val="000000"/>
        </w:rPr>
        <w:t>Oracle</w:t>
      </w:r>
      <w:r w:rsidRPr="00FB4CE7">
        <w:rPr>
          <w:rFonts w:ascii="Segoe UI" w:hAnsi="Segoe UI" w:cs="Segoe UI" w:hint="eastAsia"/>
          <w:color w:val="000000"/>
        </w:rPr>
        <w:t>容灾演练为例，工作流自动执行以下步骤：①在非业务时段触发云端备份数据的拉起任务，②挂载备份数据至专用验证服务器，③自动执行数据库一致性检查与业务交易模拟，④生成演练报告并对比预设</w:t>
      </w:r>
      <w:r w:rsidRPr="00FB4CE7">
        <w:rPr>
          <w:rFonts w:ascii="Segoe UI" w:hAnsi="Segoe UI" w:cs="Segoe UI" w:hint="eastAsia"/>
          <w:color w:val="000000"/>
        </w:rPr>
        <w:t>RTO/RPO</w:t>
      </w:r>
      <w:r w:rsidRPr="00FB4CE7">
        <w:rPr>
          <w:rFonts w:ascii="Segoe UI" w:hAnsi="Segoe UI" w:cs="Segoe UI" w:hint="eastAsia"/>
          <w:color w:val="000000"/>
        </w:rPr>
        <w:t>指标，⑤若验证通过则自动清理临时环境，若失败则触发告警并定位问题。演练工作流支持自定义编排，可插入人工确认节点或第三方工具调用接口，满足不同业务场景的个性化需求。对于</w:t>
      </w:r>
      <w:r w:rsidRPr="00FB4CE7">
        <w:rPr>
          <w:rFonts w:ascii="Segoe UI" w:hAnsi="Segoe UI" w:cs="Segoe UI" w:hint="eastAsia"/>
          <w:color w:val="000000"/>
        </w:rPr>
        <w:t>OBV</w:t>
      </w:r>
      <w:r w:rsidRPr="00FB4CE7">
        <w:rPr>
          <w:rFonts w:ascii="Segoe UI" w:hAnsi="Segoe UI" w:cs="Segoe UI" w:hint="eastAsia"/>
          <w:color w:val="000000"/>
        </w:rPr>
        <w:t>机房的物理隔离环境，平台支持离线演练工作流，通过利旧服务器构建临时验证环境，无需网络连接即可完成备份数据的有效性验证。自动化演练将传统需要数小时的人工操作压缩至</w:t>
      </w:r>
      <w:r w:rsidRPr="00FB4CE7">
        <w:rPr>
          <w:rFonts w:ascii="Segoe UI" w:hAnsi="Segoe UI" w:cs="Segoe UI" w:hint="eastAsia"/>
          <w:color w:val="000000"/>
        </w:rPr>
        <w:t>15-30</w:t>
      </w:r>
      <w:r w:rsidRPr="00FB4CE7">
        <w:rPr>
          <w:rFonts w:ascii="Segoe UI" w:hAnsi="Segoe UI" w:cs="Segoe UI" w:hint="eastAsia"/>
          <w:color w:val="000000"/>
        </w:rPr>
        <w:t>分钟，且每次演练均生成可追溯的电子记录，确保容灾能力验证的规范性与可审计性，为企业合规</w:t>
      </w:r>
      <w:r w:rsidR="006C6F6D" w:rsidRPr="006C6F6D">
        <w:rPr>
          <w:rFonts w:ascii="Segoe UI" w:hAnsi="Segoe UI" w:cs="Segoe UI" w:hint="eastAsia"/>
          <w:b/>
          <w:color w:val="000000"/>
        </w:rPr>
        <w:t>招标文件要求</w:t>
      </w:r>
      <w:r w:rsidRPr="00FB4CE7">
        <w:rPr>
          <w:rFonts w:ascii="Segoe UI" w:hAnsi="Segoe UI" w:cs="Segoe UI" w:hint="eastAsia"/>
          <w:color w:val="000000"/>
        </w:rPr>
        <w:t>提供有力支撑。</w:t>
      </w:r>
    </w:p>
    <w:p w14:paraId="706C7D71" w14:textId="4E654B82" w:rsidR="00731408" w:rsidRPr="00731408" w:rsidRDefault="00731408" w:rsidP="00731408">
      <w:pPr>
        <w:pStyle w:val="4"/>
        <w:rPr>
          <w:rFonts w:hint="eastAsia"/>
        </w:rPr>
      </w:pPr>
      <w:r w:rsidRPr="00731408">
        <w:t>可靠性与安全性设计</w:t>
      </w:r>
    </w:p>
    <w:p w14:paraId="0D154C1E" w14:textId="77777777" w:rsidR="00731408" w:rsidRPr="00731408" w:rsidRDefault="00731408" w:rsidP="007F479A">
      <w:pPr>
        <w:pStyle w:val="5"/>
        <w:rPr>
          <w:rFonts w:hint="eastAsia"/>
        </w:rPr>
      </w:pPr>
      <w:r w:rsidRPr="00731408">
        <w:t>高可用架构设计</w:t>
      </w:r>
    </w:p>
    <w:p w14:paraId="39FAE345" w14:textId="24E99354"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华为混合云容灾方案的高可用架构设计以双活容灾节点部署为核心，结合多层数据冗余与容错机制，构建起应对复杂灾难场景的可靠性体系。在双活容灾节点部署方面，</w:t>
      </w:r>
      <w:r w:rsidRPr="00FB4CE7">
        <w:rPr>
          <w:rFonts w:ascii="Segoe UI" w:hAnsi="Segoe UI" w:cs="Segoe UI" w:hint="eastAsia"/>
          <w:color w:val="000000"/>
        </w:rPr>
        <w:t>NCS</w:t>
      </w:r>
      <w:r w:rsidRPr="00FB4CE7">
        <w:rPr>
          <w:rFonts w:ascii="Segoe UI" w:hAnsi="Segoe UI" w:cs="Segoe UI" w:hint="eastAsia"/>
          <w:color w:val="000000"/>
        </w:rPr>
        <w:t>数据中心与</w:t>
      </w:r>
      <w:r w:rsidR="00152F2A">
        <w:rPr>
          <w:rFonts w:ascii="Segoe UI" w:hAnsi="Segoe UI" w:cs="Segoe UI" w:hint="eastAsia"/>
          <w:color w:val="000000"/>
        </w:rPr>
        <w:t>A380</w:t>
      </w:r>
      <w:r w:rsidRPr="00FB4CE7">
        <w:rPr>
          <w:rFonts w:ascii="Segoe UI" w:hAnsi="Segoe UI" w:cs="Segoe UI" w:hint="eastAsia"/>
          <w:color w:val="000000"/>
        </w:rPr>
        <w:t>机房分别配置华为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备份一体机作为主备容灾节点，两台设备通过</w:t>
      </w:r>
      <w:r w:rsidRPr="00FB4CE7">
        <w:rPr>
          <w:rFonts w:ascii="Segoe UI" w:hAnsi="Segoe UI" w:cs="Segoe UI" w:hint="eastAsia"/>
          <w:color w:val="000000"/>
        </w:rPr>
        <w:t>SAN</w:t>
      </w:r>
      <w:r w:rsidRPr="00FB4CE7">
        <w:rPr>
          <w:rFonts w:ascii="Segoe UI" w:hAnsi="Segoe UI" w:cs="Segoe UI" w:hint="eastAsia"/>
          <w:color w:val="000000"/>
        </w:rPr>
        <w:t>网络与专线链路形成互备架构：正常运行时，两节点按业务分区分别承担备份任务，</w:t>
      </w:r>
      <w:r w:rsidRPr="00FB4CE7">
        <w:rPr>
          <w:rFonts w:ascii="Segoe UI" w:hAnsi="Segoe UI" w:cs="Segoe UI" w:hint="eastAsia"/>
          <w:color w:val="000000"/>
        </w:rPr>
        <w:t>NCS</w:t>
      </w:r>
      <w:r w:rsidRPr="00FB4CE7">
        <w:rPr>
          <w:rFonts w:ascii="Segoe UI" w:hAnsi="Segoe UI" w:cs="Segoe UI" w:hint="eastAsia"/>
          <w:color w:val="000000"/>
        </w:rPr>
        <w:t>节点负责核心数据库的备份与本地存储，</w:t>
      </w:r>
      <w:r w:rsidR="00152F2A">
        <w:rPr>
          <w:rFonts w:ascii="Segoe UI" w:hAnsi="Segoe UI" w:cs="Segoe UI" w:hint="eastAsia"/>
          <w:color w:val="000000"/>
        </w:rPr>
        <w:t>A380</w:t>
      </w:r>
      <w:r w:rsidRPr="00FB4CE7">
        <w:rPr>
          <w:rFonts w:ascii="Segoe UI" w:hAnsi="Segoe UI" w:cs="Segoe UI" w:hint="eastAsia"/>
          <w:color w:val="000000"/>
        </w:rPr>
        <w:t>节点同步接收</w:t>
      </w:r>
      <w:r w:rsidRPr="00FB4CE7">
        <w:rPr>
          <w:rFonts w:ascii="Segoe UI" w:hAnsi="Segoe UI" w:cs="Segoe UI" w:hint="eastAsia"/>
          <w:color w:val="000000"/>
        </w:rPr>
        <w:t>418</w:t>
      </w:r>
      <w:r w:rsidRPr="00FB4CE7">
        <w:rPr>
          <w:rFonts w:ascii="Segoe UI" w:hAnsi="Segoe UI" w:cs="Segoe UI" w:hint="eastAsia"/>
          <w:color w:val="000000"/>
        </w:rPr>
        <w:t>备份系统数据并落盘至本地磁带库；当任一节点遭遇硬件故障或自然灾害时，另一节点自动接管全部备份任务，通过预先配置的策略切换机制，确保备份业务连续性。这种双活架构不仅提升了系统处理能力，还通过节点间的数据实时同步，实现“本地备份、异地可用”的容灾目标，避免单一节点故障导致的备份服务中断。</w:t>
      </w:r>
    </w:p>
    <w:p w14:paraId="32B1B27E" w14:textId="4F34E5A9"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数据冗余与容错机制从存储介质、传输链路到逻辑副本实现多层保护。在存储介质层面，华为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一体机内部采用</w:t>
      </w:r>
      <w:r w:rsidRPr="00FB4CE7">
        <w:rPr>
          <w:rFonts w:ascii="Segoe UI" w:hAnsi="Segoe UI" w:cs="Segoe UI" w:hint="eastAsia"/>
          <w:color w:val="000000"/>
        </w:rPr>
        <w:t>RAID6</w:t>
      </w:r>
      <w:r w:rsidRPr="00FB4CE7">
        <w:rPr>
          <w:rFonts w:ascii="Segoe UI" w:hAnsi="Segoe UI" w:cs="Segoe UI" w:hint="eastAsia"/>
          <w:color w:val="000000"/>
        </w:rPr>
        <w:t>磁盘阵列配置，结合热备用磁盘，确保单盘或双盘故障时数据不丢失，同时支持存储池分级管理，将高频访问的备份数据存放于</w:t>
      </w:r>
      <w:r w:rsidRPr="00FB4CE7">
        <w:rPr>
          <w:rFonts w:ascii="Segoe UI" w:hAnsi="Segoe UI" w:cs="Segoe UI" w:hint="eastAsia"/>
          <w:color w:val="000000"/>
        </w:rPr>
        <w:t>SSD</w:t>
      </w:r>
      <w:r w:rsidRPr="00FB4CE7">
        <w:rPr>
          <w:rFonts w:ascii="Segoe UI" w:hAnsi="Segoe UI" w:cs="Segoe UI" w:hint="eastAsia"/>
          <w:color w:val="000000"/>
        </w:rPr>
        <w:t>高速缓存，低频数据迁移至</w:t>
      </w:r>
      <w:r w:rsidRPr="00FB4CE7">
        <w:rPr>
          <w:rFonts w:ascii="Segoe UI" w:hAnsi="Segoe UI" w:cs="Segoe UI" w:hint="eastAsia"/>
          <w:color w:val="000000"/>
        </w:rPr>
        <w:t>HDD</w:t>
      </w:r>
      <w:r w:rsidRPr="00FB4CE7">
        <w:rPr>
          <w:rFonts w:ascii="Segoe UI" w:hAnsi="Segoe UI" w:cs="Segoe UI" w:hint="eastAsia"/>
          <w:color w:val="000000"/>
        </w:rPr>
        <w:t>或蓝光存储，形成性能与容量的平衡。传输链路方面，</w:t>
      </w:r>
      <w:r w:rsidRPr="00FB4CE7">
        <w:rPr>
          <w:rFonts w:ascii="Segoe UI" w:hAnsi="Segoe UI" w:cs="Segoe UI" w:hint="eastAsia"/>
          <w:color w:val="000000"/>
        </w:rPr>
        <w:t>NCS</w:t>
      </w:r>
      <w:r w:rsidRPr="00FB4CE7">
        <w:rPr>
          <w:rFonts w:ascii="Segoe UI" w:hAnsi="Segoe UI" w:cs="Segoe UI" w:hint="eastAsia"/>
          <w:color w:val="000000"/>
        </w:rPr>
        <w:t>与</w:t>
      </w:r>
      <w:r w:rsidR="00152F2A">
        <w:rPr>
          <w:rFonts w:ascii="Segoe UI" w:hAnsi="Segoe UI" w:cs="Segoe UI" w:hint="eastAsia"/>
          <w:color w:val="000000"/>
        </w:rPr>
        <w:t>A380</w:t>
      </w:r>
      <w:r w:rsidRPr="00FB4CE7">
        <w:rPr>
          <w:rFonts w:ascii="Segoe UI" w:hAnsi="Segoe UI" w:cs="Segoe UI" w:hint="eastAsia"/>
          <w:color w:val="000000"/>
        </w:rPr>
        <w:t>机房之间建立双线专线互联，主用链路承载日常数据同步，备用链路作为冗余保障，当主链路因网络故障中断时，系统自动切换至备用链路，维持跨机房数据传输的连续性；</w:t>
      </w:r>
      <w:r w:rsidRPr="00FB4CE7">
        <w:rPr>
          <w:rFonts w:ascii="Segoe UI" w:hAnsi="Segoe UI" w:cs="Segoe UI" w:hint="eastAsia"/>
          <w:color w:val="000000"/>
        </w:rPr>
        <w:t>OBV</w:t>
      </w:r>
      <w:r w:rsidRPr="00FB4CE7">
        <w:rPr>
          <w:rFonts w:ascii="Segoe UI" w:hAnsi="Segoe UI" w:cs="Segoe UI" w:hint="eastAsia"/>
          <w:color w:val="000000"/>
        </w:rPr>
        <w:t>机房虽物理隔离，但本地备份服务器采用双电源冗余设计，避免单点电源故障导致的备份中断。逻辑副本层面，通过</w:t>
      </w:r>
      <w:r w:rsidRPr="00FB4CE7">
        <w:rPr>
          <w:rFonts w:ascii="Segoe UI" w:hAnsi="Segoe UI" w:cs="Segoe UI" w:hint="eastAsia"/>
          <w:color w:val="000000"/>
        </w:rPr>
        <w:t>CDM</w:t>
      </w:r>
      <w:r w:rsidRPr="00FB4CE7">
        <w:rPr>
          <w:rFonts w:ascii="Segoe UI" w:hAnsi="Segoe UI" w:cs="Segoe UI" w:hint="eastAsia"/>
          <w:color w:val="000000"/>
        </w:rPr>
        <w:t>技术的指针式快照与增量合成机制，对同一备份数据生成多个时间点的虚拟副本，存储于不同物理位置，例如将</w:t>
      </w:r>
      <w:r w:rsidRPr="00FB4CE7">
        <w:rPr>
          <w:rFonts w:ascii="Segoe UI" w:hAnsi="Segoe UI" w:cs="Segoe UI" w:hint="eastAsia"/>
          <w:color w:val="000000"/>
        </w:rPr>
        <w:t>Oracle</w:t>
      </w:r>
      <w:r w:rsidRPr="00FB4CE7">
        <w:rPr>
          <w:rFonts w:ascii="Segoe UI" w:hAnsi="Segoe UI" w:cs="Segoe UI" w:hint="eastAsia"/>
          <w:color w:val="000000"/>
        </w:rPr>
        <w:t>数据库的备份副本同时保存在本地一体机与华为云灾备中心，当本地副本因病毒或误操作损坏时，可立即从云端调取副本恢复，确保数据的多副本冗余。此外，系统还支持定期自动执行数据完整性校验，通过哈希算法比对备份数据与生产数据的一致性，发现错误时触发自动修复或重新备份，从机制上保障备份数据的可用性与准确性。</w:t>
      </w:r>
    </w:p>
    <w:p w14:paraId="661965E9" w14:textId="77777777" w:rsidR="00731408" w:rsidRPr="00731408" w:rsidRDefault="00731408" w:rsidP="007F479A">
      <w:pPr>
        <w:pStyle w:val="5"/>
        <w:rPr>
          <w:rFonts w:hint="eastAsia"/>
        </w:rPr>
      </w:pPr>
      <w:r w:rsidRPr="00731408">
        <w:lastRenderedPageBreak/>
        <w:t>数据安全方案</w:t>
      </w:r>
    </w:p>
    <w:p w14:paraId="7B10476D" w14:textId="39FBE3D3"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混合云容灾方案的数据安全体系从传输与存储的加密机制、权限管理及合规审计等维度构建，确保备份数据在全生命周期内的安全性与合规性。在传输加密与存储加密方面，采用分层加密技术阻断数据泄露风险。数据在本地机房内通过</w:t>
      </w:r>
      <w:r w:rsidRPr="00FB4CE7">
        <w:rPr>
          <w:rFonts w:ascii="Segoe UI" w:hAnsi="Segoe UI" w:cs="Segoe UI" w:hint="eastAsia"/>
          <w:color w:val="000000"/>
        </w:rPr>
        <w:t>SAN</w:t>
      </w:r>
      <w:r w:rsidRPr="00FB4CE7">
        <w:rPr>
          <w:rFonts w:ascii="Segoe UI" w:hAnsi="Segoe UI" w:cs="Segoe UI" w:hint="eastAsia"/>
          <w:color w:val="000000"/>
        </w:rPr>
        <w:t>网络传输时，启用</w:t>
      </w:r>
      <w:r w:rsidRPr="00FB4CE7">
        <w:rPr>
          <w:rFonts w:ascii="Segoe UI" w:hAnsi="Segoe UI" w:cs="Segoe UI" w:hint="eastAsia"/>
          <w:color w:val="000000"/>
        </w:rPr>
        <w:t>FC</w:t>
      </w:r>
      <w:r w:rsidRPr="00FB4CE7">
        <w:rPr>
          <w:rFonts w:ascii="Segoe UI" w:hAnsi="Segoe UI" w:cs="Segoe UI" w:hint="eastAsia"/>
          <w:color w:val="000000"/>
        </w:rPr>
        <w:t>协议的</w:t>
      </w:r>
      <w:r w:rsidRPr="00FB4CE7">
        <w:rPr>
          <w:rFonts w:ascii="Segoe UI" w:hAnsi="Segoe UI" w:cs="Segoe UI" w:hint="eastAsia"/>
          <w:color w:val="000000"/>
        </w:rPr>
        <w:t>IPsec</w:t>
      </w:r>
      <w:r w:rsidRPr="00FB4CE7">
        <w:rPr>
          <w:rFonts w:ascii="Segoe UI" w:hAnsi="Segoe UI" w:cs="Segoe UI" w:hint="eastAsia"/>
          <w:color w:val="000000"/>
        </w:rPr>
        <w:t>加密或</w:t>
      </w:r>
      <w:r w:rsidRPr="00FB4CE7">
        <w:rPr>
          <w:rFonts w:ascii="Segoe UI" w:hAnsi="Segoe UI" w:cs="Segoe UI" w:hint="eastAsia"/>
          <w:color w:val="000000"/>
        </w:rPr>
        <w:t>IB</w:t>
      </w:r>
      <w:r w:rsidRPr="00FB4CE7">
        <w:rPr>
          <w:rFonts w:ascii="Segoe UI" w:hAnsi="Segoe UI" w:cs="Segoe UI" w:hint="eastAsia"/>
          <w:color w:val="000000"/>
        </w:rPr>
        <w:t>网络的端到端加密，防止备份数据在</w:t>
      </w:r>
      <w:r w:rsidRPr="00FB4CE7">
        <w:rPr>
          <w:rFonts w:ascii="Segoe UI" w:hAnsi="Segoe UI" w:cs="Segoe UI" w:hint="eastAsia"/>
          <w:color w:val="000000"/>
        </w:rPr>
        <w:t>NCS</w:t>
      </w:r>
      <w:r w:rsidRPr="00FB4CE7">
        <w:rPr>
          <w:rFonts w:ascii="Segoe UI" w:hAnsi="Segoe UI" w:cs="Segoe UI" w:hint="eastAsia"/>
          <w:color w:val="000000"/>
        </w:rPr>
        <w:t>、</w:t>
      </w:r>
      <w:r w:rsidR="00152F2A">
        <w:rPr>
          <w:rFonts w:ascii="Segoe UI" w:hAnsi="Segoe UI" w:cs="Segoe UI" w:hint="eastAsia"/>
          <w:color w:val="000000"/>
        </w:rPr>
        <w:t>A380</w:t>
      </w:r>
      <w:r w:rsidRPr="00FB4CE7">
        <w:rPr>
          <w:rFonts w:ascii="Segoe UI" w:hAnsi="Segoe UI" w:cs="Segoe UI" w:hint="eastAsia"/>
          <w:color w:val="000000"/>
        </w:rPr>
        <w:t>及</w:t>
      </w:r>
      <w:r w:rsidRPr="00FB4CE7">
        <w:rPr>
          <w:rFonts w:ascii="Segoe UI" w:hAnsi="Segoe UI" w:cs="Segoe UI" w:hint="eastAsia"/>
          <w:color w:val="000000"/>
        </w:rPr>
        <w:t>OBV</w:t>
      </w:r>
      <w:r w:rsidRPr="00FB4CE7">
        <w:rPr>
          <w:rFonts w:ascii="Segoe UI" w:hAnsi="Segoe UI" w:cs="Segoe UI" w:hint="eastAsia"/>
          <w:color w:val="000000"/>
        </w:rPr>
        <w:t>机房内部传输过程中被窃取；跨机房专线传输时，利用</w:t>
      </w:r>
      <w:r w:rsidRPr="00FB4CE7">
        <w:rPr>
          <w:rFonts w:ascii="Segoe UI" w:hAnsi="Segoe UI" w:cs="Segoe UI" w:hint="eastAsia"/>
          <w:color w:val="000000"/>
        </w:rPr>
        <w:t>VPN</w:t>
      </w:r>
      <w:r w:rsidRPr="00FB4CE7">
        <w:rPr>
          <w:rFonts w:ascii="Segoe UI" w:hAnsi="Segoe UI" w:cs="Segoe UI" w:hint="eastAsia"/>
          <w:color w:val="000000"/>
        </w:rPr>
        <w:t>隧道结合</w:t>
      </w:r>
      <w:r w:rsidRPr="00FB4CE7">
        <w:rPr>
          <w:rFonts w:ascii="Segoe UI" w:hAnsi="Segoe UI" w:cs="Segoe UI" w:hint="eastAsia"/>
          <w:color w:val="000000"/>
        </w:rPr>
        <w:t>AES-256</w:t>
      </w:r>
      <w:r w:rsidRPr="00FB4CE7">
        <w:rPr>
          <w:rFonts w:ascii="Segoe UI" w:hAnsi="Segoe UI" w:cs="Segoe UI" w:hint="eastAsia"/>
          <w:color w:val="000000"/>
        </w:rPr>
        <w:t>算法对</w:t>
      </w:r>
      <w:r w:rsidRPr="00FB4CE7">
        <w:rPr>
          <w:rFonts w:ascii="Segoe UI" w:hAnsi="Segoe UI" w:cs="Segoe UI" w:hint="eastAsia"/>
          <w:color w:val="000000"/>
        </w:rPr>
        <w:t>Oracle19C</w:t>
      </w:r>
      <w:r w:rsidRPr="00FB4CE7">
        <w:rPr>
          <w:rFonts w:ascii="Segoe UI" w:hAnsi="Segoe UI" w:cs="Segoe UI" w:hint="eastAsia"/>
          <w:color w:val="000000"/>
        </w:rPr>
        <w:t>、</w:t>
      </w:r>
      <w:r w:rsidR="009D6E2A">
        <w:rPr>
          <w:rFonts w:ascii="Segoe UI" w:hAnsi="Segoe UI" w:cs="Segoe UI" w:hint="eastAsia"/>
          <w:color w:val="000000"/>
        </w:rPr>
        <w:t>SAPHANA</w:t>
      </w:r>
      <w:r w:rsidRPr="00FB4CE7">
        <w:rPr>
          <w:rFonts w:ascii="Segoe UI" w:hAnsi="Segoe UI" w:cs="Segoe UI" w:hint="eastAsia"/>
          <w:color w:val="000000"/>
        </w:rPr>
        <w:t>等核心数据进行加密封装，避免</w:t>
      </w:r>
      <w:r w:rsidRPr="00FB4CE7">
        <w:rPr>
          <w:rFonts w:ascii="Segoe UI" w:hAnsi="Segoe UI" w:cs="Segoe UI" w:hint="eastAsia"/>
          <w:color w:val="000000"/>
        </w:rPr>
        <w:t>418</w:t>
      </w:r>
      <w:r w:rsidRPr="00FB4CE7">
        <w:rPr>
          <w:rFonts w:ascii="Segoe UI" w:hAnsi="Segoe UI" w:cs="Segoe UI" w:hint="eastAsia"/>
          <w:color w:val="000000"/>
        </w:rPr>
        <w:t>备份系统向</w:t>
      </w:r>
      <w:r w:rsidR="00152F2A">
        <w:rPr>
          <w:rFonts w:ascii="Segoe UI" w:hAnsi="Segoe UI" w:cs="Segoe UI" w:hint="eastAsia"/>
          <w:color w:val="000000"/>
        </w:rPr>
        <w:t>A380</w:t>
      </w:r>
      <w:r w:rsidRPr="00FB4CE7">
        <w:rPr>
          <w:rFonts w:ascii="Segoe UI" w:hAnsi="Segoe UI" w:cs="Segoe UI" w:hint="eastAsia"/>
          <w:color w:val="000000"/>
        </w:rPr>
        <w:t>磁带库落盘时的链路窃听。存储加密层面，华为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备份一体机支持基于硬件的磁盘加密（</w:t>
      </w:r>
      <w:r w:rsidRPr="00FB4CE7">
        <w:rPr>
          <w:rFonts w:ascii="Segoe UI" w:hAnsi="Segoe UI" w:cs="Segoe UI" w:hint="eastAsia"/>
          <w:color w:val="000000"/>
        </w:rPr>
        <w:t>HDE</w:t>
      </w:r>
      <w:r w:rsidRPr="00FB4CE7">
        <w:rPr>
          <w:rFonts w:ascii="Segoe UI" w:hAnsi="Segoe UI" w:cs="Segoe UI" w:hint="eastAsia"/>
          <w:color w:val="000000"/>
        </w:rPr>
        <w:t>）与软件层面的卷加密，对</w:t>
      </w:r>
      <w:r w:rsidRPr="00FB4CE7">
        <w:rPr>
          <w:rFonts w:ascii="Segoe UI" w:hAnsi="Segoe UI" w:cs="Segoe UI" w:hint="eastAsia"/>
          <w:color w:val="000000"/>
        </w:rPr>
        <w:t>Redhat8.9</w:t>
      </w:r>
      <w:r w:rsidRPr="00FB4CE7">
        <w:rPr>
          <w:rFonts w:ascii="Segoe UI" w:hAnsi="Segoe UI" w:cs="Segoe UI" w:hint="eastAsia"/>
          <w:color w:val="000000"/>
        </w:rPr>
        <w:t>、</w:t>
      </w:r>
      <w:r w:rsidRPr="00FB4CE7">
        <w:rPr>
          <w:rFonts w:ascii="Segoe UI" w:hAnsi="Segoe UI" w:cs="Segoe UI" w:hint="eastAsia"/>
          <w:color w:val="000000"/>
        </w:rPr>
        <w:t>Suse15SP6</w:t>
      </w:r>
      <w:r w:rsidRPr="00FB4CE7">
        <w:rPr>
          <w:rFonts w:ascii="Segoe UI" w:hAnsi="Segoe UI" w:cs="Segoe UI" w:hint="eastAsia"/>
          <w:color w:val="000000"/>
        </w:rPr>
        <w:t>系统下的备份数据及</w:t>
      </w:r>
      <w:r w:rsidRPr="00FB4CE7">
        <w:rPr>
          <w:rFonts w:ascii="Segoe UI" w:hAnsi="Segoe UI" w:cs="Segoe UI" w:hint="eastAsia"/>
          <w:color w:val="000000"/>
        </w:rPr>
        <w:t>CDM</w:t>
      </w:r>
      <w:r w:rsidRPr="00FB4CE7">
        <w:rPr>
          <w:rFonts w:ascii="Segoe UI" w:hAnsi="Segoe UI" w:cs="Segoe UI" w:hint="eastAsia"/>
          <w:color w:val="000000"/>
        </w:rPr>
        <w:t>副本实施全量加密，加密密钥由独立的密钥管理系统（</w:t>
      </w:r>
      <w:r w:rsidRPr="00FB4CE7">
        <w:rPr>
          <w:rFonts w:ascii="Segoe UI" w:hAnsi="Segoe UI" w:cs="Segoe UI" w:hint="eastAsia"/>
          <w:color w:val="000000"/>
        </w:rPr>
        <w:t>KMS</w:t>
      </w:r>
      <w:r w:rsidRPr="00FB4CE7">
        <w:rPr>
          <w:rFonts w:ascii="Segoe UI" w:hAnsi="Segoe UI" w:cs="Segoe UI" w:hint="eastAsia"/>
          <w:color w:val="000000"/>
        </w:rPr>
        <w:t>）集中管控，支持密钥定期轮换与离线备份，即便存储介质丢失或被盗，也能确保数据无法被解密读取。公有云灾备中心的备份数据同步采用</w:t>
      </w:r>
      <w:r w:rsidRPr="00FB4CE7">
        <w:rPr>
          <w:rFonts w:ascii="Segoe UI" w:hAnsi="Segoe UI" w:cs="Segoe UI" w:hint="eastAsia"/>
          <w:color w:val="000000"/>
        </w:rPr>
        <w:t>TLS1.3</w:t>
      </w:r>
      <w:r w:rsidRPr="00FB4CE7">
        <w:rPr>
          <w:rFonts w:ascii="Segoe UI" w:hAnsi="Segoe UI" w:cs="Segoe UI" w:hint="eastAsia"/>
          <w:color w:val="000000"/>
        </w:rPr>
        <w:t>协议传输，并在云端存储时启用华为云的服务器端加密（</w:t>
      </w:r>
      <w:r w:rsidRPr="00FB4CE7">
        <w:rPr>
          <w:rFonts w:ascii="Segoe UI" w:hAnsi="Segoe UI" w:cs="Segoe UI" w:hint="eastAsia"/>
          <w:color w:val="000000"/>
        </w:rPr>
        <w:t>SSE</w:t>
      </w:r>
      <w:r w:rsidRPr="00FB4CE7">
        <w:rPr>
          <w:rFonts w:ascii="Segoe UI" w:hAnsi="Segoe UI" w:cs="Segoe UI" w:hint="eastAsia"/>
          <w:color w:val="000000"/>
        </w:rPr>
        <w:t>），实现“本地</w:t>
      </w:r>
      <w:r w:rsidRPr="00FB4CE7">
        <w:rPr>
          <w:rFonts w:ascii="Segoe UI" w:hAnsi="Segoe UI" w:cs="Segoe UI" w:hint="eastAsia"/>
          <w:color w:val="000000"/>
        </w:rPr>
        <w:t>+</w:t>
      </w:r>
      <w:r w:rsidRPr="00FB4CE7">
        <w:rPr>
          <w:rFonts w:ascii="Segoe UI" w:hAnsi="Segoe UI" w:cs="Segoe UI" w:hint="eastAsia"/>
          <w:color w:val="000000"/>
        </w:rPr>
        <w:t>云端”的加密闭环。</w:t>
      </w:r>
    </w:p>
    <w:p w14:paraId="5A06E5B4" w14:textId="29205339"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权限管理与合规审计机制构建了细粒度的访问控制与操作追溯体系。权限管理方面，</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管理平台采用</w:t>
      </w:r>
      <w:r w:rsidRPr="00FB4CE7">
        <w:rPr>
          <w:rFonts w:ascii="Segoe UI" w:hAnsi="Segoe UI" w:cs="Segoe UI" w:hint="eastAsia"/>
          <w:color w:val="000000"/>
        </w:rPr>
        <w:t>RBAC</w:t>
      </w:r>
      <w:r w:rsidRPr="00FB4CE7">
        <w:rPr>
          <w:rFonts w:ascii="Segoe UI" w:hAnsi="Segoe UI" w:cs="Segoe UI" w:hint="eastAsia"/>
          <w:color w:val="000000"/>
        </w:rPr>
        <w:t>（基于角色的访问控制）模型，将运维人员划分为管理员、操作员、审计员等不同角色，分别赋予</w:t>
      </w:r>
      <w:r w:rsidRPr="00FB4CE7">
        <w:rPr>
          <w:rFonts w:ascii="Segoe UI" w:hAnsi="Segoe UI" w:cs="Segoe UI" w:hint="eastAsia"/>
          <w:color w:val="000000"/>
        </w:rPr>
        <w:t>Oracle</w:t>
      </w:r>
      <w:r w:rsidRPr="00FB4CE7">
        <w:rPr>
          <w:rFonts w:ascii="Segoe UI" w:hAnsi="Segoe UI" w:cs="Segoe UI" w:hint="eastAsia"/>
          <w:color w:val="000000"/>
        </w:rPr>
        <w:t>备份策略配置、</w:t>
      </w:r>
      <w:r w:rsidR="009D6E2A">
        <w:rPr>
          <w:rFonts w:ascii="Segoe UI" w:hAnsi="Segoe UI" w:cs="Segoe UI" w:hint="eastAsia"/>
          <w:color w:val="000000"/>
        </w:rPr>
        <w:t>SAPHANA</w:t>
      </w:r>
      <w:r w:rsidRPr="00FB4CE7">
        <w:rPr>
          <w:rFonts w:ascii="Segoe UI" w:hAnsi="Segoe UI" w:cs="Segoe UI" w:hint="eastAsia"/>
          <w:color w:val="000000"/>
        </w:rPr>
        <w:t>恢复执行、日志查看等差异化权限，例如管理员可创建备份策略，操作员仅能执行已审批的恢复任务，避免越权操作。针对</w:t>
      </w:r>
      <w:r w:rsidRPr="00FB4CE7">
        <w:rPr>
          <w:rFonts w:ascii="Segoe UI" w:hAnsi="Segoe UI" w:cs="Segoe UI" w:hint="eastAsia"/>
          <w:color w:val="000000"/>
        </w:rPr>
        <w:t>OBV</w:t>
      </w:r>
      <w:r w:rsidRPr="00FB4CE7">
        <w:rPr>
          <w:rFonts w:ascii="Segoe UI" w:hAnsi="Segoe UI" w:cs="Segoe UI" w:hint="eastAsia"/>
          <w:color w:val="000000"/>
        </w:rPr>
        <w:t>机房的隔离环境，采用离线权限分发机制，通过物理介质导入导出权限配置，确保隔离网络下的权限管控有效性。合规审计层面，系统自动记录所有对备份数据的操作日志，包括</w:t>
      </w:r>
      <w:r w:rsidRPr="00FB4CE7">
        <w:rPr>
          <w:rFonts w:ascii="Segoe UI" w:hAnsi="Segoe UI" w:cs="Segoe UI" w:hint="eastAsia"/>
          <w:color w:val="000000"/>
        </w:rPr>
        <w:t>Oracle</w:t>
      </w:r>
      <w:r w:rsidRPr="00FB4CE7">
        <w:rPr>
          <w:rFonts w:ascii="Segoe UI" w:hAnsi="Segoe UI" w:cs="Segoe UI" w:hint="eastAsia"/>
          <w:color w:val="000000"/>
        </w:rPr>
        <w:t>数据库的挂载恢复、</w:t>
      </w:r>
      <w:r w:rsidR="009D6E2A">
        <w:rPr>
          <w:rFonts w:ascii="Segoe UI" w:hAnsi="Segoe UI" w:cs="Segoe UI" w:hint="eastAsia"/>
          <w:color w:val="000000"/>
        </w:rPr>
        <w:t>SAPHANA</w:t>
      </w:r>
      <w:r w:rsidRPr="00FB4CE7">
        <w:rPr>
          <w:rFonts w:ascii="Segoe UI" w:hAnsi="Segoe UI" w:cs="Segoe UI" w:hint="eastAsia"/>
          <w:color w:val="000000"/>
        </w:rPr>
        <w:t>备份策略修改、跨云同步任务启停等，日志内容包含操作时间、用户账号、</w:t>
      </w:r>
      <w:r w:rsidRPr="00FB4CE7">
        <w:rPr>
          <w:rFonts w:ascii="Segoe UI" w:hAnsi="Segoe UI" w:cs="Segoe UI" w:hint="eastAsia"/>
          <w:color w:val="000000"/>
        </w:rPr>
        <w:t>IP</w:t>
      </w:r>
      <w:r w:rsidRPr="00FB4CE7">
        <w:rPr>
          <w:rFonts w:ascii="Segoe UI" w:hAnsi="Segoe UI" w:cs="Segoe UI" w:hint="eastAsia"/>
          <w:color w:val="000000"/>
        </w:rPr>
        <w:t>地址及操作对象，支持按时间、用户、操作类型进行检索与导出。审计模块还内置合规检查模板，可自动比对备份策略与行业规范（如等保</w:t>
      </w:r>
      <w:r w:rsidRPr="00FB4CE7">
        <w:rPr>
          <w:rFonts w:ascii="Segoe UI" w:hAnsi="Segoe UI" w:cs="Segoe UI" w:hint="eastAsia"/>
          <w:color w:val="000000"/>
        </w:rPr>
        <w:t>2.0</w:t>
      </w:r>
      <w:r w:rsidRPr="00FB4CE7">
        <w:rPr>
          <w:rFonts w:ascii="Segoe UI" w:hAnsi="Segoe UI" w:cs="Segoe UI" w:hint="eastAsia"/>
          <w:color w:val="000000"/>
        </w:rPr>
        <w:t>、</w:t>
      </w:r>
      <w:r w:rsidRPr="00FB4CE7">
        <w:rPr>
          <w:rFonts w:ascii="Segoe UI" w:hAnsi="Segoe UI" w:cs="Segoe UI" w:hint="eastAsia"/>
          <w:color w:val="000000"/>
        </w:rPr>
        <w:t>ISO27001</w:t>
      </w:r>
      <w:r w:rsidRPr="00FB4CE7">
        <w:rPr>
          <w:rFonts w:ascii="Segoe UI" w:hAnsi="Segoe UI" w:cs="Segoe UI" w:hint="eastAsia"/>
          <w:color w:val="000000"/>
        </w:rPr>
        <w:t>）的符合性，例如验证</w:t>
      </w:r>
      <w:r w:rsidRPr="00FB4CE7">
        <w:rPr>
          <w:rFonts w:ascii="Segoe UI" w:hAnsi="Segoe UI" w:cs="Segoe UI" w:hint="eastAsia"/>
          <w:color w:val="000000"/>
        </w:rPr>
        <w:t>Oracle</w:t>
      </w:r>
      <w:r w:rsidRPr="00FB4CE7">
        <w:rPr>
          <w:rFonts w:ascii="Segoe UI" w:hAnsi="Segoe UI" w:cs="Segoe UI" w:hint="eastAsia"/>
          <w:color w:val="000000"/>
        </w:rPr>
        <w:t>备份是否满足每周全备、每日增量的频率</w:t>
      </w:r>
      <w:r w:rsidR="006C6F6D" w:rsidRPr="006C6F6D">
        <w:rPr>
          <w:rFonts w:ascii="Segoe UI" w:hAnsi="Segoe UI" w:cs="Segoe UI" w:hint="eastAsia"/>
          <w:b/>
          <w:color w:val="000000"/>
        </w:rPr>
        <w:t>招标文件要求</w:t>
      </w:r>
      <w:r w:rsidRPr="00FB4CE7">
        <w:rPr>
          <w:rFonts w:ascii="Segoe UI" w:hAnsi="Segoe UI" w:cs="Segoe UI" w:hint="eastAsia"/>
          <w:color w:val="000000"/>
        </w:rPr>
        <w:t>，生成合规审计报告供监管审查。此外，支持对敏感数据（如</w:t>
      </w:r>
      <w:r w:rsidR="009D6E2A">
        <w:rPr>
          <w:rFonts w:ascii="Segoe UI" w:hAnsi="Segoe UI" w:cs="Segoe UI" w:hint="eastAsia"/>
          <w:color w:val="000000"/>
        </w:rPr>
        <w:t>SAPHANA</w:t>
      </w:r>
      <w:r w:rsidRPr="00FB4CE7">
        <w:rPr>
          <w:rFonts w:ascii="Segoe UI" w:hAnsi="Segoe UI" w:cs="Segoe UI" w:hint="eastAsia"/>
          <w:color w:val="000000"/>
        </w:rPr>
        <w:t>中的财务数据）进行脱敏处理，在备份数据用于开发测试等场景时，自动替换敏感字段（如客户姓名、银行账号），既满足数据使用需求又符合隐私保护法规，全方位保障混合云容灾环境下的数据安全合规。</w:t>
      </w:r>
    </w:p>
    <w:p w14:paraId="55A7208D" w14:textId="77777777" w:rsidR="00731408" w:rsidRPr="00731408" w:rsidRDefault="00731408" w:rsidP="007F479A">
      <w:pPr>
        <w:pStyle w:val="5"/>
        <w:rPr>
          <w:rFonts w:hint="eastAsia"/>
        </w:rPr>
      </w:pPr>
      <w:r w:rsidRPr="00731408">
        <w:t>灾难应对策略</w:t>
      </w:r>
    </w:p>
    <w:p w14:paraId="2E0AFDCD" w14:textId="6DF22C43"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混合云容灾方案的灾难应对策略以多级容灾响应机制与异地灾备中心联动为核心，构建了覆盖本地故障、区域性灾难到全局危机的多层级应对体系，确保不同规模灾难场景下的业务连续性。在多级容灾响应机制方面，根据灾难影响范围与严重程度划分三级响应级别：当</w:t>
      </w:r>
      <w:r w:rsidRPr="00FB4CE7">
        <w:rPr>
          <w:rFonts w:ascii="Segoe UI" w:hAnsi="Segoe UI" w:cs="Segoe UI" w:hint="eastAsia"/>
          <w:color w:val="000000"/>
        </w:rPr>
        <w:t>NCS</w:t>
      </w:r>
      <w:r w:rsidRPr="00FB4CE7">
        <w:rPr>
          <w:rFonts w:ascii="Segoe UI" w:hAnsi="Segoe UI" w:cs="Segoe UI" w:hint="eastAsia"/>
          <w:color w:val="000000"/>
        </w:rPr>
        <w:t>或</w:t>
      </w:r>
      <w:r w:rsidR="00152F2A">
        <w:rPr>
          <w:rFonts w:ascii="Segoe UI" w:hAnsi="Segoe UI" w:cs="Segoe UI" w:hint="eastAsia"/>
          <w:color w:val="000000"/>
        </w:rPr>
        <w:t>A380</w:t>
      </w:r>
      <w:r w:rsidRPr="00FB4CE7">
        <w:rPr>
          <w:rFonts w:ascii="Segoe UI" w:hAnsi="Segoe UI" w:cs="Segoe UI" w:hint="eastAsia"/>
          <w:color w:val="000000"/>
        </w:rPr>
        <w:t>机房内单一备份服务器故障时，触发三级响应，由同机房内的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备份一体机冗余节点自动接管故障服务器的备份任务，同时通过</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管理平台发送告警，运维人员可在</w:t>
      </w:r>
      <w:r w:rsidRPr="00FB4CE7">
        <w:rPr>
          <w:rFonts w:ascii="Segoe UI" w:hAnsi="Segoe UI" w:cs="Segoe UI" w:hint="eastAsia"/>
          <w:color w:val="000000"/>
        </w:rPr>
        <w:t>30</w:t>
      </w:r>
      <w:r w:rsidRPr="00FB4CE7">
        <w:rPr>
          <w:rFonts w:ascii="Segoe UI" w:hAnsi="Segoe UI" w:cs="Segoe UI" w:hint="eastAsia"/>
          <w:color w:val="000000"/>
        </w:rPr>
        <w:t>分钟内完成故障设备更换；若单一机房遭遇火灾、断电等区域性灾难，触发二级响应，另一机房的备份一体机通过专线实时同步接收到的增量数据，立即启动跨机房容灾拉起流程，例如将</w:t>
      </w:r>
      <w:r w:rsidRPr="00FB4CE7">
        <w:rPr>
          <w:rFonts w:ascii="Segoe UI" w:hAnsi="Segoe UI" w:cs="Segoe UI" w:hint="eastAsia"/>
          <w:color w:val="000000"/>
        </w:rPr>
        <w:t>Oracle19C</w:t>
      </w:r>
      <w:r w:rsidRPr="00FB4CE7">
        <w:rPr>
          <w:rFonts w:ascii="Segoe UI" w:hAnsi="Segoe UI" w:cs="Segoe UI" w:hint="eastAsia"/>
          <w:color w:val="000000"/>
        </w:rPr>
        <w:t>数据库或</w:t>
      </w:r>
      <w:r w:rsidR="009D6E2A">
        <w:rPr>
          <w:rFonts w:ascii="Segoe UI" w:hAnsi="Segoe UI" w:cs="Segoe UI" w:hint="eastAsia"/>
          <w:color w:val="000000"/>
        </w:rPr>
        <w:t>SAPHANA</w:t>
      </w:r>
      <w:r w:rsidRPr="00FB4CE7">
        <w:rPr>
          <w:rFonts w:ascii="Segoe UI" w:hAnsi="Segoe UI" w:cs="Segoe UI" w:hint="eastAsia"/>
          <w:color w:val="000000"/>
        </w:rPr>
        <w:t>系统在非故障机房快速恢复，确保业务中断时间控制在</w:t>
      </w:r>
      <w:r w:rsidRPr="00FB4CE7">
        <w:rPr>
          <w:rFonts w:ascii="Segoe UI" w:hAnsi="Segoe UI" w:cs="Segoe UI" w:hint="eastAsia"/>
          <w:color w:val="000000"/>
        </w:rPr>
        <w:t>1</w:t>
      </w:r>
      <w:r w:rsidRPr="00FB4CE7">
        <w:rPr>
          <w:rFonts w:ascii="Segoe UI" w:hAnsi="Segoe UI" w:cs="Segoe UI" w:hint="eastAsia"/>
          <w:color w:val="000000"/>
        </w:rPr>
        <w:t>小时以内；当遭遇地震、大规模网络攻击等全局灾难时，触发一级响应，自动激活华为云灾备中心的异地容灾能力，通过预先配置的云端拉起脚本，在公有云环境中挂载本地同步的备份数据，</w:t>
      </w:r>
      <w:r w:rsidRPr="00FB4CE7">
        <w:rPr>
          <w:rFonts w:ascii="Segoe UI" w:hAnsi="Segoe UI" w:cs="Segoe UI" w:hint="eastAsia"/>
          <w:color w:val="000000"/>
        </w:rPr>
        <w:t>10</w:t>
      </w:r>
      <w:r w:rsidRPr="00FB4CE7">
        <w:rPr>
          <w:rFonts w:ascii="Segoe UI" w:hAnsi="Segoe UI" w:cs="Segoe UI" w:hint="eastAsia"/>
          <w:color w:val="000000"/>
        </w:rPr>
        <w:t>分钟内恢复核心业务系统，同时启动异地灾备中心与本</w:t>
      </w:r>
      <w:r w:rsidRPr="00FB4CE7">
        <w:rPr>
          <w:rFonts w:ascii="Segoe UI" w:hAnsi="Segoe UI" w:cs="Segoe UI" w:hint="eastAsia"/>
          <w:color w:val="000000"/>
        </w:rPr>
        <w:lastRenderedPageBreak/>
        <w:t>地机房的双向通信链路，为后续数据回传与系统重建做准备。每级响应均配备标准化操作手册与自动化执行流程，避免人工决策失误。</w:t>
      </w:r>
    </w:p>
    <w:p w14:paraId="0713C8DF" w14:textId="4E973FF0"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异地灾备中心联动机制实现了本地与云端容灾资源的协同调度。华为云灾备中心作为异地容灾核心，与</w:t>
      </w:r>
      <w:r w:rsidRPr="00FB4CE7">
        <w:rPr>
          <w:rFonts w:ascii="Segoe UI" w:hAnsi="Segoe UI" w:cs="Segoe UI" w:hint="eastAsia"/>
          <w:color w:val="000000"/>
        </w:rPr>
        <w:t>NCS</w:t>
      </w:r>
      <w:r w:rsidRPr="00FB4CE7">
        <w:rPr>
          <w:rFonts w:ascii="Segoe UI" w:hAnsi="Segoe UI" w:cs="Segoe UI" w:hint="eastAsia"/>
          <w:color w:val="000000"/>
        </w:rPr>
        <w:t>、</w:t>
      </w:r>
      <w:r w:rsidR="00152F2A">
        <w:rPr>
          <w:rFonts w:ascii="Segoe UI" w:hAnsi="Segoe UI" w:cs="Segoe UI" w:hint="eastAsia"/>
          <w:color w:val="000000"/>
        </w:rPr>
        <w:t>A380</w:t>
      </w:r>
      <w:r w:rsidRPr="00FB4CE7">
        <w:rPr>
          <w:rFonts w:ascii="Segoe UI" w:hAnsi="Segoe UI" w:cs="Segoe UI" w:hint="eastAsia"/>
          <w:color w:val="000000"/>
        </w:rPr>
        <w:t>及</w:t>
      </w:r>
      <w:r w:rsidRPr="00FB4CE7">
        <w:rPr>
          <w:rFonts w:ascii="Segoe UI" w:hAnsi="Segoe UI" w:cs="Segoe UI" w:hint="eastAsia"/>
          <w:color w:val="000000"/>
        </w:rPr>
        <w:t>OBV</w:t>
      </w:r>
      <w:r w:rsidRPr="00FB4CE7">
        <w:rPr>
          <w:rFonts w:ascii="Segoe UI" w:hAnsi="Segoe UI" w:cs="Segoe UI" w:hint="eastAsia"/>
          <w:color w:val="000000"/>
        </w:rPr>
        <w:t>机房形成“三位一体”的容灾网络：日常运行中，本地机房的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一体机通过专线将</w:t>
      </w:r>
      <w:r w:rsidRPr="00FB4CE7">
        <w:rPr>
          <w:rFonts w:ascii="Segoe UI" w:hAnsi="Segoe UI" w:cs="Segoe UI" w:hint="eastAsia"/>
          <w:color w:val="000000"/>
        </w:rPr>
        <w:t>Oracle</w:t>
      </w:r>
      <w:r w:rsidRPr="00FB4CE7">
        <w:rPr>
          <w:rFonts w:ascii="Segoe UI" w:hAnsi="Segoe UI" w:cs="Segoe UI" w:hint="eastAsia"/>
          <w:color w:val="000000"/>
        </w:rPr>
        <w:t>、</w:t>
      </w:r>
      <w:r w:rsidR="009D6E2A">
        <w:rPr>
          <w:rFonts w:ascii="Segoe UI" w:hAnsi="Segoe UI" w:cs="Segoe UI" w:hint="eastAsia"/>
          <w:color w:val="000000"/>
        </w:rPr>
        <w:t>SAPHANA</w:t>
      </w:r>
      <w:r w:rsidRPr="00FB4CE7">
        <w:rPr>
          <w:rFonts w:ascii="Segoe UI" w:hAnsi="Segoe UI" w:cs="Segoe UI" w:hint="eastAsia"/>
          <w:color w:val="000000"/>
        </w:rPr>
        <w:t>等核心数据的增量备份实时同步至云端，同步频率可配置为</w:t>
      </w:r>
      <w:r w:rsidRPr="00FB4CE7">
        <w:rPr>
          <w:rFonts w:ascii="Segoe UI" w:hAnsi="Segoe UI" w:cs="Segoe UI" w:hint="eastAsia"/>
          <w:color w:val="000000"/>
        </w:rPr>
        <w:t>5</w:t>
      </w:r>
      <w:r w:rsidRPr="00FB4CE7">
        <w:rPr>
          <w:rFonts w:ascii="Segoe UI" w:hAnsi="Segoe UI" w:cs="Segoe UI" w:hint="eastAsia"/>
          <w:color w:val="000000"/>
        </w:rPr>
        <w:t>分钟至</w:t>
      </w:r>
      <w:r w:rsidRPr="00FB4CE7">
        <w:rPr>
          <w:rFonts w:ascii="Segoe UI" w:hAnsi="Segoe UI" w:cs="Segoe UI" w:hint="eastAsia"/>
          <w:color w:val="000000"/>
        </w:rPr>
        <w:t>1</w:t>
      </w:r>
      <w:r w:rsidRPr="00FB4CE7">
        <w:rPr>
          <w:rFonts w:ascii="Segoe UI" w:hAnsi="Segoe UI" w:cs="Segoe UI" w:hint="eastAsia"/>
          <w:color w:val="000000"/>
        </w:rPr>
        <w:t>小时，确保云端备份副本与本地生产数据的</w:t>
      </w:r>
      <w:r w:rsidRPr="00FB4CE7">
        <w:rPr>
          <w:rFonts w:ascii="Segoe UI" w:hAnsi="Segoe UI" w:cs="Segoe UI" w:hint="eastAsia"/>
          <w:color w:val="000000"/>
        </w:rPr>
        <w:t>RPO</w:t>
      </w:r>
      <w:r w:rsidRPr="00FB4CE7">
        <w:rPr>
          <w:rFonts w:ascii="Segoe UI" w:hAnsi="Segoe UI" w:cs="Segoe UI" w:hint="eastAsia"/>
          <w:color w:val="000000"/>
        </w:rPr>
        <w:t>（恢复点目标）控制在分钟级；当本地机房需要执行容灾演练或计划性停机时，提前将业务系统切换至云端灾备中心运行，利用华为云的弹性计算资源维持业务连续性，演练完成后无缝切回本地；若本地发生灾难且无法短时间恢复，异地灾备中心自动升级为主生产环境，通过负载均衡技术将用户访问流量导向云端服务，同时启动数据双向同步，确保灾难期间产生的新数据在本地恢复后能完整回传。此外，异地灾备中心还支持与其他华为云区域的容灾联动，当单一云区域出现故障时，自动切换至跨区域容灾节点，进一步提升容灾体系的可靠性。联动过程中，</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管理平台提供统一的灾备切换控制面板，可视化展示本地与云端的资源状态、数据同步进度及切换倒计时，确保灾难应对的高效性与可追溯性。</w:t>
      </w:r>
    </w:p>
    <w:p w14:paraId="7E9389ED" w14:textId="2FCAC350" w:rsidR="00BE572F" w:rsidRDefault="00BE572F" w:rsidP="00AD0F58">
      <w:pPr>
        <w:pStyle w:val="3"/>
        <w:rPr>
          <w:rFonts w:hint="eastAsia"/>
        </w:rPr>
      </w:pPr>
      <w:r>
        <w:t>云资源迁移方案</w:t>
      </w:r>
    </w:p>
    <w:p w14:paraId="7502686F" w14:textId="54E66219" w:rsidR="00007C57" w:rsidRPr="00007C57" w:rsidRDefault="00007C57" w:rsidP="00007C57">
      <w:pPr>
        <w:pStyle w:val="4"/>
        <w:rPr>
          <w:rFonts w:hint="eastAsia"/>
        </w:rPr>
      </w:pPr>
      <w:r w:rsidRPr="00007C57">
        <w:t>方案概述</w:t>
      </w:r>
    </w:p>
    <w:p w14:paraId="4A5CE278" w14:textId="254E47AE" w:rsidR="00007C57" w:rsidRPr="00007C57" w:rsidRDefault="00007C57" w:rsidP="00007C57">
      <w:pPr>
        <w:pStyle w:val="5"/>
        <w:rPr>
          <w:rFonts w:hint="eastAsia"/>
        </w:rPr>
      </w:pPr>
      <w:r w:rsidRPr="00007C57">
        <w:t>方案背景</w:t>
      </w:r>
    </w:p>
    <w:p w14:paraId="0F0FF05F" w14:textId="742CB9A0"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随着企业数字化转型的深入推进，传统自建</w:t>
      </w:r>
      <w:r w:rsidRPr="00C6550E">
        <w:rPr>
          <w:rFonts w:ascii="Segoe UI" w:hAnsi="Segoe UI" w:cs="Segoe UI" w:hint="eastAsia"/>
          <w:color w:val="000000"/>
        </w:rPr>
        <w:t>IDC</w:t>
      </w:r>
      <w:r w:rsidRPr="00C6550E">
        <w:rPr>
          <w:rFonts w:ascii="Segoe UI" w:hAnsi="Segoe UI" w:cs="Segoe UI" w:hint="eastAsia"/>
          <w:color w:val="000000"/>
        </w:rPr>
        <w:t>机房与异构云环境在资源弹性、运维效率及成本控制等方面的局限性日益凸显。许多企业面临着从自建</w:t>
      </w:r>
      <w:r w:rsidRPr="00C6550E">
        <w:rPr>
          <w:rFonts w:ascii="Segoe UI" w:hAnsi="Segoe UI" w:cs="Segoe UI" w:hint="eastAsia"/>
          <w:color w:val="000000"/>
        </w:rPr>
        <w:t>IDC</w:t>
      </w:r>
      <w:r w:rsidRPr="00C6550E">
        <w:rPr>
          <w:rFonts w:ascii="Segoe UI" w:hAnsi="Segoe UI" w:cs="Segoe UI" w:hint="eastAsia"/>
          <w:color w:val="000000"/>
        </w:rPr>
        <w:t>机房或其他云厂商迁移至华为云的迫切需求，原有系统存在架构复杂、资源利用率低、扩容困难等问题，尤其是在应对业务快速变化时，自建</w:t>
      </w:r>
      <w:r w:rsidRPr="00C6550E">
        <w:rPr>
          <w:rFonts w:ascii="Segoe UI" w:hAnsi="Segoe UI" w:cs="Segoe UI" w:hint="eastAsia"/>
          <w:color w:val="000000"/>
        </w:rPr>
        <w:t>IDC</w:t>
      </w:r>
      <w:r w:rsidRPr="00C6550E">
        <w:rPr>
          <w:rFonts w:ascii="Segoe UI" w:hAnsi="Segoe UI" w:cs="Segoe UI" w:hint="eastAsia"/>
          <w:color w:val="000000"/>
        </w:rPr>
        <w:t>的硬件预置模式导致成本高企，而其他云厂商的异构架构则带来数据迁移难、业务兼容性差等挑战。</w:t>
      </w:r>
    </w:p>
    <w:p w14:paraId="71852BC0" w14:textId="37BDF69C"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在此背景下，华为云凭借其在混合云容灾与迁移领域的技术积累，针对企业从自建</w:t>
      </w:r>
      <w:r w:rsidRPr="00C6550E">
        <w:rPr>
          <w:rFonts w:ascii="Segoe UI" w:hAnsi="Segoe UI" w:cs="Segoe UI" w:hint="eastAsia"/>
          <w:color w:val="000000"/>
        </w:rPr>
        <w:t>IDC</w:t>
      </w:r>
      <w:r w:rsidRPr="00C6550E">
        <w:rPr>
          <w:rFonts w:ascii="Segoe UI" w:hAnsi="Segoe UI" w:cs="Segoe UI" w:hint="eastAsia"/>
          <w:color w:val="000000"/>
        </w:rPr>
        <w:t>或其他云平台迁移至华为云的场景，构建了一套完整的云主机迁移方案。该方案聚焦于解决迁移过程中的数据完整性、业务连续性及异构环境兼容等核心问题，通过融合华为云的弹性计算、存储服务与容灾技术，为企业提供从评估、迁移到验证的全流程支持。</w:t>
      </w:r>
    </w:p>
    <w:p w14:paraId="686904DC" w14:textId="2BC9A1A1"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现有自建</w:t>
      </w:r>
      <w:r w:rsidRPr="00C6550E">
        <w:rPr>
          <w:rFonts w:ascii="Segoe UI" w:hAnsi="Segoe UI" w:cs="Segoe UI" w:hint="eastAsia"/>
          <w:color w:val="000000"/>
        </w:rPr>
        <w:t>IDC</w:t>
      </w:r>
      <w:r w:rsidRPr="00C6550E">
        <w:rPr>
          <w:rFonts w:ascii="Segoe UI" w:hAnsi="Segoe UI" w:cs="Segoe UI" w:hint="eastAsia"/>
          <w:color w:val="000000"/>
        </w:rPr>
        <w:t>或其他云环境中，企业往往部署了包括</w:t>
      </w:r>
      <w:r w:rsidRPr="00C6550E">
        <w:rPr>
          <w:rFonts w:ascii="Segoe UI" w:hAnsi="Segoe UI" w:cs="Segoe UI" w:hint="eastAsia"/>
          <w:color w:val="000000"/>
        </w:rPr>
        <w:t>Oracle</w:t>
      </w:r>
      <w:r w:rsidRPr="00C6550E">
        <w:rPr>
          <w:rFonts w:ascii="Segoe UI" w:hAnsi="Segoe UI" w:cs="Segoe UI" w:hint="eastAsia"/>
          <w:color w:val="000000"/>
        </w:rPr>
        <w:t>数据库、</w:t>
      </w:r>
      <w:r w:rsidRPr="00C6550E">
        <w:rPr>
          <w:rFonts w:ascii="Segoe UI" w:hAnsi="Segoe UI" w:cs="Segoe UI" w:hint="eastAsia"/>
          <w:color w:val="000000"/>
        </w:rPr>
        <w:t>SAPHANA</w:t>
      </w:r>
      <w:r w:rsidRPr="00C6550E">
        <w:rPr>
          <w:rFonts w:ascii="Segoe UI" w:hAnsi="Segoe UI" w:cs="Segoe UI" w:hint="eastAsia"/>
          <w:color w:val="000000"/>
        </w:rPr>
        <w:t>系统等核心业务应用，运行在</w:t>
      </w:r>
      <w:proofErr w:type="spellStart"/>
      <w:r w:rsidRPr="00C6550E">
        <w:rPr>
          <w:rFonts w:ascii="Segoe UI" w:hAnsi="Segoe UI" w:cs="Segoe UI" w:hint="eastAsia"/>
          <w:color w:val="000000"/>
        </w:rPr>
        <w:t>Redhat</w:t>
      </w:r>
      <w:proofErr w:type="spellEnd"/>
      <w:r w:rsidRPr="00C6550E">
        <w:rPr>
          <w:rFonts w:ascii="Segoe UI" w:hAnsi="Segoe UI" w:cs="Segoe UI" w:hint="eastAsia"/>
          <w:color w:val="000000"/>
        </w:rPr>
        <w:t>、</w:t>
      </w:r>
      <w:proofErr w:type="spellStart"/>
      <w:r w:rsidRPr="00C6550E">
        <w:rPr>
          <w:rFonts w:ascii="Segoe UI" w:hAnsi="Segoe UI" w:cs="Segoe UI" w:hint="eastAsia"/>
          <w:color w:val="000000"/>
        </w:rPr>
        <w:t>Suse</w:t>
      </w:r>
      <w:proofErr w:type="spellEnd"/>
      <w:r w:rsidRPr="00C6550E">
        <w:rPr>
          <w:rFonts w:ascii="Segoe UI" w:hAnsi="Segoe UI" w:cs="Segoe UI" w:hint="eastAsia"/>
          <w:color w:val="000000"/>
        </w:rPr>
        <w:t>等不同操作系统之上，形成了复杂的异构</w:t>
      </w:r>
      <w:r w:rsidRPr="00C6550E">
        <w:rPr>
          <w:rFonts w:ascii="Segoe UI" w:hAnsi="Segoe UI" w:cs="Segoe UI" w:hint="eastAsia"/>
          <w:color w:val="000000"/>
        </w:rPr>
        <w:t>IT</w:t>
      </w:r>
      <w:r w:rsidRPr="00C6550E">
        <w:rPr>
          <w:rFonts w:ascii="Segoe UI" w:hAnsi="Segoe UI" w:cs="Segoe UI" w:hint="eastAsia"/>
          <w:color w:val="000000"/>
        </w:rPr>
        <w:t>架构。这些系统在长期运行中积累了海量数据，且业务对连续性</w:t>
      </w:r>
      <w:r w:rsidR="006C6F6D" w:rsidRPr="006C6F6D">
        <w:rPr>
          <w:rFonts w:ascii="Segoe UI" w:hAnsi="Segoe UI" w:cs="Segoe UI" w:hint="eastAsia"/>
          <w:b/>
          <w:color w:val="000000"/>
        </w:rPr>
        <w:t>招标文件要求</w:t>
      </w:r>
      <w:r w:rsidRPr="00C6550E">
        <w:rPr>
          <w:rFonts w:ascii="Segoe UI" w:hAnsi="Segoe UI" w:cs="Segoe UI" w:hint="eastAsia"/>
          <w:color w:val="000000"/>
        </w:rPr>
        <w:t>极高，传统迁移方式面临着数据丢失风险高、迁移周期长、业务中断时间久等难题。华为云主机迁移方案正是基于企业对高效、安全迁移的迫切需求而设计，旨在通过标准化的迁移流程与智能化的技术手段，实现云主机及核心业务系统向华为云的平滑迁移，助力企业降低</w:t>
      </w:r>
      <w:r w:rsidRPr="00C6550E">
        <w:rPr>
          <w:rFonts w:ascii="Segoe UI" w:hAnsi="Segoe UI" w:cs="Segoe UI" w:hint="eastAsia"/>
          <w:color w:val="000000"/>
        </w:rPr>
        <w:t>IT</w:t>
      </w:r>
      <w:r w:rsidRPr="00C6550E">
        <w:rPr>
          <w:rFonts w:ascii="Segoe UI" w:hAnsi="Segoe UI" w:cs="Segoe UI" w:hint="eastAsia"/>
          <w:color w:val="000000"/>
        </w:rPr>
        <w:t>运维成本，提升资源利用效率，加速数字化转型进程。</w:t>
      </w:r>
    </w:p>
    <w:p w14:paraId="1FEC6203" w14:textId="47209595" w:rsidR="00007C57" w:rsidRPr="00007C57" w:rsidRDefault="00007C57" w:rsidP="00007C57">
      <w:pPr>
        <w:pStyle w:val="5"/>
        <w:rPr>
          <w:rFonts w:hint="eastAsia"/>
        </w:rPr>
      </w:pPr>
      <w:r w:rsidRPr="00007C57">
        <w:lastRenderedPageBreak/>
        <w:t>方案目标</w:t>
      </w:r>
    </w:p>
    <w:p w14:paraId="4E7043D7" w14:textId="4C24D8FD"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Pr>
          <w:rFonts w:ascii="Segoe UI" w:hAnsi="Segoe UI" w:cs="Segoe UI" w:hint="eastAsia"/>
          <w:color w:val="000000"/>
        </w:rPr>
        <w:t>要</w:t>
      </w:r>
      <w:r w:rsidRPr="00C6550E">
        <w:rPr>
          <w:rFonts w:ascii="Segoe UI" w:hAnsi="Segoe UI" w:cs="Segoe UI" w:hint="eastAsia"/>
          <w:color w:val="000000"/>
        </w:rPr>
        <w:t>实现从其他云厂商或自建</w:t>
      </w:r>
      <w:r w:rsidRPr="00C6550E">
        <w:rPr>
          <w:rFonts w:ascii="Segoe UI" w:hAnsi="Segoe UI" w:cs="Segoe UI" w:hint="eastAsia"/>
          <w:color w:val="000000"/>
        </w:rPr>
        <w:t>IDC</w:t>
      </w:r>
      <w:r w:rsidRPr="00C6550E">
        <w:rPr>
          <w:rFonts w:ascii="Segoe UI" w:hAnsi="Segoe UI" w:cs="Segoe UI" w:hint="eastAsia"/>
          <w:color w:val="000000"/>
        </w:rPr>
        <w:t>机房到华为云的云主机迁移，在实用性方面，要确保迁移过程高效且具备实际可操作性，能切实解决企业因现有环境在资源弹性、运维效率及成本控制等方面的局限而产生的迁移需求，让企业能够借助华为云的优势提升业务运行效率。规范性上，建立标准化的迁移流程，涵盖从评估、迁移到验证的全流程，使迁移工作有章可循，保障迁移过程的有序性和可追溯性，避免因流程混乱导致的迁移风险。</w:t>
      </w:r>
    </w:p>
    <w:p w14:paraId="43E76918" w14:textId="5AE38CC4"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可实施性方面，通过融合华为云的弹性计算、存储服务与容灾技术，为企业提供切实可行的技术支持，确保迁移方案在实际操作中能够顺利执行，无论是针对包含</w:t>
      </w:r>
      <w:r w:rsidRPr="00C6550E">
        <w:rPr>
          <w:rFonts w:ascii="Segoe UI" w:hAnsi="Segoe UI" w:cs="Segoe UI" w:hint="eastAsia"/>
          <w:color w:val="000000"/>
        </w:rPr>
        <w:t>Oracle</w:t>
      </w:r>
      <w:r w:rsidRPr="00C6550E">
        <w:rPr>
          <w:rFonts w:ascii="Segoe UI" w:hAnsi="Segoe UI" w:cs="Segoe UI" w:hint="eastAsia"/>
          <w:color w:val="000000"/>
        </w:rPr>
        <w:t>数据库、</w:t>
      </w:r>
      <w:r w:rsidRPr="00C6550E">
        <w:rPr>
          <w:rFonts w:ascii="Segoe UI" w:hAnsi="Segoe UI" w:cs="Segoe UI" w:hint="eastAsia"/>
          <w:color w:val="000000"/>
        </w:rPr>
        <w:t>SAPHANA</w:t>
      </w:r>
      <w:r w:rsidRPr="00C6550E">
        <w:rPr>
          <w:rFonts w:ascii="Segoe UI" w:hAnsi="Segoe UI" w:cs="Segoe UI" w:hint="eastAsia"/>
          <w:color w:val="000000"/>
        </w:rPr>
        <w:t>系统等核心业务应用的复杂异构</w:t>
      </w:r>
      <w:r w:rsidRPr="00C6550E">
        <w:rPr>
          <w:rFonts w:ascii="Segoe UI" w:hAnsi="Segoe UI" w:cs="Segoe UI" w:hint="eastAsia"/>
          <w:color w:val="000000"/>
        </w:rPr>
        <w:t>IT</w:t>
      </w:r>
      <w:r w:rsidRPr="00C6550E">
        <w:rPr>
          <w:rFonts w:ascii="Segoe UI" w:hAnsi="Segoe UI" w:cs="Segoe UI" w:hint="eastAsia"/>
          <w:color w:val="000000"/>
        </w:rPr>
        <w:t>架构，还是运行在</w:t>
      </w:r>
      <w:proofErr w:type="spellStart"/>
      <w:r w:rsidRPr="00C6550E">
        <w:rPr>
          <w:rFonts w:ascii="Segoe UI" w:hAnsi="Segoe UI" w:cs="Segoe UI" w:hint="eastAsia"/>
          <w:color w:val="000000"/>
        </w:rPr>
        <w:t>Redhat</w:t>
      </w:r>
      <w:proofErr w:type="spellEnd"/>
      <w:r w:rsidRPr="00C6550E">
        <w:rPr>
          <w:rFonts w:ascii="Segoe UI" w:hAnsi="Segoe UI" w:cs="Segoe UI" w:hint="eastAsia"/>
          <w:color w:val="000000"/>
        </w:rPr>
        <w:t>、</w:t>
      </w:r>
      <w:proofErr w:type="spellStart"/>
      <w:r w:rsidRPr="00C6550E">
        <w:rPr>
          <w:rFonts w:ascii="Segoe UI" w:hAnsi="Segoe UI" w:cs="Segoe UI" w:hint="eastAsia"/>
          <w:color w:val="000000"/>
        </w:rPr>
        <w:t>Suse</w:t>
      </w:r>
      <w:proofErr w:type="spellEnd"/>
      <w:r w:rsidRPr="00C6550E">
        <w:rPr>
          <w:rFonts w:ascii="Segoe UI" w:hAnsi="Segoe UI" w:cs="Segoe UI" w:hint="eastAsia"/>
          <w:color w:val="000000"/>
        </w:rPr>
        <w:t>等不同操作系统上的系统，都能找到对应的迁移解决方案。</w:t>
      </w:r>
    </w:p>
    <w:p w14:paraId="1FB79D54" w14:textId="0EB78376"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在确保迁移后应用正常运行（除</w:t>
      </w:r>
      <w:r w:rsidRPr="00C6550E">
        <w:rPr>
          <w:rFonts w:ascii="Segoe UI" w:hAnsi="Segoe UI" w:cs="Segoe UI" w:hint="eastAsia"/>
          <w:color w:val="000000"/>
        </w:rPr>
        <w:t>IP</w:t>
      </w:r>
      <w:r w:rsidRPr="00C6550E">
        <w:rPr>
          <w:rFonts w:ascii="Segoe UI" w:hAnsi="Segoe UI" w:cs="Segoe UI" w:hint="eastAsia"/>
          <w:color w:val="000000"/>
        </w:rPr>
        <w:t>地址变更影响）方面，重点解决迁移过程中的数据完整性和业务连续性问题，采用可靠的技术手段保证迁移后应用系统的功能完整性和性能稳定性，使应用能够在华为云环境中正常运行，减少因迁移对业务造成的影响。</w:t>
      </w:r>
    </w:p>
    <w:p w14:paraId="621B70A9"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安全性上，构建完善的安全体系，在迁移过程中保障数据的传输安全、存储安全以及访问控制安全，防止数据泄露、篡改等安全事件发生，同时在迁移后的华为云环境中，继续提供多层次的安全防护，确保企业业务和数据的安全。</w:t>
      </w:r>
    </w:p>
    <w:p w14:paraId="4A78CAC1" w14:textId="51BDF8BB"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扩展性方面，利用华为云的弹性优势，使迁移后的系统能够根据企业业务发展需求，灵活扩展计算、存储等资源，满足企业业务快速变化的需求，避免因资源限制而影响企业发展，助力企业加速数字化转型进程</w:t>
      </w:r>
    </w:p>
    <w:p w14:paraId="549E77A3" w14:textId="77777777" w:rsidR="00007C57" w:rsidRDefault="00007C57" w:rsidP="00007C57">
      <w:pPr>
        <w:pStyle w:val="4"/>
        <w:rPr>
          <w:rFonts w:hint="eastAsia"/>
        </w:rPr>
      </w:pPr>
      <w:bookmarkStart w:id="131" w:name="_Hlk202386435"/>
      <w:r>
        <w:rPr>
          <w:rFonts w:hint="eastAsia"/>
        </w:rPr>
        <w:t>云主机迁移方案</w:t>
      </w:r>
      <w:r w:rsidRPr="00577E0B">
        <w:rPr>
          <w:rFonts w:hint="eastAsia"/>
        </w:rPr>
        <w:t>（操作系统：windowsserver2016/2019）</w:t>
      </w:r>
    </w:p>
    <w:p w14:paraId="5EF08EAD" w14:textId="2B31DE95" w:rsidR="00007C57" w:rsidRPr="00007C57" w:rsidRDefault="00007C57" w:rsidP="00007C57">
      <w:pPr>
        <w:pStyle w:val="5"/>
        <w:rPr>
          <w:rFonts w:hint="eastAsia"/>
        </w:rPr>
      </w:pPr>
      <w:r w:rsidRPr="00007C57">
        <w:t>迁移准备工作</w:t>
      </w:r>
    </w:p>
    <w:p w14:paraId="4D9E799C" w14:textId="3334CE93" w:rsidR="00007C57" w:rsidRPr="00007C57" w:rsidRDefault="00007C57" w:rsidP="00007C57">
      <w:pPr>
        <w:pStyle w:val="6"/>
        <w:rPr>
          <w:rFonts w:hint="eastAsia"/>
        </w:rPr>
      </w:pPr>
      <w:r w:rsidRPr="00007C57">
        <w:t>数据备份</w:t>
      </w:r>
    </w:p>
    <w:p w14:paraId="3233D4E8" w14:textId="754C60D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为确保</w:t>
      </w:r>
      <w:r w:rsidRPr="00C6550E">
        <w:rPr>
          <w:rFonts w:ascii="Segoe UI" w:hAnsi="Segoe UI" w:cs="Segoe UI" w:hint="eastAsia"/>
          <w:color w:val="000000"/>
        </w:rPr>
        <w:t>WindowsServer2016/2019</w:t>
      </w:r>
      <w:r w:rsidRPr="00C6550E">
        <w:rPr>
          <w:rFonts w:ascii="Segoe UI" w:hAnsi="Segoe UI" w:cs="Segoe UI" w:hint="eastAsia"/>
          <w:color w:val="000000"/>
        </w:rPr>
        <w:t>类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097B9CCE" w14:textId="5F84E9A1"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首先，针对系统盘，建议采用镜像备份方式，通过</w:t>
      </w:r>
      <w:r w:rsidRPr="00C6550E">
        <w:rPr>
          <w:rFonts w:ascii="Segoe UI" w:hAnsi="Segoe UI" w:cs="Segoe UI" w:hint="eastAsia"/>
          <w:color w:val="000000"/>
        </w:rPr>
        <w:t>Windows</w:t>
      </w:r>
      <w:r w:rsidRPr="00C6550E">
        <w:rPr>
          <w:rFonts w:ascii="Segoe UI" w:hAnsi="Segoe UI" w:cs="Segoe UI" w:hint="eastAsia"/>
          <w:color w:val="000000"/>
        </w:rPr>
        <w:t>内置的“系统映像备份”工具或第三方备份软件（如</w:t>
      </w:r>
      <w:r w:rsidRPr="00C6550E">
        <w:rPr>
          <w:rFonts w:ascii="Segoe UI" w:hAnsi="Segoe UI" w:cs="Segoe UI" w:hint="eastAsia"/>
          <w:color w:val="000000"/>
        </w:rPr>
        <w:t>Veeam</w:t>
      </w:r>
      <w:r w:rsidRPr="00C6550E">
        <w:rPr>
          <w:rFonts w:ascii="Segoe UI" w:hAnsi="Segoe UI" w:cs="Segoe UI" w:hint="eastAsia"/>
          <w:color w:val="000000"/>
        </w:rPr>
        <w:t>、</w:t>
      </w:r>
      <w:r w:rsidRPr="00C6550E">
        <w:rPr>
          <w:rFonts w:ascii="Segoe UI" w:hAnsi="Segoe UI" w:cs="Segoe UI" w:hint="eastAsia"/>
          <w:color w:val="000000"/>
        </w:rPr>
        <w:t>Acronis</w:t>
      </w:r>
      <w:r w:rsidRPr="00C6550E">
        <w:rPr>
          <w:rFonts w:ascii="Segoe UI" w:hAnsi="Segoe UI" w:cs="Segoe UI" w:hint="eastAsia"/>
          <w:color w:val="000000"/>
        </w:rPr>
        <w:t>等）创建完整的系统镜像，镜像需包含操作系统内核、驱动程序、已安装补丁及系统配置，确保迁移后可通过镜像快速恢复系统环境。对于数据盘，需根据数据类型制定差异化备份策略：若为数据库数据（如</w:t>
      </w:r>
      <w:proofErr w:type="spellStart"/>
      <w:r w:rsidRPr="00C6550E">
        <w:rPr>
          <w:rFonts w:ascii="Segoe UI" w:hAnsi="Segoe UI" w:cs="Segoe UI" w:hint="eastAsia"/>
          <w:color w:val="000000"/>
        </w:rPr>
        <w:t>SQLServer</w:t>
      </w:r>
      <w:proofErr w:type="spellEnd"/>
      <w:r w:rsidRPr="00C6550E">
        <w:rPr>
          <w:rFonts w:ascii="Segoe UI" w:hAnsi="Segoe UI" w:cs="Segoe UI" w:hint="eastAsia"/>
          <w:color w:val="000000"/>
        </w:rPr>
        <w:t>数据库），应利用数据库自带的备份功能（如</w:t>
      </w:r>
      <w:proofErr w:type="spellStart"/>
      <w:r w:rsidRPr="00C6550E">
        <w:rPr>
          <w:rFonts w:ascii="Segoe UI" w:hAnsi="Segoe UI" w:cs="Segoe UI" w:hint="eastAsia"/>
          <w:color w:val="000000"/>
        </w:rPr>
        <w:t>SQLServer</w:t>
      </w:r>
      <w:proofErr w:type="spellEnd"/>
      <w:r w:rsidRPr="00C6550E">
        <w:rPr>
          <w:rFonts w:ascii="Segoe UI" w:hAnsi="Segoe UI" w:cs="Segoe UI" w:hint="eastAsia"/>
          <w:color w:val="000000"/>
        </w:rPr>
        <w:t>备份作业）执行全量备份与事务日志备份，确</w:t>
      </w:r>
      <w:r w:rsidRPr="00C6550E">
        <w:rPr>
          <w:rFonts w:ascii="Segoe UI" w:hAnsi="Segoe UI" w:cs="Segoe UI" w:hint="eastAsia"/>
          <w:color w:val="000000"/>
        </w:rPr>
        <w:lastRenderedPageBreak/>
        <w:t>保数据一致性；若为文件数据（如业务文档、日志文件），可通过拷贝或压缩方式存储至专用备份存储设备，或利用华为云提供的对象存储服务（如</w:t>
      </w:r>
      <w:r w:rsidRPr="00C6550E">
        <w:rPr>
          <w:rFonts w:ascii="Segoe UI" w:hAnsi="Segoe UI" w:cs="Segoe UI" w:hint="eastAsia"/>
          <w:color w:val="000000"/>
        </w:rPr>
        <w:t>OBS</w:t>
      </w:r>
      <w:r w:rsidRPr="00C6550E">
        <w:rPr>
          <w:rFonts w:ascii="Segoe UI" w:hAnsi="Segoe UI" w:cs="Segoe UI" w:hint="eastAsia"/>
          <w:color w:val="000000"/>
        </w:rPr>
        <w:t>）进行异地存储，避免与镜像、快照或实例存储在同一位置，降低因存储介质故障导致的备份失效风险。</w:t>
      </w:r>
    </w:p>
    <w:p w14:paraId="663B3A1D"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其次，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同时，备份存储位置需独立于迁移源端与目标端的云主机实例，例如将备份数据存储至华为云的专属备份存储池、本地物理存储设备或其他第三方存储介质，避免因云主机迁移过程中的配置变更、网络异常或实例故障导致备份数据不可用。</w:t>
      </w:r>
    </w:p>
    <w:p w14:paraId="53AC2BB0" w14:textId="09315BFB"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此外，对于关键业务系统，建议在迁移前执行增量备份，确保迁移窗口期内的数据变化被实时捕获。例如，若迁移操作安排在夜间进行，可在当天业务结束后执行一次全量备份，随后每小时执行一次增量备份，增量备份数据需及时传输至独立存储设备，最大限度减少数据丢失风险。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0F14ECDC" w14:textId="10732305" w:rsidR="00007C57" w:rsidRPr="00007C57" w:rsidRDefault="00007C57" w:rsidP="00007C57">
      <w:pPr>
        <w:pStyle w:val="6"/>
        <w:rPr>
          <w:rFonts w:hint="eastAsia"/>
        </w:rPr>
      </w:pPr>
      <w:r w:rsidRPr="00007C57">
        <w:t>目标实例资源</w:t>
      </w:r>
      <w:r w:rsidR="006C6F6D" w:rsidRPr="006C6F6D">
        <w:t>招标文件要求</w:t>
      </w:r>
    </w:p>
    <w:p w14:paraId="46D58D1E" w14:textId="78EDD286"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在迁移准备工作中，目标实例的资源配置需满足数据盘与磁盘容量的特定</w:t>
      </w:r>
      <w:r w:rsidR="006C6F6D" w:rsidRPr="006C6F6D">
        <w:rPr>
          <w:rFonts w:ascii="Segoe UI" w:hAnsi="Segoe UI" w:cs="Segoe UI" w:hint="eastAsia"/>
          <w:b/>
          <w:color w:val="000000"/>
        </w:rPr>
        <w:t>招标文件要求</w:t>
      </w:r>
      <w:r w:rsidRPr="00C6550E">
        <w:rPr>
          <w:rFonts w:ascii="Segoe UI" w:hAnsi="Segoe UI" w:cs="Segoe UI" w:hint="eastAsia"/>
          <w:color w:val="000000"/>
        </w:rPr>
        <w:t>，以确保迁移过程的顺利进行及迁移后系统的正常运行。</w:t>
      </w:r>
    </w:p>
    <w:p w14:paraId="09939E8E" w14:textId="6E2BE6D8"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对于数据盘</w:t>
      </w:r>
      <w:r w:rsidR="006C6F6D" w:rsidRPr="006C6F6D">
        <w:rPr>
          <w:rFonts w:ascii="Segoe UI" w:hAnsi="Segoe UI" w:cs="Segoe UI" w:hint="eastAsia"/>
          <w:b/>
          <w:color w:val="000000"/>
        </w:rPr>
        <w:t>招标文件要求</w:t>
      </w:r>
      <w:r w:rsidRPr="00C6550E">
        <w:rPr>
          <w:rFonts w:ascii="Segoe UI" w:hAnsi="Segoe UI" w:cs="Segoe UI" w:hint="eastAsia"/>
          <w:color w:val="000000"/>
        </w:rPr>
        <w:t>，目标实例所挂载的数据盘数量必须大于或等于迁移源的数据盘数量。这是因为迁移过程中需要将源端的数据盘数据完整迁移至目标端，若目标实例的数据盘数量不足，将导致部分数据盘无法挂载，进而造成数据丢失或迁移失败。若目标实例当前挂载的数据盘数量不满足</w:t>
      </w:r>
      <w:r w:rsidR="006C6F6D" w:rsidRPr="006C6F6D">
        <w:rPr>
          <w:rFonts w:ascii="Segoe UI" w:hAnsi="Segoe UI" w:cs="Segoe UI" w:hint="eastAsia"/>
          <w:b/>
          <w:color w:val="000000"/>
        </w:rPr>
        <w:t>招标文件要求</w:t>
      </w:r>
      <w:r w:rsidRPr="00C6550E">
        <w:rPr>
          <w:rFonts w:ascii="Segoe UI" w:hAnsi="Segoe UI" w:cs="Segoe UI" w:hint="eastAsia"/>
          <w:color w:val="000000"/>
        </w:rPr>
        <w:t>，需通过挂载更多数据盘来解决。具体的挂载数据盘操作可参考华为云官方文档中关于“云服务器挂载数据盘”的指导流程，文档中详细说明了在华为云控制台中如何为目标实例添加数据盘，包括选择数据盘类型、设置容量大小、关联云服务器等步骤，确保操作的规范性和可操作性。</w:t>
      </w:r>
    </w:p>
    <w:p w14:paraId="226D86D2" w14:textId="44DDA96D"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磁盘容量</w:t>
      </w:r>
      <w:r w:rsidR="006C6F6D" w:rsidRPr="006C6F6D">
        <w:rPr>
          <w:rFonts w:ascii="Segoe UI" w:hAnsi="Segoe UI" w:cs="Segoe UI" w:hint="eastAsia"/>
          <w:b/>
          <w:color w:val="000000"/>
        </w:rPr>
        <w:t>招标文件要求</w:t>
      </w:r>
      <w:r w:rsidRPr="00C6550E">
        <w:rPr>
          <w:rFonts w:ascii="Segoe UI" w:hAnsi="Segoe UI" w:cs="Segoe UI" w:hint="eastAsia"/>
          <w:color w:val="000000"/>
        </w:rPr>
        <w:t>方面，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6C6F6D" w:rsidRPr="006C6F6D">
        <w:rPr>
          <w:rFonts w:ascii="Segoe UI" w:hAnsi="Segoe UI" w:cs="Segoe UI" w:hint="eastAsia"/>
          <w:b/>
          <w:color w:val="000000"/>
        </w:rPr>
        <w:t>招标文件要求</w:t>
      </w:r>
      <w:r w:rsidRPr="00C6550E">
        <w:rPr>
          <w:rFonts w:ascii="Segoe UI" w:hAnsi="Segoe UI" w:cs="Segoe UI" w:hint="eastAsia"/>
          <w:color w:val="000000"/>
        </w:rPr>
        <w:t>时，需对云盘进行扩容操作。扩容操作可参考华为云官方提供的“云硬盘扩容”指南，该指南针对不同类型的云硬盘（如普通</w:t>
      </w:r>
      <w:r w:rsidRPr="00C6550E">
        <w:rPr>
          <w:rFonts w:ascii="Segoe UI" w:hAnsi="Segoe UI" w:cs="Segoe UI" w:hint="eastAsia"/>
          <w:color w:val="000000"/>
        </w:rPr>
        <w:t>IO</w:t>
      </w:r>
      <w:r w:rsidRPr="00C6550E">
        <w:rPr>
          <w:rFonts w:ascii="Segoe UI" w:hAnsi="Segoe UI" w:cs="Segoe UI" w:hint="eastAsia"/>
          <w:color w:val="000000"/>
        </w:rPr>
        <w:t>、高</w:t>
      </w:r>
      <w:r w:rsidRPr="00C6550E">
        <w:rPr>
          <w:rFonts w:ascii="Segoe UI" w:hAnsi="Segoe UI" w:cs="Segoe UI" w:hint="eastAsia"/>
          <w:color w:val="000000"/>
        </w:rPr>
        <w:t>IO</w:t>
      </w:r>
      <w:r w:rsidRPr="00C6550E">
        <w:rPr>
          <w:rFonts w:ascii="Segoe UI" w:hAnsi="Segoe UI" w:cs="Segoe UI" w:hint="eastAsia"/>
          <w:color w:val="000000"/>
        </w:rPr>
        <w:t>、通用型</w:t>
      </w:r>
      <w:r w:rsidRPr="00C6550E">
        <w:rPr>
          <w:rFonts w:ascii="Segoe UI" w:hAnsi="Segoe UI" w:cs="Segoe UI" w:hint="eastAsia"/>
          <w:color w:val="000000"/>
        </w:rPr>
        <w:t>SSD</w:t>
      </w:r>
      <w:r w:rsidRPr="00C6550E">
        <w:rPr>
          <w:rFonts w:ascii="Segoe UI" w:hAnsi="Segoe UI" w:cs="Segoe UI" w:hint="eastAsia"/>
          <w:color w:val="000000"/>
        </w:rPr>
        <w:t>等）提供了详细的扩容步骤，包括在控制台中选择需要扩容的云盘、设置扩容后的容量、执行扩容操作等，同时还说明了扩容前后的注意事项，确保扩容过程中数据的安全性和系统的稳定性。通过严格遵循这些操作参考途径，可有效保障目标实例的资源配置满足迁移</w:t>
      </w:r>
      <w:r w:rsidR="006C6F6D" w:rsidRPr="006C6F6D">
        <w:rPr>
          <w:rFonts w:ascii="Segoe UI" w:hAnsi="Segoe UI" w:cs="Segoe UI" w:hint="eastAsia"/>
          <w:b/>
          <w:color w:val="000000"/>
        </w:rPr>
        <w:t>招标文件要求</w:t>
      </w:r>
      <w:r w:rsidRPr="00C6550E">
        <w:rPr>
          <w:rFonts w:ascii="Segoe UI" w:hAnsi="Segoe UI" w:cs="Segoe UI" w:hint="eastAsia"/>
          <w:color w:val="000000"/>
        </w:rPr>
        <w:t>，为云主机的顺利迁移奠定基础。</w:t>
      </w:r>
    </w:p>
    <w:p w14:paraId="5ED9E5D4" w14:textId="6B632AAD" w:rsidR="00007C57" w:rsidRPr="00C6550E" w:rsidRDefault="00007C57" w:rsidP="00C6550E">
      <w:pPr>
        <w:pStyle w:val="5"/>
        <w:rPr>
          <w:rFonts w:hint="eastAsia"/>
        </w:rPr>
      </w:pPr>
      <w:r w:rsidRPr="00C6550E">
        <w:lastRenderedPageBreak/>
        <w:t>迁移操作流程</w:t>
      </w:r>
    </w:p>
    <w:p w14:paraId="6852D10D" w14:textId="5D1F8251" w:rsidR="00007C57" w:rsidRPr="00C6550E" w:rsidRDefault="00007C57" w:rsidP="00C6550E">
      <w:pPr>
        <w:pStyle w:val="6"/>
        <w:rPr>
          <w:rFonts w:hint="eastAsia"/>
        </w:rPr>
      </w:pPr>
      <w:r w:rsidRPr="00C6550E">
        <w:t>导入迁移源</w:t>
      </w:r>
    </w:p>
    <w:p w14:paraId="0E2E87C7" w14:textId="1985F298"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在迁移操作流程中，导入迁移源是实现从</w:t>
      </w:r>
      <w:r w:rsidRPr="00083D96">
        <w:rPr>
          <w:rFonts w:ascii="Segoe UI" w:hAnsi="Segoe UI" w:cs="Segoe UI" w:hint="eastAsia"/>
          <w:color w:val="000000"/>
        </w:rPr>
        <w:t>IDC</w:t>
      </w:r>
      <w:r w:rsidRPr="00083D96">
        <w:rPr>
          <w:rFonts w:ascii="Segoe UI" w:hAnsi="Segoe UI" w:cs="Segoe UI" w:hint="eastAsia"/>
          <w:color w:val="000000"/>
        </w:rPr>
        <w:t>服务器、虚拟机或其他云平台云主机向华为云迁移的基础步骤，需明确迁移源定义并遵循标准化的导入方式及操作步骤。</w:t>
      </w:r>
    </w:p>
    <w:p w14:paraId="2A1B8E00" w14:textId="77777777" w:rsidR="00083D96" w:rsidRPr="00083D96" w:rsidRDefault="00083D96" w:rsidP="00083D96">
      <w:pPr>
        <w:pStyle w:val="7"/>
        <w:rPr>
          <w:rFonts w:hint="eastAsia"/>
        </w:rPr>
      </w:pPr>
      <w:r w:rsidRPr="00083D96">
        <w:rPr>
          <w:rFonts w:hint="eastAsia"/>
        </w:rPr>
        <w:t>迁移源定义</w:t>
      </w:r>
    </w:p>
    <w:p w14:paraId="7E236306" w14:textId="0ACFFEA2"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迁移源是指企业准备迁移至华为云的各类计算资源，包括自建</w:t>
      </w:r>
      <w:r w:rsidRPr="00083D96">
        <w:rPr>
          <w:rFonts w:ascii="Segoe UI" w:hAnsi="Segoe UI" w:cs="Segoe UI" w:hint="eastAsia"/>
          <w:color w:val="000000"/>
        </w:rPr>
        <w:t>IDC</w:t>
      </w:r>
      <w:r w:rsidRPr="00083D96">
        <w:rPr>
          <w:rFonts w:ascii="Segoe UI" w:hAnsi="Segoe UI" w:cs="Segoe UI" w:hint="eastAsia"/>
          <w:color w:val="000000"/>
        </w:rPr>
        <w:t>机房中的物理服务器、虚拟化环境中的虚拟机（如</w:t>
      </w:r>
      <w:r w:rsidRPr="00083D96">
        <w:rPr>
          <w:rFonts w:ascii="Segoe UI" w:hAnsi="Segoe UI" w:cs="Segoe UI" w:hint="eastAsia"/>
          <w:color w:val="000000"/>
        </w:rPr>
        <w:t>VMware</w:t>
      </w:r>
      <w:r w:rsidRPr="00083D96">
        <w:rPr>
          <w:rFonts w:ascii="Segoe UI" w:hAnsi="Segoe UI" w:cs="Segoe UI" w:hint="eastAsia"/>
          <w:color w:val="000000"/>
        </w:rPr>
        <w:t>、</w:t>
      </w:r>
      <w:r w:rsidRPr="00083D96">
        <w:rPr>
          <w:rFonts w:ascii="Segoe UI" w:hAnsi="Segoe UI" w:cs="Segoe UI" w:hint="eastAsia"/>
          <w:color w:val="000000"/>
        </w:rPr>
        <w:t>KVM</w:t>
      </w:r>
      <w:r w:rsidRPr="00083D96">
        <w:rPr>
          <w:rFonts w:ascii="Segoe UI" w:hAnsi="Segoe UI" w:cs="Segoe UI" w:hint="eastAsia"/>
          <w:color w:val="000000"/>
        </w:rPr>
        <w:t>虚拟机），以及运行在阿里云、腾讯云等其他云平台上的云主机等。这些迁移源中通常部署了</w:t>
      </w:r>
      <w:r w:rsidRPr="00083D96">
        <w:rPr>
          <w:rFonts w:ascii="Segoe UI" w:hAnsi="Segoe UI" w:cs="Segoe UI" w:hint="eastAsia"/>
          <w:color w:val="000000"/>
        </w:rPr>
        <w:t>WindowsServer2016/2019</w:t>
      </w:r>
      <w:r w:rsidRPr="00083D96">
        <w:rPr>
          <w:rFonts w:ascii="Segoe UI" w:hAnsi="Segoe UI" w:cs="Segoe UI" w:hint="eastAsia"/>
          <w:color w:val="000000"/>
        </w:rPr>
        <w:t>操作系统及企业核心业务应用，需要通过华为云迁移方案将其完整迁移至华为云环境，以实现资源弹性扩展与运维效率提升。</w:t>
      </w:r>
    </w:p>
    <w:p w14:paraId="2E9AD2E5" w14:textId="77777777" w:rsidR="00083D96" w:rsidRPr="00083D96" w:rsidRDefault="00083D96" w:rsidP="00083D96">
      <w:pPr>
        <w:pStyle w:val="7"/>
        <w:rPr>
          <w:rFonts w:hint="eastAsia"/>
        </w:rPr>
      </w:pPr>
      <w:r w:rsidRPr="00083D96">
        <w:rPr>
          <w:rFonts w:hint="eastAsia"/>
        </w:rPr>
        <w:t>华为云支持的导入迁移源方式及控制台操作步骤</w:t>
      </w:r>
    </w:p>
    <w:p w14:paraId="04995C75"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华为云支持通过控制台图形化界面导入迁移源，具体步骤如下：</w:t>
      </w:r>
    </w:p>
    <w:p w14:paraId="0A7CB000" w14:textId="73D33F2C"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首先，登录华为云管理控制台，在搜索栏输入“迁移”并进入“应用迁移服务”页面。在迁移源管理模块中，点击“导入迁移源”按钮，进入导入配置界面。此时需逐项配置参数：选择合适的工作组（若无可新建），根据迁移源实际类型（如</w:t>
      </w:r>
      <w:r w:rsidRPr="00083D96">
        <w:rPr>
          <w:rFonts w:ascii="Segoe UI" w:hAnsi="Segoe UI" w:cs="Segoe UI" w:hint="eastAsia"/>
          <w:color w:val="000000"/>
        </w:rPr>
        <w:t>IDC</w:t>
      </w:r>
      <w:r w:rsidRPr="00083D96">
        <w:rPr>
          <w:rFonts w:ascii="Segoe UI" w:hAnsi="Segoe UI" w:cs="Segoe UI" w:hint="eastAsia"/>
          <w:color w:val="000000"/>
        </w:rPr>
        <w:t>物理服务器、其他云平台虚拟机等）选择“迁移源类型”，导入方式默认选择“自动发现”或“手动录入”，根据企业迁移需求设置激活数额度（即允许同时导入的迁移源数量），以及有效期（通常建议设置为</w:t>
      </w:r>
      <w:r w:rsidRPr="00083D96">
        <w:rPr>
          <w:rFonts w:ascii="Segoe UI" w:hAnsi="Segoe UI" w:cs="Segoe UI" w:hint="eastAsia"/>
          <w:color w:val="000000"/>
        </w:rPr>
        <w:t>30</w:t>
      </w:r>
      <w:r w:rsidRPr="00083D96">
        <w:rPr>
          <w:rFonts w:ascii="Segoe UI" w:hAnsi="Segoe UI" w:cs="Segoe UI" w:hint="eastAsia"/>
          <w:color w:val="000000"/>
        </w:rPr>
        <w:t>天，确保迁移操作有充足时间窗口）。配置完成后，点击“生成激活码”按钮，系统将自动生成包含激活码的命令行语句，点击“复制命令”按钮保存该命令，用于后续在源服务器执行导入操作。</w:t>
      </w:r>
    </w:p>
    <w:p w14:paraId="6C78AC04" w14:textId="77777777" w:rsidR="00083D96" w:rsidRPr="00083D96" w:rsidRDefault="00083D96">
      <w:pPr>
        <w:pStyle w:val="a3"/>
        <w:numPr>
          <w:ilvl w:val="0"/>
          <w:numId w:val="3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在源服务器执行导入操作</w:t>
      </w:r>
    </w:p>
    <w:p w14:paraId="487AA33C" w14:textId="1FD9E08B"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通过远程桌面（</w:t>
      </w:r>
      <w:r w:rsidRPr="00083D96">
        <w:rPr>
          <w:rFonts w:ascii="Segoe UI" w:hAnsi="Segoe UI" w:cs="Segoe UI" w:hint="eastAsia"/>
          <w:color w:val="000000"/>
        </w:rPr>
        <w:t>RDP</w:t>
      </w:r>
      <w:r w:rsidRPr="00083D96">
        <w:rPr>
          <w:rFonts w:ascii="Segoe UI" w:hAnsi="Segoe UI" w:cs="Segoe UI" w:hint="eastAsia"/>
          <w:color w:val="000000"/>
        </w:rPr>
        <w:t>）方式登录</w:t>
      </w:r>
      <w:r w:rsidRPr="00083D96">
        <w:rPr>
          <w:rFonts w:ascii="Segoe UI" w:hAnsi="Segoe UI" w:cs="Segoe UI" w:hint="eastAsia"/>
          <w:color w:val="000000"/>
        </w:rPr>
        <w:t>Windows</w:t>
      </w:r>
      <w:r w:rsidRPr="00083D96">
        <w:rPr>
          <w:rFonts w:ascii="Segoe UI" w:hAnsi="Segoe UI" w:cs="Segoe UI" w:hint="eastAsia"/>
          <w:color w:val="000000"/>
        </w:rPr>
        <w:t>源服务器，确保以管理员账号（</w:t>
      </w:r>
      <w:r w:rsidRPr="00083D96">
        <w:rPr>
          <w:rFonts w:ascii="Segoe UI" w:hAnsi="Segoe UI" w:cs="Segoe UI" w:hint="eastAsia"/>
          <w:color w:val="000000"/>
        </w:rPr>
        <w:t>Administrator</w:t>
      </w:r>
      <w:r w:rsidRPr="00083D96">
        <w:rPr>
          <w:rFonts w:ascii="Segoe UI" w:hAnsi="Segoe UI" w:cs="Segoe UI" w:hint="eastAsia"/>
          <w:color w:val="000000"/>
        </w:rPr>
        <w:t>）登录系统。在桌面左下角搜索栏输入“</w:t>
      </w:r>
      <w:proofErr w:type="spellStart"/>
      <w:r w:rsidRPr="00083D96">
        <w:rPr>
          <w:rFonts w:ascii="Segoe UI" w:hAnsi="Segoe UI" w:cs="Segoe UI" w:hint="eastAsia"/>
          <w:color w:val="000000"/>
        </w:rPr>
        <w:t>cmd</w:t>
      </w:r>
      <w:proofErr w:type="spellEnd"/>
      <w:r w:rsidRPr="00083D96">
        <w:rPr>
          <w:rFonts w:ascii="Segoe UI" w:hAnsi="Segoe UI" w:cs="Segoe UI" w:hint="eastAsia"/>
          <w:color w:val="000000"/>
        </w:rPr>
        <w:t>”，右键点击“命令提示符”并选择“以管理员身份运行”，打开命令行窗口。将从控制台复制的激活码命令粘贴至命令行中，按回车键执行。导入过程中系统会自动安装华为云迁移代理并完成注册。成功导入后，命令行将显示“</w:t>
      </w:r>
      <w:r w:rsidRPr="00083D96">
        <w:rPr>
          <w:rFonts w:ascii="Segoe UI" w:hAnsi="Segoe UI" w:cs="Segoe UI" w:hint="eastAsia"/>
          <w:color w:val="000000"/>
        </w:rPr>
        <w:t>Successfullyregisteredmigrationsource,agentstatus:online,sourceID:[</w:t>
      </w:r>
      <w:r w:rsidRPr="00083D96">
        <w:rPr>
          <w:rFonts w:ascii="Segoe UI" w:hAnsi="Segoe UI" w:cs="Segoe UI" w:hint="eastAsia"/>
          <w:color w:val="000000"/>
        </w:rPr>
        <w:t>具体</w:t>
      </w:r>
      <w:r w:rsidRPr="00083D96">
        <w:rPr>
          <w:rFonts w:ascii="Segoe UI" w:hAnsi="Segoe UI" w:cs="Segoe UI" w:hint="eastAsia"/>
          <w:color w:val="000000"/>
        </w:rPr>
        <w:t>ID]</w:t>
      </w:r>
      <w:r w:rsidRPr="00083D96">
        <w:rPr>
          <w:rFonts w:ascii="Segoe UI" w:hAnsi="Segoe UI" w:cs="Segoe UI" w:hint="eastAsia"/>
          <w:color w:val="000000"/>
        </w:rPr>
        <w:t>”的提示信息，同时任务栏右下角会出现华为云迁移代理的运行图标，表明</w:t>
      </w:r>
      <w:r w:rsidRPr="00083D96">
        <w:rPr>
          <w:rFonts w:ascii="Segoe UI" w:hAnsi="Segoe UI" w:cs="Segoe UI" w:hint="eastAsia"/>
          <w:color w:val="000000"/>
        </w:rPr>
        <w:t>Windows</w:t>
      </w:r>
      <w:r w:rsidRPr="00083D96">
        <w:rPr>
          <w:rFonts w:ascii="Segoe UI" w:hAnsi="Segoe UI" w:cs="Segoe UI" w:hint="eastAsia"/>
          <w:color w:val="000000"/>
        </w:rPr>
        <w:t>源服务器已成功接入华为云迁移平台。</w:t>
      </w:r>
    </w:p>
    <w:p w14:paraId="23D51A2D" w14:textId="77777777" w:rsidR="00083D96" w:rsidRPr="00083D96" w:rsidRDefault="00083D96">
      <w:pPr>
        <w:pStyle w:val="a3"/>
        <w:numPr>
          <w:ilvl w:val="0"/>
          <w:numId w:val="3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查看迁移源状态</w:t>
      </w:r>
    </w:p>
    <w:p w14:paraId="56DE4741" w14:textId="0E81A506" w:rsidR="00007C57" w:rsidRPr="00007C57"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完成源服务器导入操作后，返回华为云管理控制台的迁移源管理页面，刷新页面即可查看迁移源状态。若迁移源状态显示为“在线”，且代理状态为“运行中”，则表示导入成功，可</w:t>
      </w:r>
      <w:r w:rsidRPr="00083D96">
        <w:rPr>
          <w:rFonts w:ascii="Segoe UI" w:hAnsi="Segoe UI" w:cs="Segoe UI" w:hint="eastAsia"/>
          <w:color w:val="000000"/>
        </w:rPr>
        <w:lastRenderedPageBreak/>
        <w:t>继续进行后续的迁移任务；若状态显示为“离线”“注册失败”或“代理异常”，则需参考控制台提示的错误代码（如网络连接失败、权限不足、激活码过期等），检查源服务器的网络连通性、防火墙设置、管理员权限是否正常，或重新生成激活码后再次执行导入操作，直至迁移源状态显示为正常在线。通过严格遵循上述导入流程，可确保</w:t>
      </w:r>
      <w:r w:rsidRPr="00083D96">
        <w:rPr>
          <w:rFonts w:ascii="Segoe UI" w:hAnsi="Segoe UI" w:cs="Segoe UI" w:hint="eastAsia"/>
          <w:color w:val="000000"/>
        </w:rPr>
        <w:t>WindowsServer2016/2019</w:t>
      </w:r>
      <w:r w:rsidRPr="00083D96">
        <w:rPr>
          <w:rFonts w:ascii="Segoe UI" w:hAnsi="Segoe UI" w:cs="Segoe UI" w:hint="eastAsia"/>
          <w:color w:val="000000"/>
        </w:rPr>
        <w:t>类云主机的迁移源顺利接入华为云迁移系统，为后续的系统迁移和数据同步奠定基础。</w:t>
      </w:r>
    </w:p>
    <w:p w14:paraId="28605DE2" w14:textId="57C1CDE4" w:rsidR="00007C57" w:rsidRDefault="00007C57" w:rsidP="00C6550E">
      <w:pPr>
        <w:pStyle w:val="6"/>
        <w:rPr>
          <w:rFonts w:hint="eastAsia"/>
        </w:rPr>
      </w:pPr>
      <w:r w:rsidRPr="00007C57">
        <w:t>迁移配置</w:t>
      </w:r>
    </w:p>
    <w:p w14:paraId="6A443B5D" w14:textId="50EFEB3E"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在完成迁移源导入后，需在华为云控制台进行详细的迁移配置，以确保</w:t>
      </w:r>
      <w:r w:rsidRPr="00083D96">
        <w:rPr>
          <w:rFonts w:ascii="Segoe UI" w:hAnsi="Segoe UI" w:cs="Segoe UI" w:hint="eastAsia"/>
          <w:color w:val="000000"/>
        </w:rPr>
        <w:t>WindowsServer2016/2019</w:t>
      </w:r>
      <w:r w:rsidRPr="00083D96">
        <w:rPr>
          <w:rFonts w:ascii="Segoe UI" w:hAnsi="Segoe UI" w:cs="Segoe UI" w:hint="eastAsia"/>
          <w:color w:val="000000"/>
        </w:rPr>
        <w:t>云主机能够安全、高效地迁移至华为云。迁移配置涵盖基本参数、磁盘分区、高级参数等多层级设置，需按标准化流程逐项完成。</w:t>
      </w:r>
    </w:p>
    <w:p w14:paraId="56A64091" w14:textId="7F9592B5"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开始迁移与基本参数配置</w:t>
      </w:r>
    </w:p>
    <w:p w14:paraId="4307D617" w14:textId="741869CC"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在华为云控制台的迁移源列表中，找到目标</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迁移源，点击操作列的“开始迁移”按钮，进入迁移配置页面。首先需配置基本参数：</w:t>
      </w:r>
    </w:p>
    <w:p w14:paraId="1EACFAE9" w14:textId="28595724"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任务名称：可自定义设置迁移任务的名称，建议包含源服务器</w:t>
      </w:r>
      <w:r w:rsidRPr="00083D96">
        <w:rPr>
          <w:rFonts w:ascii="Segoe UI" w:hAnsi="Segoe UI" w:cs="Segoe UI" w:hint="eastAsia"/>
          <w:color w:val="000000"/>
        </w:rPr>
        <w:t>IP</w:t>
      </w:r>
      <w:r w:rsidRPr="00083D96">
        <w:rPr>
          <w:rFonts w:ascii="Segoe UI" w:hAnsi="Segoe UI" w:cs="Segoe UI" w:hint="eastAsia"/>
          <w:color w:val="000000"/>
        </w:rPr>
        <w:t>、业务系统名称等信息（如“</w:t>
      </w:r>
      <w:r w:rsidRPr="00083D96">
        <w:rPr>
          <w:rFonts w:ascii="Segoe UI" w:hAnsi="Segoe UI" w:cs="Segoe UI" w:hint="eastAsia"/>
          <w:color w:val="000000"/>
        </w:rPr>
        <w:t>Windows-2019-WebServer-</w:t>
      </w:r>
      <w:r w:rsidRPr="00083D96">
        <w:rPr>
          <w:rFonts w:ascii="Segoe UI" w:hAnsi="Segoe UI" w:cs="Segoe UI" w:hint="eastAsia"/>
          <w:color w:val="000000"/>
        </w:rPr>
        <w:t>迁移任务”），以便于后续管理和识别。</w:t>
      </w:r>
    </w:p>
    <w:p w14:paraId="6D228C37" w14:textId="1FEC4839"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任务描述：输入迁移任务的详细说明，例如“将</w:t>
      </w:r>
      <w:r w:rsidRPr="00083D96">
        <w:rPr>
          <w:rFonts w:ascii="Segoe UI" w:hAnsi="Segoe UI" w:cs="Segoe UI" w:hint="eastAsia"/>
          <w:color w:val="000000"/>
        </w:rPr>
        <w:t>IDC</w:t>
      </w:r>
      <w:r w:rsidRPr="00083D96">
        <w:rPr>
          <w:rFonts w:ascii="Segoe UI" w:hAnsi="Segoe UI" w:cs="Segoe UI" w:hint="eastAsia"/>
          <w:color w:val="000000"/>
        </w:rPr>
        <w:t>机房的</w:t>
      </w:r>
      <w:r w:rsidRPr="00083D96">
        <w:rPr>
          <w:rFonts w:ascii="Segoe UI" w:hAnsi="Segoe UI" w:cs="Segoe UI" w:hint="eastAsia"/>
          <w:color w:val="000000"/>
        </w:rPr>
        <w:t>WindowsServer2019Web</w:t>
      </w:r>
      <w:r w:rsidRPr="00083D96">
        <w:rPr>
          <w:rFonts w:ascii="Segoe UI" w:hAnsi="Segoe UI" w:cs="Segoe UI" w:hint="eastAsia"/>
          <w:color w:val="000000"/>
        </w:rPr>
        <w:t>服务器迁移至华为云上海四区”，明确迁移目的和范围。</w:t>
      </w:r>
    </w:p>
    <w:p w14:paraId="616A166F" w14:textId="1E47AEDC"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目标类型（必填）：可选择将源服务器转换成华为云自定义镜像、云服务器实例等，需指定目标地域（如“中国</w:t>
      </w:r>
      <w:r w:rsidRPr="00083D96">
        <w:rPr>
          <w:rFonts w:ascii="Segoe UI" w:hAnsi="Segoe UI" w:cs="Segoe UI" w:hint="eastAsia"/>
          <w:color w:val="000000"/>
        </w:rPr>
        <w:t>-</w:t>
      </w:r>
      <w:r w:rsidRPr="00083D96">
        <w:rPr>
          <w:rFonts w:ascii="Segoe UI" w:hAnsi="Segoe UI" w:cs="Segoe UI" w:hint="eastAsia"/>
          <w:color w:val="000000"/>
        </w:rPr>
        <w:t>上海</w:t>
      </w:r>
      <w:r w:rsidRPr="00083D96">
        <w:rPr>
          <w:rFonts w:ascii="Segoe UI" w:hAnsi="Segoe UI" w:cs="Segoe UI" w:hint="eastAsia"/>
          <w:color w:val="000000"/>
        </w:rPr>
        <w:t>-</w:t>
      </w:r>
      <w:r w:rsidRPr="00083D96">
        <w:rPr>
          <w:rFonts w:ascii="Segoe UI" w:hAnsi="Segoe UI" w:cs="Segoe UI" w:hint="eastAsia"/>
          <w:color w:val="000000"/>
        </w:rPr>
        <w:t>四”），并设置镜像名称（如“</w:t>
      </w:r>
      <w:r w:rsidRPr="00083D96">
        <w:rPr>
          <w:rFonts w:ascii="Segoe UI" w:hAnsi="Segoe UI" w:cs="Segoe UI" w:hint="eastAsia"/>
          <w:color w:val="000000"/>
        </w:rPr>
        <w:t>Win2019_WebServer_Mirror</w:t>
      </w:r>
      <w:r w:rsidRPr="00083D96">
        <w:rPr>
          <w:rFonts w:ascii="Segoe UI" w:hAnsi="Segoe UI" w:cs="Segoe UI" w:hint="eastAsia"/>
          <w:color w:val="000000"/>
        </w:rPr>
        <w:t>”），地域选择需考虑业务访问延迟和容灾需求。</w:t>
      </w:r>
    </w:p>
    <w:p w14:paraId="3DEB954A"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11CB001E" w14:textId="46657121"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执行方式：若开启迁移演练，执行方式默认选择“先演练后迁移”；若已完成演练或无需演练，可选择“直接迁移”，需确保源服务器状态稳定。</w:t>
      </w:r>
    </w:p>
    <w:p w14:paraId="33D03646" w14:textId="7A95DCA9"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自动增量同步：默认开启，可配置同步重复频率（如每</w:t>
      </w:r>
      <w:r w:rsidRPr="00083D96">
        <w:rPr>
          <w:rFonts w:ascii="Segoe UI" w:hAnsi="Segoe UI" w:cs="Segoe UI" w:hint="eastAsia"/>
          <w:color w:val="000000"/>
        </w:rPr>
        <w:t>15</w:t>
      </w:r>
      <w:r w:rsidRPr="00083D96">
        <w:rPr>
          <w:rFonts w:ascii="Segoe UI" w:hAnsi="Segoe UI" w:cs="Segoe UI" w:hint="eastAsia"/>
          <w:color w:val="000000"/>
        </w:rPr>
        <w:t>分钟一次）和最大镜像保留数（建议设置为</w:t>
      </w:r>
      <w:r w:rsidRPr="00083D96">
        <w:rPr>
          <w:rFonts w:ascii="Segoe UI" w:hAnsi="Segoe UI" w:cs="Segoe UI" w:hint="eastAsia"/>
          <w:color w:val="000000"/>
        </w:rPr>
        <w:t>3-5</w:t>
      </w:r>
      <w:r w:rsidRPr="00083D96">
        <w:rPr>
          <w:rFonts w:ascii="Segoe UI" w:hAnsi="Segoe UI" w:cs="Segoe UI" w:hint="eastAsia"/>
          <w:color w:val="000000"/>
        </w:rPr>
        <w:t>个），确保迁移窗口期内的增量数据被持续同步，减少最终迁移的停机时间。若关闭该功能，系统将在首次同步后仅执行一次性迁移，适用于数据变化极小的场景。</w:t>
      </w:r>
    </w:p>
    <w:p w14:paraId="55BED7D2" w14:textId="1B6BAFBB"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启用迁移模板：当存在重复迁移需求时，可启用已保存的迁移模板（如针对</w:t>
      </w:r>
      <w:r w:rsidRPr="00083D96">
        <w:rPr>
          <w:rFonts w:ascii="Segoe UI" w:hAnsi="Segoe UI" w:cs="Segoe UI" w:hint="eastAsia"/>
          <w:color w:val="000000"/>
        </w:rPr>
        <w:t>WindowsServer2019</w:t>
      </w:r>
      <w:r w:rsidRPr="00083D96">
        <w:rPr>
          <w:rFonts w:ascii="Segoe UI" w:hAnsi="Segoe UI" w:cs="Segoe UI" w:hint="eastAsia"/>
          <w:color w:val="000000"/>
        </w:rPr>
        <w:t>数据库服务器的标准化模板），模板中预设了磁盘配置、网络参数等，可直接复用以提升配置效率。</w:t>
      </w:r>
    </w:p>
    <w:p w14:paraId="156A7C91" w14:textId="438FC2E1"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磁盘分区结构调整</w:t>
      </w:r>
    </w:p>
    <w:p w14:paraId="31398205" w14:textId="4C7BB1C9"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根据源服务器的磁盘使用情况，选择是否开启“调整磁盘分区结构”功能：若源服务器的磁盘分区需适配华为云的存储架构（如将多个小分区合并为大分区），可开启该功能并自定义配置分区大小、位置顺序等。例如，将源服务器的</w:t>
      </w:r>
      <w:r w:rsidRPr="00083D96">
        <w:rPr>
          <w:rFonts w:ascii="Segoe UI" w:hAnsi="Segoe UI" w:cs="Segoe UI" w:hint="eastAsia"/>
          <w:color w:val="000000"/>
        </w:rPr>
        <w:t>C</w:t>
      </w:r>
      <w:r w:rsidRPr="00083D96">
        <w:rPr>
          <w:rFonts w:ascii="Segoe UI" w:hAnsi="Segoe UI" w:cs="Segoe UI" w:hint="eastAsia"/>
          <w:color w:val="000000"/>
        </w:rPr>
        <w:t>盘（系统盘）和</w:t>
      </w:r>
      <w:r w:rsidRPr="00083D96">
        <w:rPr>
          <w:rFonts w:ascii="Segoe UI" w:hAnsi="Segoe UI" w:cs="Segoe UI" w:hint="eastAsia"/>
          <w:color w:val="000000"/>
        </w:rPr>
        <w:t>D</w:t>
      </w:r>
      <w:r w:rsidRPr="00083D96">
        <w:rPr>
          <w:rFonts w:ascii="Segoe UI" w:hAnsi="Segoe UI" w:cs="Segoe UI" w:hint="eastAsia"/>
          <w:color w:val="000000"/>
        </w:rPr>
        <w:t>盘（数据盘）在目标端调整为</w:t>
      </w:r>
      <w:r w:rsidRPr="00083D96">
        <w:rPr>
          <w:rFonts w:ascii="Segoe UI" w:hAnsi="Segoe UI" w:cs="Segoe UI" w:hint="eastAsia"/>
          <w:color w:val="000000"/>
        </w:rPr>
        <w:t>C</w:t>
      </w:r>
      <w:r w:rsidRPr="00083D96">
        <w:rPr>
          <w:rFonts w:ascii="Segoe UI" w:hAnsi="Segoe UI" w:cs="Segoe UI" w:hint="eastAsia"/>
          <w:color w:val="000000"/>
        </w:rPr>
        <w:t>盘</w:t>
      </w:r>
      <w:r w:rsidRPr="00083D96">
        <w:rPr>
          <w:rFonts w:ascii="Segoe UI" w:hAnsi="Segoe UI" w:cs="Segoe UI" w:hint="eastAsia"/>
          <w:color w:val="000000"/>
        </w:rPr>
        <w:t>100GB</w:t>
      </w:r>
      <w:r w:rsidRPr="00083D96">
        <w:rPr>
          <w:rFonts w:ascii="Segoe UI" w:hAnsi="Segoe UI" w:cs="Segoe UI" w:hint="eastAsia"/>
          <w:color w:val="000000"/>
        </w:rPr>
        <w:t>、</w:t>
      </w:r>
      <w:r w:rsidRPr="00083D96">
        <w:rPr>
          <w:rFonts w:ascii="Segoe UI" w:hAnsi="Segoe UI" w:cs="Segoe UI" w:hint="eastAsia"/>
          <w:color w:val="000000"/>
        </w:rPr>
        <w:t>D</w:t>
      </w:r>
      <w:r w:rsidRPr="00083D96">
        <w:rPr>
          <w:rFonts w:ascii="Segoe UI" w:hAnsi="Segoe UI" w:cs="Segoe UI" w:hint="eastAsia"/>
          <w:color w:val="000000"/>
        </w:rPr>
        <w:t>盘</w:t>
      </w:r>
      <w:r w:rsidRPr="00083D96">
        <w:rPr>
          <w:rFonts w:ascii="Segoe UI" w:hAnsi="Segoe UI" w:cs="Segoe UI" w:hint="eastAsia"/>
          <w:color w:val="000000"/>
        </w:rPr>
        <w:t>500GB</w:t>
      </w:r>
      <w:r w:rsidRPr="00083D96">
        <w:rPr>
          <w:rFonts w:ascii="Segoe UI" w:hAnsi="Segoe UI" w:cs="Segoe UI" w:hint="eastAsia"/>
          <w:color w:val="000000"/>
        </w:rPr>
        <w:t>，以优化存储利用率。该功能默认关闭，建议在迁移前通过磁盘工具对源服务器进行碎片整理和分区规划。</w:t>
      </w:r>
    </w:p>
    <w:p w14:paraId="063DCE44" w14:textId="3B70AD90"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lastRenderedPageBreak/>
        <w:t>高级参数配置（条件必选）</w:t>
      </w:r>
    </w:p>
    <w:p w14:paraId="0C1EAF05"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网络与传输配置</w:t>
      </w:r>
    </w:p>
    <w:p w14:paraId="102CFBA8" w14:textId="2A0B4E65"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网络模式：默认采用“公网传输”模式，若源服务器与华为云之间存在专线或</w:t>
      </w:r>
      <w:r w:rsidRPr="00083D96">
        <w:rPr>
          <w:rFonts w:ascii="Segoe UI" w:hAnsi="Segoe UI" w:cs="Segoe UI" w:hint="eastAsia"/>
          <w:color w:val="000000"/>
        </w:rPr>
        <w:t>VPN</w:t>
      </w:r>
      <w:r w:rsidRPr="00083D96">
        <w:rPr>
          <w:rFonts w:ascii="Segoe UI" w:hAnsi="Segoe UI" w:cs="Segoe UI" w:hint="eastAsia"/>
          <w:color w:val="000000"/>
        </w:rPr>
        <w:t>连接，可选择“私网传输”以提升传输稳定性。系统会自动创建中转实例用于数据中转，也可手动指定专有网络（</w:t>
      </w:r>
      <w:r w:rsidRPr="00083D96">
        <w:rPr>
          <w:rFonts w:ascii="Segoe UI" w:hAnsi="Segoe UI" w:cs="Segoe UI" w:hint="eastAsia"/>
          <w:color w:val="000000"/>
        </w:rPr>
        <w:t>VPC</w:t>
      </w:r>
      <w:r w:rsidRPr="00083D96">
        <w:rPr>
          <w:rFonts w:ascii="Segoe UI" w:hAnsi="Segoe UI" w:cs="Segoe UI" w:hint="eastAsia"/>
          <w:color w:val="000000"/>
        </w:rPr>
        <w:t>）和交换机（</w:t>
      </w:r>
      <w:proofErr w:type="spellStart"/>
      <w:r w:rsidRPr="00083D96">
        <w:rPr>
          <w:rFonts w:ascii="Segoe UI" w:hAnsi="Segoe UI" w:cs="Segoe UI" w:hint="eastAsia"/>
          <w:color w:val="000000"/>
        </w:rPr>
        <w:t>vSwitch</w:t>
      </w:r>
      <w:proofErr w:type="spellEnd"/>
      <w:r w:rsidRPr="00083D96">
        <w:rPr>
          <w:rFonts w:ascii="Segoe UI" w:hAnsi="Segoe UI" w:cs="Segoe UI" w:hint="eastAsia"/>
          <w:color w:val="000000"/>
        </w:rPr>
        <w:t>），确保网络连通性。</w:t>
      </w:r>
    </w:p>
    <w:p w14:paraId="28BF0F49" w14:textId="66A65350"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IPv4</w:t>
      </w:r>
      <w:r w:rsidRPr="00083D96">
        <w:rPr>
          <w:rFonts w:ascii="Segoe UI" w:hAnsi="Segoe UI" w:cs="Segoe UI" w:hint="eastAsia"/>
          <w:color w:val="000000"/>
        </w:rPr>
        <w:t>私网地址：当目标类型为云服务器实例时，需配置</w:t>
      </w:r>
      <w:r w:rsidRPr="00083D96">
        <w:rPr>
          <w:rFonts w:ascii="Segoe UI" w:hAnsi="Segoe UI" w:cs="Segoe UI" w:hint="eastAsia"/>
          <w:color w:val="000000"/>
        </w:rPr>
        <w:t>IPv4</w:t>
      </w:r>
      <w:r w:rsidRPr="00083D96">
        <w:rPr>
          <w:rFonts w:ascii="Segoe UI" w:hAnsi="Segoe UI" w:cs="Segoe UI" w:hint="eastAsia"/>
          <w:color w:val="000000"/>
        </w:rPr>
        <w:t>私网地址，可选择“保持不变”（需确保华为云</w:t>
      </w:r>
      <w:r w:rsidRPr="00083D96">
        <w:rPr>
          <w:rFonts w:ascii="Segoe UI" w:hAnsi="Segoe UI" w:cs="Segoe UI" w:hint="eastAsia"/>
          <w:color w:val="000000"/>
        </w:rPr>
        <w:t>VPC</w:t>
      </w:r>
      <w:r w:rsidRPr="00083D96">
        <w:rPr>
          <w:rFonts w:ascii="Segoe UI" w:hAnsi="Segoe UI" w:cs="Segoe UI" w:hint="eastAsia"/>
          <w:color w:val="000000"/>
        </w:rPr>
        <w:t>内无</w:t>
      </w:r>
      <w:r w:rsidRPr="00083D96">
        <w:rPr>
          <w:rFonts w:ascii="Segoe UI" w:hAnsi="Segoe UI" w:cs="Segoe UI" w:hint="eastAsia"/>
          <w:color w:val="000000"/>
        </w:rPr>
        <w:t>IP</w:t>
      </w:r>
      <w:r w:rsidRPr="00083D96">
        <w:rPr>
          <w:rFonts w:ascii="Segoe UI" w:hAnsi="Segoe UI" w:cs="Segoe UI" w:hint="eastAsia"/>
          <w:color w:val="000000"/>
        </w:rPr>
        <w:t>冲突）或“手动指定”，手动指定时需符合</w:t>
      </w:r>
      <w:r w:rsidRPr="00083D96">
        <w:rPr>
          <w:rFonts w:ascii="Segoe UI" w:hAnsi="Segoe UI" w:cs="Segoe UI" w:hint="eastAsia"/>
          <w:color w:val="000000"/>
        </w:rPr>
        <w:t>VPC</w:t>
      </w:r>
      <w:r w:rsidRPr="00083D96">
        <w:rPr>
          <w:rFonts w:ascii="Segoe UI" w:hAnsi="Segoe UI" w:cs="Segoe UI" w:hint="eastAsia"/>
          <w:color w:val="000000"/>
        </w:rPr>
        <w:t>的</w:t>
      </w:r>
      <w:r w:rsidRPr="00083D96">
        <w:rPr>
          <w:rFonts w:ascii="Segoe UI" w:hAnsi="Segoe UI" w:cs="Segoe UI" w:hint="eastAsia"/>
          <w:color w:val="000000"/>
        </w:rPr>
        <w:t>IP</w:t>
      </w:r>
      <w:r w:rsidRPr="00083D96">
        <w:rPr>
          <w:rFonts w:ascii="Segoe UI" w:hAnsi="Segoe UI" w:cs="Segoe UI" w:hint="eastAsia"/>
          <w:color w:val="000000"/>
        </w:rPr>
        <w:t>地址段规划。</w:t>
      </w:r>
    </w:p>
    <w:p w14:paraId="44BA2049" w14:textId="776C4F55"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传输限速：单位为</w:t>
      </w:r>
      <w:r w:rsidRPr="00083D96">
        <w:rPr>
          <w:rFonts w:ascii="Segoe UI" w:hAnsi="Segoe UI" w:cs="Segoe UI" w:hint="eastAsia"/>
          <w:color w:val="000000"/>
        </w:rPr>
        <w:t>Mbps</w:t>
      </w:r>
      <w:r w:rsidRPr="00083D96">
        <w:rPr>
          <w:rFonts w:ascii="Segoe UI" w:hAnsi="Segoe UI" w:cs="Segoe UI" w:hint="eastAsia"/>
          <w:color w:val="000000"/>
        </w:rPr>
        <w:t>，默认不限制传输速度，若源服务器所在网络带宽有限，可设置限速（如</w:t>
      </w:r>
      <w:r w:rsidRPr="00083D96">
        <w:rPr>
          <w:rFonts w:ascii="Segoe UI" w:hAnsi="Segoe UI" w:cs="Segoe UI" w:hint="eastAsia"/>
          <w:color w:val="000000"/>
        </w:rPr>
        <w:t>500Mbps</w:t>
      </w:r>
      <w:r w:rsidRPr="00083D96">
        <w:rPr>
          <w:rFonts w:ascii="Segoe UI" w:hAnsi="Segoe UI" w:cs="Segoe UI" w:hint="eastAsia"/>
          <w:color w:val="000000"/>
        </w:rPr>
        <w:t>），避免迁移过程中占用过多带宽影响其他业务。</w:t>
      </w:r>
    </w:p>
    <w:p w14:paraId="33757646" w14:textId="5482989B"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压缩率：迁移数据压缩级别可选</w:t>
      </w:r>
      <w:r w:rsidRPr="00083D96">
        <w:rPr>
          <w:rFonts w:ascii="Segoe UI" w:hAnsi="Segoe UI" w:cs="Segoe UI" w:hint="eastAsia"/>
          <w:color w:val="000000"/>
        </w:rPr>
        <w:t>1-9</w:t>
      </w:r>
      <w:r w:rsidRPr="00083D96">
        <w:rPr>
          <w:rFonts w:ascii="Segoe UI" w:hAnsi="Segoe UI" w:cs="Segoe UI" w:hint="eastAsia"/>
          <w:color w:val="000000"/>
        </w:rPr>
        <w:t>（</w:t>
      </w:r>
      <w:r w:rsidRPr="00083D96">
        <w:rPr>
          <w:rFonts w:ascii="Segoe UI" w:hAnsi="Segoe UI" w:cs="Segoe UI" w:hint="eastAsia"/>
          <w:color w:val="000000"/>
        </w:rPr>
        <w:t>1</w:t>
      </w:r>
      <w:r w:rsidRPr="00083D96">
        <w:rPr>
          <w:rFonts w:ascii="Segoe UI" w:hAnsi="Segoe UI" w:cs="Segoe UI" w:hint="eastAsia"/>
          <w:color w:val="000000"/>
        </w:rPr>
        <w:t>为低压缩高速度，</w:t>
      </w:r>
      <w:r w:rsidRPr="00083D96">
        <w:rPr>
          <w:rFonts w:ascii="Segoe UI" w:hAnsi="Segoe UI" w:cs="Segoe UI" w:hint="eastAsia"/>
          <w:color w:val="000000"/>
        </w:rPr>
        <w:t>9</w:t>
      </w:r>
      <w:r w:rsidRPr="00083D96">
        <w:rPr>
          <w:rFonts w:ascii="Segoe UI" w:hAnsi="Segoe UI" w:cs="Segoe UI" w:hint="eastAsia"/>
          <w:color w:val="000000"/>
        </w:rPr>
        <w:t>为高压缩低速度），默认值为</w:t>
      </w:r>
      <w:r w:rsidRPr="00083D96">
        <w:rPr>
          <w:rFonts w:ascii="Segoe UI" w:hAnsi="Segoe UI" w:cs="Segoe UI" w:hint="eastAsia"/>
          <w:color w:val="000000"/>
        </w:rPr>
        <w:t>5</w:t>
      </w:r>
      <w:r w:rsidRPr="00083D96">
        <w:rPr>
          <w:rFonts w:ascii="Segoe UI" w:hAnsi="Segoe UI" w:cs="Segoe UI" w:hint="eastAsia"/>
          <w:color w:val="000000"/>
        </w:rPr>
        <w:t>。在带宽充足的环境下建议保持默认，若带宽受限可提高压缩率以减少数据传输量，但会增加</w:t>
      </w:r>
      <w:r w:rsidRPr="00083D96">
        <w:rPr>
          <w:rFonts w:ascii="Segoe UI" w:hAnsi="Segoe UI" w:cs="Segoe UI" w:hint="eastAsia"/>
          <w:color w:val="000000"/>
        </w:rPr>
        <w:t>CPU</w:t>
      </w:r>
      <w:r w:rsidRPr="00083D96">
        <w:rPr>
          <w:rFonts w:ascii="Segoe UI" w:hAnsi="Segoe UI" w:cs="Segoe UI" w:hint="eastAsia"/>
          <w:color w:val="000000"/>
        </w:rPr>
        <w:t>开销。</w:t>
      </w:r>
    </w:p>
    <w:p w14:paraId="3C472888"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安全性与合规性配置</w:t>
      </w:r>
    </w:p>
    <w:p w14:paraId="10EABFBA" w14:textId="3125549E"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Checksum</w:t>
      </w:r>
      <w:r w:rsidRPr="00083D96">
        <w:rPr>
          <w:rFonts w:ascii="Segoe UI" w:hAnsi="Segoe UI" w:cs="Segoe UI" w:hint="eastAsia"/>
          <w:color w:val="000000"/>
        </w:rPr>
        <w:t>验证：默认开启，通过哈希算法验证传输数据的完整性，确保迁移过程中数据无损坏或丢失，开启后会增加少量传输耗时，但可显著提升数据可靠性。</w:t>
      </w:r>
    </w:p>
    <w:p w14:paraId="18C9FFA4" w14:textId="30C4225B"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开启</w:t>
      </w:r>
      <w:r w:rsidRPr="00083D96">
        <w:rPr>
          <w:rFonts w:ascii="Segoe UI" w:hAnsi="Segoe UI" w:cs="Segoe UI" w:hint="eastAsia"/>
          <w:color w:val="000000"/>
        </w:rPr>
        <w:t>SSL</w:t>
      </w:r>
      <w:r w:rsidRPr="00083D96">
        <w:rPr>
          <w:rFonts w:ascii="Segoe UI" w:hAnsi="Segoe UI" w:cs="Segoe UI" w:hint="eastAsia"/>
          <w:color w:val="000000"/>
        </w:rPr>
        <w:t>加密传输：默认开启，对迁移数据进行端到端加密，防止传输过程中数据被窃取或篡改，适用于包含敏感信息（如用户数据、财务数据）的迁移场景。</w:t>
      </w:r>
    </w:p>
    <w:p w14:paraId="1860EB7B" w14:textId="28A6A1C4"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许可证类型：可选择“华为云”（使用华为云提供的</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许可证）或“自带许可”（</w:t>
      </w:r>
      <w:r w:rsidRPr="00083D96">
        <w:rPr>
          <w:rFonts w:ascii="Segoe UI" w:hAnsi="Segoe UI" w:cs="Segoe UI" w:hint="eastAsia"/>
          <w:color w:val="000000"/>
        </w:rPr>
        <w:t>BYOL</w:t>
      </w:r>
      <w:r w:rsidRPr="00083D96">
        <w:rPr>
          <w:rFonts w:ascii="Segoe UI" w:hAnsi="Segoe UI" w:cs="Segoe UI" w:hint="eastAsia"/>
          <w:color w:val="000000"/>
        </w:rPr>
        <w:t>，需确保许可证合规且支持迁移至华为云），选择自带许可时需上传许可证文件并完成合规性验证。</w:t>
      </w:r>
    </w:p>
    <w:p w14:paraId="59368A4D"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辅助功能配置</w:t>
      </w:r>
    </w:p>
    <w:p w14:paraId="1C6483CB" w14:textId="2EAFD278"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镜像检测：启用后系统会在迁移完成后自动检测镜像的启动性和兼容性，生成检测报告（如驱动缺失、服务异常等），适用于对迁移质量</w:t>
      </w:r>
      <w:r w:rsidR="006C6F6D" w:rsidRPr="006C6F6D">
        <w:rPr>
          <w:rFonts w:ascii="Segoe UI" w:hAnsi="Segoe UI" w:cs="Segoe UI" w:hint="eastAsia"/>
          <w:b/>
          <w:color w:val="000000"/>
        </w:rPr>
        <w:t>招标文件要求</w:t>
      </w:r>
      <w:r w:rsidRPr="00083D96">
        <w:rPr>
          <w:rFonts w:ascii="Segoe UI" w:hAnsi="Segoe UI" w:cs="Segoe UI" w:hint="eastAsia"/>
          <w:color w:val="000000"/>
        </w:rPr>
        <w:t>较高的核心业务系统，可参考报告进行后续优化。</w:t>
      </w:r>
    </w:p>
    <w:p w14:paraId="5720B1BA" w14:textId="44036F69"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标签：可为迁移任务绑定标签（如“业务线</w:t>
      </w:r>
      <w:r w:rsidRPr="00083D96">
        <w:rPr>
          <w:rFonts w:ascii="Segoe UI" w:hAnsi="Segoe UI" w:cs="Segoe UI" w:hint="eastAsia"/>
          <w:color w:val="000000"/>
        </w:rPr>
        <w:t>=</w:t>
      </w:r>
      <w:r w:rsidRPr="00083D96">
        <w:rPr>
          <w:rFonts w:ascii="Segoe UI" w:hAnsi="Segoe UI" w:cs="Segoe UI" w:hint="eastAsia"/>
          <w:color w:val="000000"/>
        </w:rPr>
        <w:t>财务系统”“环境</w:t>
      </w:r>
      <w:r w:rsidRPr="00083D96">
        <w:rPr>
          <w:rFonts w:ascii="Segoe UI" w:hAnsi="Segoe UI" w:cs="Segoe UI" w:hint="eastAsia"/>
          <w:color w:val="000000"/>
        </w:rPr>
        <w:t>=</w:t>
      </w:r>
      <w:r w:rsidRPr="00083D96">
        <w:rPr>
          <w:rFonts w:ascii="Segoe UI" w:hAnsi="Segoe UI" w:cs="Segoe UI" w:hint="eastAsia"/>
          <w:color w:val="000000"/>
        </w:rPr>
        <w:t>生产”），最多绑定</w:t>
      </w:r>
      <w:r w:rsidRPr="00083D96">
        <w:rPr>
          <w:rFonts w:ascii="Segoe UI" w:hAnsi="Segoe UI" w:cs="Segoe UI" w:hint="eastAsia"/>
          <w:color w:val="000000"/>
        </w:rPr>
        <w:t>10</w:t>
      </w:r>
      <w:r w:rsidRPr="00083D96">
        <w:rPr>
          <w:rFonts w:ascii="Segoe UI" w:hAnsi="Segoe UI" w:cs="Segoe UI" w:hint="eastAsia"/>
          <w:color w:val="000000"/>
        </w:rPr>
        <w:t>个标签，便于按业务维度管理迁移任务和资源。</w:t>
      </w:r>
    </w:p>
    <w:p w14:paraId="1C4F0224" w14:textId="52D5EE61"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中转实例规格：当选择私网传输模式时需配置中转实例规格，建议选择与源服务器配置相近的规格（如</w:t>
      </w:r>
      <w:r w:rsidRPr="00083D96">
        <w:rPr>
          <w:rFonts w:ascii="Segoe UI" w:hAnsi="Segoe UI" w:cs="Segoe UI" w:hint="eastAsia"/>
          <w:color w:val="000000"/>
        </w:rPr>
        <w:t>c6.large.2</w:t>
      </w:r>
      <w:r w:rsidRPr="00083D96">
        <w:rPr>
          <w:rFonts w:ascii="Segoe UI" w:hAnsi="Segoe UI" w:cs="Segoe UI" w:hint="eastAsia"/>
          <w:color w:val="000000"/>
        </w:rPr>
        <w:t>），确保中转效率，重要注意事项：中转实例需预留足够的存储容量以缓存迁移数据。</w:t>
      </w:r>
    </w:p>
    <w:p w14:paraId="1E11E331" w14:textId="6C745ADE"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上报诊断日志：默认开启，系统会将迁移过程中的诊断日志上报至华为云日志服务（</w:t>
      </w:r>
      <w:r w:rsidRPr="00083D96">
        <w:rPr>
          <w:rFonts w:ascii="Segoe UI" w:hAnsi="Segoe UI" w:cs="Segoe UI" w:hint="eastAsia"/>
          <w:color w:val="000000"/>
        </w:rPr>
        <w:t>LTS</w:t>
      </w:r>
      <w:r w:rsidRPr="00083D96">
        <w:rPr>
          <w:rFonts w:ascii="Segoe UI" w:hAnsi="Segoe UI" w:cs="Segoe UI" w:hint="eastAsia"/>
          <w:color w:val="000000"/>
        </w:rPr>
        <w:t>），日志保存</w:t>
      </w:r>
      <w:r w:rsidRPr="00083D96">
        <w:rPr>
          <w:rFonts w:ascii="Segoe UI" w:hAnsi="Segoe UI" w:cs="Segoe UI" w:hint="eastAsia"/>
          <w:color w:val="000000"/>
        </w:rPr>
        <w:t>7</w:t>
      </w:r>
      <w:r w:rsidRPr="00083D96">
        <w:rPr>
          <w:rFonts w:ascii="Segoe UI" w:hAnsi="Segoe UI" w:cs="Segoe UI" w:hint="eastAsia"/>
          <w:color w:val="000000"/>
        </w:rPr>
        <w:t>天，便于在迁移失败时定位问题（如网络中断、权限错误），可在</w:t>
      </w:r>
      <w:r w:rsidRPr="00083D96">
        <w:rPr>
          <w:rFonts w:ascii="Segoe UI" w:hAnsi="Segoe UI" w:cs="Segoe UI" w:hint="eastAsia"/>
          <w:color w:val="000000"/>
        </w:rPr>
        <w:t>LTS</w:t>
      </w:r>
      <w:r w:rsidRPr="00083D96">
        <w:rPr>
          <w:rFonts w:ascii="Segoe UI" w:hAnsi="Segoe UI" w:cs="Segoe UI" w:hint="eastAsia"/>
          <w:color w:val="000000"/>
        </w:rPr>
        <w:t>控制台查询具体日志内容。</w:t>
      </w:r>
    </w:p>
    <w:p w14:paraId="2F45868C" w14:textId="28B71D0E"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确认迁移与状态查看</w:t>
      </w:r>
    </w:p>
    <w:p w14:paraId="19478819" w14:textId="3F34FF01"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完成所有参数配置后，仔细阅读迁移提示（如“迁移期间源服务器网络需保持连通”“请确保目标地域资源充足”），点击“确认迁移”按钮启动迁移任务。在服务器迁移页面可查看实时迁移状态，包括数据传输进度、剩余时间、已同步数据量等。迁移耗时受数据量大小、网络带宽、压缩率等因素影响，例如</w:t>
      </w:r>
      <w:r w:rsidRPr="00083D96">
        <w:rPr>
          <w:rFonts w:ascii="Segoe UI" w:hAnsi="Segoe UI" w:cs="Segoe UI" w:hint="eastAsia"/>
          <w:color w:val="000000"/>
        </w:rPr>
        <w:t>1TB</w:t>
      </w:r>
      <w:r w:rsidRPr="00083D96">
        <w:rPr>
          <w:rFonts w:ascii="Segoe UI" w:hAnsi="Segoe UI" w:cs="Segoe UI" w:hint="eastAsia"/>
          <w:color w:val="000000"/>
        </w:rPr>
        <w:t>数据在</w:t>
      </w:r>
      <w:r w:rsidRPr="00083D96">
        <w:rPr>
          <w:rFonts w:ascii="Segoe UI" w:hAnsi="Segoe UI" w:cs="Segoe UI" w:hint="eastAsia"/>
          <w:color w:val="000000"/>
        </w:rPr>
        <w:t>1Gbps</w:t>
      </w:r>
      <w:r w:rsidRPr="00083D96">
        <w:rPr>
          <w:rFonts w:ascii="Segoe UI" w:hAnsi="Segoe UI" w:cs="Segoe UI" w:hint="eastAsia"/>
          <w:color w:val="000000"/>
        </w:rPr>
        <w:t>带宽下采用默认压缩率通常需要约</w:t>
      </w:r>
      <w:r w:rsidRPr="00083D96">
        <w:rPr>
          <w:rFonts w:ascii="Segoe UI" w:hAnsi="Segoe UI" w:cs="Segoe UI" w:hint="eastAsia"/>
          <w:color w:val="000000"/>
        </w:rPr>
        <w:t>2-3</w:t>
      </w:r>
      <w:r w:rsidRPr="00083D96">
        <w:rPr>
          <w:rFonts w:ascii="Segoe UI" w:hAnsi="Segoe UI" w:cs="Segoe UI" w:hint="eastAsia"/>
          <w:color w:val="000000"/>
        </w:rPr>
        <w:t>小时完成首次同步，后续增量同步时间随数据变化量递减。</w:t>
      </w:r>
    </w:p>
    <w:p w14:paraId="591979DF" w14:textId="3EFE2FDB"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lastRenderedPageBreak/>
        <w:t>通过以上完整的迁移配置流程，可确保</w:t>
      </w:r>
      <w:r w:rsidRPr="00083D96">
        <w:rPr>
          <w:rFonts w:ascii="Segoe UI" w:hAnsi="Segoe UI" w:cs="Segoe UI" w:hint="eastAsia"/>
          <w:color w:val="000000"/>
        </w:rPr>
        <w:t>WindowsServer2016/2019</w:t>
      </w:r>
      <w:r w:rsidRPr="00083D96">
        <w:rPr>
          <w:rFonts w:ascii="Segoe UI" w:hAnsi="Segoe UI" w:cs="Segoe UI" w:hint="eastAsia"/>
          <w:color w:val="000000"/>
        </w:rPr>
        <w:t>云主机在迁移过程中满足业务连续性、数据完整性和安全性</w:t>
      </w:r>
      <w:r w:rsidR="006C6F6D" w:rsidRPr="006C6F6D">
        <w:rPr>
          <w:rFonts w:ascii="Segoe UI" w:hAnsi="Segoe UI" w:cs="Segoe UI" w:hint="eastAsia"/>
          <w:b/>
          <w:color w:val="000000"/>
        </w:rPr>
        <w:t>招标文件要求</w:t>
      </w:r>
      <w:r w:rsidRPr="00083D96">
        <w:rPr>
          <w:rFonts w:ascii="Segoe UI" w:hAnsi="Segoe UI" w:cs="Segoe UI" w:hint="eastAsia"/>
          <w:color w:val="000000"/>
        </w:rPr>
        <w:t>，最终在华为云环境中实现稳定运行。</w:t>
      </w:r>
    </w:p>
    <w:p w14:paraId="09AAC787" w14:textId="096FAB3B" w:rsidR="00007C57" w:rsidRPr="00007C57" w:rsidRDefault="00007C57" w:rsidP="00C6550E">
      <w:pPr>
        <w:pStyle w:val="5"/>
        <w:rPr>
          <w:rFonts w:hint="eastAsia"/>
        </w:rPr>
      </w:pPr>
      <w:r w:rsidRPr="00007C57">
        <w:t>迁移结果验证</w:t>
      </w:r>
    </w:p>
    <w:p w14:paraId="77B53EB0" w14:textId="3D053BE0" w:rsidR="00007C57" w:rsidRPr="00007C57" w:rsidRDefault="00007C57" w:rsidP="00C6550E">
      <w:pPr>
        <w:pStyle w:val="6"/>
        <w:rPr>
          <w:rFonts w:hint="eastAsia"/>
        </w:rPr>
      </w:pPr>
      <w:r w:rsidRPr="00007C57">
        <w:t>迁移成功判断</w:t>
      </w:r>
    </w:p>
    <w:p w14:paraId="03C7EF0B" w14:textId="368D6E8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华为云迁移方案中，迁移成功的判断需结合迁移任务的实时状态、目标资源的可用性及业务功能的完整性，形成多层级的验证体系。当迁移实时状态显示为“已完成”时，仅作为迁移成功的初步判断依据，还需进一步从以下维度完成全面验证，确保</w:t>
      </w:r>
      <w:r w:rsidRPr="00083D96">
        <w:rPr>
          <w:rFonts w:ascii="Segoe UI" w:hAnsi="Segoe UI" w:cs="Segoe UI" w:hint="eastAsia"/>
          <w:color w:val="000000"/>
        </w:rPr>
        <w:t>WindowsServer2016/2019</w:t>
      </w:r>
      <w:r w:rsidRPr="00083D96">
        <w:rPr>
          <w:rFonts w:ascii="Segoe UI" w:hAnsi="Segoe UI" w:cs="Segoe UI" w:hint="eastAsia"/>
          <w:color w:val="000000"/>
        </w:rPr>
        <w:t>云主机在华为云环境中正常运行。</w:t>
      </w:r>
    </w:p>
    <w:p w14:paraId="282A3C0F" w14:textId="1349C95B"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首先，以华为云控制台的迁移任务状态为基础判断标准。在服务器迁移页面，若迁移任务的实时状态栏明确显示“已完成”，且进度条显示</w:t>
      </w:r>
      <w:r w:rsidRPr="00083D96">
        <w:rPr>
          <w:rFonts w:ascii="Segoe UI" w:hAnsi="Segoe UI" w:cs="Segoe UI" w:hint="eastAsia"/>
          <w:color w:val="000000"/>
        </w:rPr>
        <w:t>100%</w:t>
      </w:r>
      <w:r w:rsidRPr="00083D96">
        <w:rPr>
          <w:rFonts w:ascii="Segoe UI" w:hAnsi="Segoe UI" w:cs="Segoe UI" w:hint="eastAsia"/>
          <w:color w:val="000000"/>
        </w:rPr>
        <w:t>，同时无任何错误提示（如“数据传输失败”“镜像创建异常”），则表明迁移任务已按流程执行完毕。此时需同步查看“迁移详情”中的关键指标：数据传输总耗时应与预估时间基本吻合（受网络带宽、数据量影响可能存在一定误差），增量同步次数需符合预设频率（如每</w:t>
      </w:r>
      <w:r w:rsidRPr="00083D96">
        <w:rPr>
          <w:rFonts w:ascii="Segoe UI" w:hAnsi="Segoe UI" w:cs="Segoe UI" w:hint="eastAsia"/>
          <w:color w:val="000000"/>
        </w:rPr>
        <w:t>15</w:t>
      </w:r>
      <w:r w:rsidRPr="00083D96">
        <w:rPr>
          <w:rFonts w:ascii="Segoe UI" w:hAnsi="Segoe UI" w:cs="Segoe UI" w:hint="eastAsia"/>
          <w:color w:val="000000"/>
        </w:rPr>
        <w:t>分钟一次），且最终同步的增量数据量应与源端变更量一致，避免因增量同步失败导致的数据丢失。</w:t>
      </w:r>
    </w:p>
    <w:p w14:paraId="774ED4BA" w14:textId="0E3F95CE"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其次，验证目标资源的创建与配置准确性。若迁移目标类型为自定义镜像，需在华为云“镜像服务”控制台查看镜像状态，确保镜像状态为“正常”，且镜像大小与源服务器磁盘实际使用容量一致（考虑到磁盘格式化和文件系统开销，允许存在</w:t>
      </w:r>
      <w:r w:rsidRPr="00083D96">
        <w:rPr>
          <w:rFonts w:ascii="Segoe UI" w:hAnsi="Segoe UI" w:cs="Segoe UI" w:hint="eastAsia"/>
          <w:color w:val="000000"/>
        </w:rPr>
        <w:t>5%-10%</w:t>
      </w:r>
      <w:r w:rsidRPr="00083D96">
        <w:rPr>
          <w:rFonts w:ascii="Segoe UI" w:hAnsi="Segoe UI" w:cs="Segoe UI" w:hint="eastAsia"/>
          <w:color w:val="000000"/>
        </w:rPr>
        <w:t>的误差）。点击镜像详情，检查操作系统类型显示为“</w:t>
      </w:r>
      <w:r w:rsidRPr="00083D96">
        <w:rPr>
          <w:rFonts w:ascii="Segoe UI" w:hAnsi="Segoe UI" w:cs="Segoe UI" w:hint="eastAsia"/>
          <w:color w:val="000000"/>
        </w:rPr>
        <w:t>WindowsServer2016/2019</w:t>
      </w:r>
      <w:r w:rsidRPr="00083D96">
        <w:rPr>
          <w:rFonts w:ascii="Segoe UI" w:hAnsi="Segoe UI" w:cs="Segoe UI" w:hint="eastAsia"/>
          <w:color w:val="000000"/>
        </w:rPr>
        <w:t>”，镜像文件完整性校验值（如</w:t>
      </w:r>
      <w:r w:rsidRPr="00083D96">
        <w:rPr>
          <w:rFonts w:ascii="Segoe UI" w:hAnsi="Segoe UI" w:cs="Segoe UI" w:hint="eastAsia"/>
          <w:color w:val="000000"/>
        </w:rPr>
        <w:t>MD5/SHA256</w:t>
      </w:r>
      <w:r w:rsidRPr="00083D96">
        <w:rPr>
          <w:rFonts w:ascii="Segoe UI" w:hAnsi="Segoe UI" w:cs="Segoe UI" w:hint="eastAsia"/>
          <w:color w:val="000000"/>
        </w:rPr>
        <w:t>）与源服务器备份镜像的校验值一致，确保镜像无损坏或篡改。若目标类型为云服务器实例，需在“云服务器”控制台确认实例状态为“运行中”，实例规格（</w:t>
      </w:r>
      <w:r w:rsidRPr="00083D96">
        <w:rPr>
          <w:rFonts w:ascii="Segoe UI" w:hAnsi="Segoe UI" w:cs="Segoe UI" w:hint="eastAsia"/>
          <w:color w:val="000000"/>
        </w:rPr>
        <w:t>vCPU</w:t>
      </w:r>
      <w:r w:rsidRPr="00083D96">
        <w:rPr>
          <w:rFonts w:ascii="Segoe UI" w:hAnsi="Segoe UI" w:cs="Segoe UI" w:hint="eastAsia"/>
          <w:color w:val="000000"/>
        </w:rPr>
        <w:t>、内存）与迁移配置一致，数据盘挂载数量及容量满足迁移源</w:t>
      </w:r>
      <w:r w:rsidR="006C6F6D" w:rsidRPr="006C6F6D">
        <w:rPr>
          <w:rFonts w:ascii="Segoe UI" w:hAnsi="Segoe UI" w:cs="Segoe UI" w:hint="eastAsia"/>
          <w:b/>
          <w:color w:val="000000"/>
        </w:rPr>
        <w:t>招标文件要求</w:t>
      </w:r>
      <w:r w:rsidRPr="00083D96">
        <w:rPr>
          <w:rFonts w:ascii="Segoe UI" w:hAnsi="Segoe UI" w:cs="Segoe UI" w:hint="eastAsia"/>
          <w:color w:val="000000"/>
        </w:rPr>
        <w:t>（目标实例数据盘数量≥源端，容量≥源端实际使用量），且磁盘分区结构与迁移配置中的调整方案一致（如</w:t>
      </w:r>
      <w:r w:rsidRPr="00083D96">
        <w:rPr>
          <w:rFonts w:ascii="Segoe UI" w:hAnsi="Segoe UI" w:cs="Segoe UI" w:hint="eastAsia"/>
          <w:color w:val="000000"/>
        </w:rPr>
        <w:t>C</w:t>
      </w:r>
      <w:r w:rsidRPr="00083D96">
        <w:rPr>
          <w:rFonts w:ascii="Segoe UI" w:hAnsi="Segoe UI" w:cs="Segoe UI" w:hint="eastAsia"/>
          <w:color w:val="000000"/>
        </w:rPr>
        <w:t>盘</w:t>
      </w:r>
      <w:r w:rsidRPr="00083D96">
        <w:rPr>
          <w:rFonts w:ascii="Segoe UI" w:hAnsi="Segoe UI" w:cs="Segoe UI" w:hint="eastAsia"/>
          <w:color w:val="000000"/>
        </w:rPr>
        <w:t>100GB</w:t>
      </w:r>
      <w:r w:rsidRPr="00083D96">
        <w:rPr>
          <w:rFonts w:ascii="Segoe UI" w:hAnsi="Segoe UI" w:cs="Segoe UI" w:hint="eastAsia"/>
          <w:color w:val="000000"/>
        </w:rPr>
        <w:t>、</w:t>
      </w:r>
      <w:r w:rsidRPr="00083D96">
        <w:rPr>
          <w:rFonts w:ascii="Segoe UI" w:hAnsi="Segoe UI" w:cs="Segoe UI" w:hint="eastAsia"/>
          <w:color w:val="000000"/>
        </w:rPr>
        <w:t>D</w:t>
      </w:r>
      <w:r w:rsidRPr="00083D96">
        <w:rPr>
          <w:rFonts w:ascii="Segoe UI" w:hAnsi="Segoe UI" w:cs="Segoe UI" w:hint="eastAsia"/>
          <w:color w:val="000000"/>
        </w:rPr>
        <w:t>盘</w:t>
      </w:r>
      <w:r w:rsidRPr="00083D96">
        <w:rPr>
          <w:rFonts w:ascii="Segoe UI" w:hAnsi="Segoe UI" w:cs="Segoe UI" w:hint="eastAsia"/>
          <w:color w:val="000000"/>
        </w:rPr>
        <w:t>500GB</w:t>
      </w:r>
      <w:r w:rsidRPr="00083D96">
        <w:rPr>
          <w:rFonts w:ascii="Segoe UI" w:hAnsi="Segoe UI" w:cs="Segoe UI" w:hint="eastAsia"/>
          <w:color w:val="000000"/>
        </w:rPr>
        <w:t>）。</w:t>
      </w:r>
    </w:p>
    <w:p w14:paraId="2643D623" w14:textId="6FCD111B"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再者，进行操作系统与驱动的兼容性验证。通过远程桌面（</w:t>
      </w:r>
      <w:r w:rsidRPr="00083D96">
        <w:rPr>
          <w:rFonts w:ascii="Segoe UI" w:hAnsi="Segoe UI" w:cs="Segoe UI" w:hint="eastAsia"/>
          <w:color w:val="000000"/>
        </w:rPr>
        <w:t>RDP</w:t>
      </w:r>
      <w:r w:rsidRPr="00083D96">
        <w:rPr>
          <w:rFonts w:ascii="Segoe UI" w:hAnsi="Segoe UI" w:cs="Segoe UI" w:hint="eastAsia"/>
          <w:color w:val="000000"/>
        </w:rPr>
        <w:t>）连接至迁移后的</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云主机，确认操作系统启动正常，无蓝屏、启动项缺失等异常。系统桌面右下角应显示“激活的</w:t>
      </w:r>
      <w:r w:rsidRPr="00083D96">
        <w:rPr>
          <w:rFonts w:ascii="Segoe UI" w:hAnsi="Segoe UI" w:cs="Segoe UI" w:hint="eastAsia"/>
          <w:color w:val="000000"/>
        </w:rPr>
        <w:t>Windows</w:t>
      </w:r>
      <w:r w:rsidRPr="00083D96">
        <w:rPr>
          <w:rFonts w:ascii="Segoe UI" w:hAnsi="Segoe UI" w:cs="Segoe UI" w:hint="eastAsia"/>
          <w:color w:val="000000"/>
        </w:rPr>
        <w:t>”状态，若采用“自带许可”模式，需检查许可证有效性；若使用华为云许可证，需确保许可证已正确绑定。同时，打开“设备管理器”，查看硬件驱动是否完整安装（无黄色感叹号或问号），特别是网卡、存储控制器等关键驱动需与华为云虚拟化环境兼容，必要时可从华为云官网下载最新的</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驱动包进行更新，确保硬件性能充分释放。</w:t>
      </w:r>
    </w:p>
    <w:p w14:paraId="137ACC38" w14:textId="11BE2018"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此外，需验证业务应用的功能完整性。对于部署在</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上的核心业务应用（如</w:t>
      </w:r>
      <w:proofErr w:type="spellStart"/>
      <w:r w:rsidRPr="00083D96">
        <w:rPr>
          <w:rFonts w:ascii="Segoe UI" w:hAnsi="Segoe UI" w:cs="Segoe UI" w:hint="eastAsia"/>
          <w:color w:val="000000"/>
        </w:rPr>
        <w:t>SQLServer</w:t>
      </w:r>
      <w:proofErr w:type="spellEnd"/>
      <w:r w:rsidRPr="00083D96">
        <w:rPr>
          <w:rFonts w:ascii="Segoe UI" w:hAnsi="Segoe UI" w:cs="Segoe UI" w:hint="eastAsia"/>
          <w:color w:val="000000"/>
        </w:rPr>
        <w:t>数据库、</w:t>
      </w:r>
      <w:r w:rsidRPr="00083D96">
        <w:rPr>
          <w:rFonts w:ascii="Segoe UI" w:hAnsi="Segoe UI" w:cs="Segoe UI" w:hint="eastAsia"/>
          <w:color w:val="000000"/>
        </w:rPr>
        <w:t>IIS</w:t>
      </w:r>
      <w:r w:rsidRPr="00083D96">
        <w:rPr>
          <w:rFonts w:ascii="Segoe UI" w:hAnsi="Segoe UI" w:cs="Segoe UI" w:hint="eastAsia"/>
          <w:color w:val="000000"/>
        </w:rPr>
        <w:t>网站服务），逐一启动应用服务并执行功能测试：</w:t>
      </w:r>
      <w:proofErr w:type="spellStart"/>
      <w:r w:rsidRPr="00083D96">
        <w:rPr>
          <w:rFonts w:ascii="Segoe UI" w:hAnsi="Segoe UI" w:cs="Segoe UI" w:hint="eastAsia"/>
          <w:color w:val="000000"/>
        </w:rPr>
        <w:t>SQLServer</w:t>
      </w:r>
      <w:proofErr w:type="spellEnd"/>
      <w:r w:rsidRPr="00083D96">
        <w:rPr>
          <w:rFonts w:ascii="Segoe UI" w:hAnsi="Segoe UI" w:cs="Segoe UI" w:hint="eastAsia"/>
          <w:color w:val="000000"/>
        </w:rPr>
        <w:t>需验证数据库连接、数据查询及事务处理能力，可通过还原迁移后的数据库备份并执行简单查询语句（如</w:t>
      </w:r>
      <w:r w:rsidRPr="00083D96">
        <w:rPr>
          <w:rFonts w:ascii="Segoe UI" w:hAnsi="Segoe UI" w:cs="Segoe UI" w:hint="eastAsia"/>
          <w:color w:val="000000"/>
        </w:rPr>
        <w:t>SELECT*FROMTABLE</w:t>
      </w:r>
      <w:r w:rsidRPr="00083D96">
        <w:rPr>
          <w:rFonts w:ascii="Segoe UI" w:hAnsi="Segoe UI" w:cs="Segoe UI" w:hint="eastAsia"/>
          <w:color w:val="000000"/>
        </w:rPr>
        <w:t>）验证数据完整性；</w:t>
      </w:r>
      <w:r w:rsidRPr="00083D96">
        <w:rPr>
          <w:rFonts w:ascii="Segoe UI" w:hAnsi="Segoe UI" w:cs="Segoe UI" w:hint="eastAsia"/>
          <w:color w:val="000000"/>
        </w:rPr>
        <w:t>IIS</w:t>
      </w:r>
      <w:r w:rsidRPr="00083D96">
        <w:rPr>
          <w:rFonts w:ascii="Segoe UI" w:hAnsi="Segoe UI" w:cs="Segoe UI" w:hint="eastAsia"/>
          <w:color w:val="000000"/>
        </w:rPr>
        <w:t>网站需访问前端页面，测试用户登录、数据提交等核心功能，确保应用在华为云环境中运行正常。对于有状态的应用（如正在处理中的业务流程），需检查迁移前后的状态一致性，避免因迁移导致业务中断或数据不一</w:t>
      </w:r>
      <w:r w:rsidRPr="00083D96">
        <w:rPr>
          <w:rFonts w:ascii="Segoe UI" w:hAnsi="Segoe UI" w:cs="Segoe UI" w:hint="eastAsia"/>
          <w:color w:val="000000"/>
        </w:rPr>
        <w:lastRenderedPageBreak/>
        <w:t>致。</w:t>
      </w:r>
    </w:p>
    <w:p w14:paraId="68F9291A" w14:textId="2A61A95F"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最后，完成网络连通性与</w:t>
      </w:r>
      <w:r w:rsidRPr="00083D96">
        <w:rPr>
          <w:rFonts w:ascii="Segoe UI" w:hAnsi="Segoe UI" w:cs="Segoe UI" w:hint="eastAsia"/>
          <w:color w:val="000000"/>
        </w:rPr>
        <w:t>IP</w:t>
      </w:r>
      <w:r w:rsidRPr="00083D96">
        <w:rPr>
          <w:rFonts w:ascii="Segoe UI" w:hAnsi="Segoe UI" w:cs="Segoe UI" w:hint="eastAsia"/>
          <w:color w:val="000000"/>
        </w:rPr>
        <w:t>配置验证。确认迁移后的云主机可通过华为云内网（</w:t>
      </w:r>
      <w:r w:rsidRPr="00083D96">
        <w:rPr>
          <w:rFonts w:ascii="Segoe UI" w:hAnsi="Segoe UI" w:cs="Segoe UI" w:hint="eastAsia"/>
          <w:color w:val="000000"/>
        </w:rPr>
        <w:t>VPC</w:t>
      </w:r>
      <w:r w:rsidRPr="00083D96">
        <w:rPr>
          <w:rFonts w:ascii="Segoe UI" w:hAnsi="Segoe UI" w:cs="Segoe UI" w:hint="eastAsia"/>
          <w:color w:val="000000"/>
        </w:rPr>
        <w:t>）与其他资源正常通信，若配置了公网</w:t>
      </w:r>
      <w:r w:rsidRPr="00083D96">
        <w:rPr>
          <w:rFonts w:ascii="Segoe UI" w:hAnsi="Segoe UI" w:cs="Segoe UI" w:hint="eastAsia"/>
          <w:color w:val="000000"/>
        </w:rPr>
        <w:t>IP</w:t>
      </w:r>
      <w:r w:rsidRPr="00083D96">
        <w:rPr>
          <w:rFonts w:ascii="Segoe UI" w:hAnsi="Segoe UI" w:cs="Segoe UI" w:hint="eastAsia"/>
          <w:color w:val="000000"/>
        </w:rPr>
        <w:t>，需测试公网访问能力（如通过公网</w:t>
      </w:r>
      <w:r w:rsidRPr="00083D96">
        <w:rPr>
          <w:rFonts w:ascii="Segoe UI" w:hAnsi="Segoe UI" w:cs="Segoe UI" w:hint="eastAsia"/>
          <w:color w:val="000000"/>
        </w:rPr>
        <w:t>IP</w:t>
      </w:r>
      <w:r w:rsidRPr="00083D96">
        <w:rPr>
          <w:rFonts w:ascii="Segoe UI" w:hAnsi="Segoe UI" w:cs="Segoe UI" w:hint="eastAsia"/>
          <w:color w:val="000000"/>
        </w:rPr>
        <w:t>远程连接云主机）。对于迁移过程中选择“保持</w:t>
      </w:r>
      <w:r w:rsidRPr="00083D96">
        <w:rPr>
          <w:rFonts w:ascii="Segoe UI" w:hAnsi="Segoe UI" w:cs="Segoe UI" w:hint="eastAsia"/>
          <w:color w:val="000000"/>
        </w:rPr>
        <w:t>IPv4</w:t>
      </w:r>
      <w:r w:rsidRPr="00083D96">
        <w:rPr>
          <w:rFonts w:ascii="Segoe UI" w:hAnsi="Segoe UI" w:cs="Segoe UI" w:hint="eastAsia"/>
          <w:color w:val="000000"/>
        </w:rPr>
        <w:t>私网地址不变”的场景，需验证云主机的内网</w:t>
      </w:r>
      <w:r w:rsidRPr="00083D96">
        <w:rPr>
          <w:rFonts w:ascii="Segoe UI" w:hAnsi="Segoe UI" w:cs="Segoe UI" w:hint="eastAsia"/>
          <w:color w:val="000000"/>
        </w:rPr>
        <w:t>IP</w:t>
      </w:r>
      <w:r w:rsidRPr="00083D96">
        <w:rPr>
          <w:rFonts w:ascii="Segoe UI" w:hAnsi="Segoe UI" w:cs="Segoe UI" w:hint="eastAsia"/>
          <w:color w:val="000000"/>
        </w:rPr>
        <w:t>与源服务器一致且无冲突；若手动指定</w:t>
      </w:r>
      <w:r w:rsidRPr="00083D96">
        <w:rPr>
          <w:rFonts w:ascii="Segoe UI" w:hAnsi="Segoe UI" w:cs="Segoe UI" w:hint="eastAsia"/>
          <w:color w:val="000000"/>
        </w:rPr>
        <w:t>IP</w:t>
      </w:r>
      <w:r w:rsidRPr="00083D96">
        <w:rPr>
          <w:rFonts w:ascii="Segoe UI" w:hAnsi="Segoe UI" w:cs="Segoe UI" w:hint="eastAsia"/>
          <w:color w:val="000000"/>
        </w:rPr>
        <w:t>，需确认</w:t>
      </w:r>
      <w:r w:rsidRPr="00083D96">
        <w:rPr>
          <w:rFonts w:ascii="Segoe UI" w:hAnsi="Segoe UI" w:cs="Segoe UI" w:hint="eastAsia"/>
          <w:color w:val="000000"/>
        </w:rPr>
        <w:t>IP</w:t>
      </w:r>
      <w:r w:rsidRPr="00083D96">
        <w:rPr>
          <w:rFonts w:ascii="Segoe UI" w:hAnsi="Segoe UI" w:cs="Segoe UI" w:hint="eastAsia"/>
          <w:color w:val="000000"/>
        </w:rPr>
        <w:t>地址在</w:t>
      </w:r>
      <w:r w:rsidRPr="00083D96">
        <w:rPr>
          <w:rFonts w:ascii="Segoe UI" w:hAnsi="Segoe UI" w:cs="Segoe UI" w:hint="eastAsia"/>
          <w:color w:val="000000"/>
        </w:rPr>
        <w:t>VPC</w:t>
      </w:r>
      <w:r w:rsidRPr="00083D96">
        <w:rPr>
          <w:rFonts w:ascii="Segoe UI" w:hAnsi="Segoe UI" w:cs="Segoe UI" w:hint="eastAsia"/>
          <w:color w:val="000000"/>
        </w:rPr>
        <w:t>网段内且已正确配置路由表。同时，检查</w:t>
      </w:r>
      <w:r w:rsidRPr="00083D96">
        <w:rPr>
          <w:rFonts w:ascii="Segoe UI" w:hAnsi="Segoe UI" w:cs="Segoe UI" w:hint="eastAsia"/>
          <w:color w:val="000000"/>
        </w:rPr>
        <w:t>Windows</w:t>
      </w:r>
      <w:r w:rsidRPr="00083D96">
        <w:rPr>
          <w:rFonts w:ascii="Segoe UI" w:hAnsi="Segoe UI" w:cs="Segoe UI" w:hint="eastAsia"/>
          <w:color w:val="000000"/>
        </w:rPr>
        <w:t>防火墙规则是否已按业务需求配置，避免因防火墙设置导致的网络访问异常。</w:t>
      </w:r>
    </w:p>
    <w:p w14:paraId="7F32CC10" w14:textId="2BC69B3C" w:rsidR="00007C57" w:rsidRPr="00007C57"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通过以上从迁移状态、目标资源、系统驱动、业务应用到网络配置的多层级验证，方可最终判定</w:t>
      </w:r>
      <w:r w:rsidRPr="00083D96">
        <w:rPr>
          <w:rFonts w:ascii="Segoe UI" w:hAnsi="Segoe UI" w:cs="Segoe UI" w:hint="eastAsia"/>
          <w:color w:val="000000"/>
        </w:rPr>
        <w:t>WindowsServer2016/2019</w:t>
      </w:r>
      <w:r w:rsidRPr="00083D96">
        <w:rPr>
          <w:rFonts w:ascii="Segoe UI" w:hAnsi="Segoe UI" w:cs="Segoe UI" w:hint="eastAsia"/>
          <w:color w:val="000000"/>
        </w:rPr>
        <w:t>云主机迁移成功。若在任一环节发现异常（如镜像启动失败、应用功能异常），需参考华为云迁移日志（可在</w:t>
      </w:r>
      <w:r w:rsidRPr="00083D96">
        <w:rPr>
          <w:rFonts w:ascii="Segoe UI" w:hAnsi="Segoe UI" w:cs="Segoe UI" w:hint="eastAsia"/>
          <w:color w:val="000000"/>
        </w:rPr>
        <w:t>LTS</w:t>
      </w:r>
      <w:r w:rsidRPr="00083D96">
        <w:rPr>
          <w:rFonts w:ascii="Segoe UI" w:hAnsi="Segoe UI" w:cs="Segoe UI" w:hint="eastAsia"/>
          <w:color w:val="000000"/>
        </w:rPr>
        <w:t>控制台查询）定位问题原因，必要时重新执行迁移任务或联系技术支持进行故障排查，确保迁移结果满足业务连续性</w:t>
      </w:r>
      <w:r w:rsidR="006C6F6D" w:rsidRPr="006C6F6D">
        <w:rPr>
          <w:rFonts w:ascii="Segoe UI" w:hAnsi="Segoe UI" w:cs="Segoe UI" w:hint="eastAsia"/>
          <w:b/>
          <w:color w:val="000000"/>
        </w:rPr>
        <w:t>招标文件要求</w:t>
      </w:r>
      <w:r w:rsidRPr="00083D96">
        <w:rPr>
          <w:rFonts w:ascii="Segoe UI" w:hAnsi="Segoe UI" w:cs="Segoe UI" w:hint="eastAsia"/>
          <w:color w:val="000000"/>
        </w:rPr>
        <w:t>。</w:t>
      </w:r>
    </w:p>
    <w:p w14:paraId="5ACB71D4" w14:textId="32F3EA75" w:rsidR="00007C57" w:rsidRPr="00007C57" w:rsidRDefault="00007C57" w:rsidP="00C6550E">
      <w:pPr>
        <w:pStyle w:val="6"/>
        <w:rPr>
          <w:rFonts w:hint="eastAsia"/>
        </w:rPr>
      </w:pPr>
      <w:r w:rsidRPr="00007C57">
        <w:t>查看迁移交付物</w:t>
      </w:r>
    </w:p>
    <w:p w14:paraId="2FE36BEC" w14:textId="54D2E795"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当迁移目标类型选择为云主机镜像且迁移任务显示“已完成”后，需通过华为云控制台查看生成的自定义镜像及相关交付物，确保镜像质量与迁移结果符合预期。迁移交付物的验证涵盖镜像基本信息、检测报告、完整性校验等多个维度，具体操作与判断标准如下：</w:t>
      </w:r>
    </w:p>
    <w:p w14:paraId="42AFFAB3" w14:textId="6CADF5EC"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首先，在华为云管理控制台搜索并进入“镜像服务”页面，在自定义镜像列表中找到迁移生成的镜像（可通过镜像名称、创建时间或迁移任务名称快速定位）。点击镜像名称进入详情页，查看镜像的基本信息：镜像状态需显示为“正常”，若状态为“创建中”或“异常”，则需等待或排查问题；操作系统类型应正确显示为“</w:t>
      </w:r>
      <w:r w:rsidRPr="007D7392">
        <w:rPr>
          <w:rFonts w:ascii="Segoe UI" w:hAnsi="Segoe UI" w:cs="Segoe UI" w:hint="eastAsia"/>
          <w:color w:val="000000"/>
        </w:rPr>
        <w:t>WindowsServer2016</w:t>
      </w:r>
      <w:r w:rsidRPr="007D7392">
        <w:rPr>
          <w:rFonts w:ascii="Segoe UI" w:hAnsi="Segoe UI" w:cs="Segoe UI" w:hint="eastAsia"/>
          <w:color w:val="000000"/>
        </w:rPr>
        <w:t>”或“</w:t>
      </w:r>
      <w:r w:rsidRPr="007D7392">
        <w:rPr>
          <w:rFonts w:ascii="Segoe UI" w:hAnsi="Segoe UI" w:cs="Segoe UI" w:hint="eastAsia"/>
          <w:color w:val="000000"/>
        </w:rPr>
        <w:t>WindowsServer2019</w:t>
      </w:r>
      <w:r w:rsidRPr="007D7392">
        <w:rPr>
          <w:rFonts w:ascii="Segoe UI" w:hAnsi="Segoe UI" w:cs="Segoe UI" w:hint="eastAsia"/>
          <w:color w:val="000000"/>
        </w:rPr>
        <w:t>”，镜像格式为华为云支持的</w:t>
      </w:r>
      <w:r w:rsidRPr="007D7392">
        <w:rPr>
          <w:rFonts w:ascii="Segoe UI" w:hAnsi="Segoe UI" w:cs="Segoe UI" w:hint="eastAsia"/>
          <w:color w:val="000000"/>
        </w:rPr>
        <w:t>qcow2</w:t>
      </w:r>
      <w:r w:rsidRPr="007D7392">
        <w:rPr>
          <w:rFonts w:ascii="Segoe UI" w:hAnsi="Segoe UI" w:cs="Segoe UI" w:hint="eastAsia"/>
          <w:color w:val="000000"/>
        </w:rPr>
        <w:t>或</w:t>
      </w:r>
      <w:r w:rsidRPr="007D7392">
        <w:rPr>
          <w:rFonts w:ascii="Segoe UI" w:hAnsi="Segoe UI" w:cs="Segoe UI" w:hint="eastAsia"/>
          <w:color w:val="000000"/>
        </w:rPr>
        <w:t>raw</w:t>
      </w:r>
      <w:r w:rsidRPr="007D7392">
        <w:rPr>
          <w:rFonts w:ascii="Segoe UI" w:hAnsi="Segoe UI" w:cs="Segoe UI" w:hint="eastAsia"/>
          <w:color w:val="000000"/>
        </w:rPr>
        <w:t>；镜像大小需与源服务器的磁盘实际使用容量匹配，考虑到文件系统开销，允许存在</w:t>
      </w:r>
      <w:r w:rsidRPr="007D7392">
        <w:rPr>
          <w:rFonts w:ascii="Segoe UI" w:hAnsi="Segoe UI" w:cs="Segoe UI" w:hint="eastAsia"/>
          <w:color w:val="000000"/>
        </w:rPr>
        <w:t>5%-10%</w:t>
      </w:r>
      <w:r w:rsidRPr="007D7392">
        <w:rPr>
          <w:rFonts w:ascii="Segoe UI" w:hAnsi="Segoe UI" w:cs="Segoe UI" w:hint="eastAsia"/>
          <w:color w:val="000000"/>
        </w:rPr>
        <w:t>的误差，例如源服务器</w:t>
      </w:r>
      <w:r w:rsidRPr="007D7392">
        <w:rPr>
          <w:rFonts w:ascii="Segoe UI" w:hAnsi="Segoe UI" w:cs="Segoe UI" w:hint="eastAsia"/>
          <w:color w:val="000000"/>
        </w:rPr>
        <w:t>C</w:t>
      </w:r>
      <w:r w:rsidRPr="007D7392">
        <w:rPr>
          <w:rFonts w:ascii="Segoe UI" w:hAnsi="Segoe UI" w:cs="Segoe UI" w:hint="eastAsia"/>
          <w:color w:val="000000"/>
        </w:rPr>
        <w:t>盘实际使用</w:t>
      </w:r>
      <w:r w:rsidRPr="007D7392">
        <w:rPr>
          <w:rFonts w:ascii="Segoe UI" w:hAnsi="Segoe UI" w:cs="Segoe UI" w:hint="eastAsia"/>
          <w:color w:val="000000"/>
        </w:rPr>
        <w:t>80GB</w:t>
      </w:r>
      <w:r w:rsidRPr="007D7392">
        <w:rPr>
          <w:rFonts w:ascii="Segoe UI" w:hAnsi="Segoe UI" w:cs="Segoe UI" w:hint="eastAsia"/>
          <w:color w:val="000000"/>
        </w:rPr>
        <w:t>，镜像大小应为</w:t>
      </w:r>
      <w:r w:rsidRPr="007D7392">
        <w:rPr>
          <w:rFonts w:ascii="Segoe UI" w:hAnsi="Segoe UI" w:cs="Segoe UI" w:hint="eastAsia"/>
          <w:color w:val="000000"/>
        </w:rPr>
        <w:t>84GB-88GB</w:t>
      </w:r>
      <w:r w:rsidRPr="007D7392">
        <w:rPr>
          <w:rFonts w:ascii="Segoe UI" w:hAnsi="Segoe UI" w:cs="Segoe UI" w:hint="eastAsia"/>
          <w:color w:val="000000"/>
        </w:rPr>
        <w:t>左右。</w:t>
      </w:r>
    </w:p>
    <w:p w14:paraId="7431872E" w14:textId="421F9EA9"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其次，查看镜像检测报告（若迁移配置中启用了“镜像检测”功能）。在镜像详情页的“检测信息”标签页中，系统会自动生成检测报告，内容包括：</w:t>
      </w:r>
    </w:p>
    <w:p w14:paraId="2B1BEDF7" w14:textId="44833458"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启动性检测：验证镜像能否在华为云虚拟化环境中正常启动，报告显示“启动成功”且无报错日志（如驱动加载失败、系统文件损坏）；</w:t>
      </w:r>
    </w:p>
    <w:p w14:paraId="6984F91D" w14:textId="34612F51"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驱动兼容性：列出镜像中已安装的驱动程序，重点检查网卡、存储控制器、显卡等关键驱动是否为华为云推荐版本（如华为云</w:t>
      </w:r>
      <w:r w:rsidRPr="007D7392">
        <w:rPr>
          <w:rFonts w:ascii="Segoe UI" w:hAnsi="Segoe UI" w:cs="Segoe UI" w:hint="eastAsia"/>
          <w:color w:val="000000"/>
        </w:rPr>
        <w:t>VBD</w:t>
      </w:r>
      <w:r w:rsidRPr="007D7392">
        <w:rPr>
          <w:rFonts w:ascii="Segoe UI" w:hAnsi="Segoe UI" w:cs="Segoe UI" w:hint="eastAsia"/>
          <w:color w:val="000000"/>
        </w:rPr>
        <w:t>驱动、</w:t>
      </w:r>
      <w:proofErr w:type="spellStart"/>
      <w:r w:rsidRPr="007D7392">
        <w:rPr>
          <w:rFonts w:ascii="Segoe UI" w:hAnsi="Segoe UI" w:cs="Segoe UI" w:hint="eastAsia"/>
          <w:color w:val="000000"/>
        </w:rPr>
        <w:t>UVPVMTools</w:t>
      </w:r>
      <w:proofErr w:type="spellEnd"/>
      <w:r w:rsidRPr="007D7392">
        <w:rPr>
          <w:rFonts w:ascii="Segoe UI" w:hAnsi="Segoe UI" w:cs="Segoe UI" w:hint="eastAsia"/>
          <w:color w:val="000000"/>
        </w:rPr>
        <w:t>），若存在“未知设备”或驱动版本过低，需手动更新；</w:t>
      </w:r>
    </w:p>
    <w:p w14:paraId="2D55CC51" w14:textId="08512775"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服务状态：检测</w:t>
      </w:r>
      <w:r w:rsidRPr="007D7392">
        <w:rPr>
          <w:rFonts w:ascii="Segoe UI" w:hAnsi="Segoe UI" w:cs="Segoe UI" w:hint="eastAsia"/>
          <w:color w:val="000000"/>
        </w:rPr>
        <w:t>Windows</w:t>
      </w:r>
      <w:r w:rsidRPr="007D7392">
        <w:rPr>
          <w:rFonts w:ascii="Segoe UI" w:hAnsi="Segoe UI" w:cs="Segoe UI" w:hint="eastAsia"/>
          <w:color w:val="000000"/>
        </w:rPr>
        <w:t>系统服务（如</w:t>
      </w:r>
      <w:proofErr w:type="spellStart"/>
      <w:r w:rsidRPr="007D7392">
        <w:rPr>
          <w:rFonts w:ascii="Segoe UI" w:hAnsi="Segoe UI" w:cs="Segoe UI" w:hint="eastAsia"/>
          <w:color w:val="000000"/>
        </w:rPr>
        <w:t>RemoteDesktopService</w:t>
      </w:r>
      <w:proofErr w:type="spellEnd"/>
      <w:r w:rsidRPr="007D7392">
        <w:rPr>
          <w:rFonts w:ascii="Segoe UI" w:hAnsi="Segoe UI" w:cs="Segoe UI" w:hint="eastAsia"/>
          <w:color w:val="000000"/>
        </w:rPr>
        <w:t>、</w:t>
      </w:r>
      <w:proofErr w:type="spellStart"/>
      <w:r w:rsidRPr="007D7392">
        <w:rPr>
          <w:rFonts w:ascii="Segoe UI" w:hAnsi="Segoe UI" w:cs="Segoe UI" w:hint="eastAsia"/>
          <w:color w:val="000000"/>
        </w:rPr>
        <w:t>DHCPClient</w:t>
      </w:r>
      <w:proofErr w:type="spellEnd"/>
      <w:r w:rsidRPr="007D7392">
        <w:rPr>
          <w:rFonts w:ascii="Segoe UI" w:hAnsi="Segoe UI" w:cs="Segoe UI" w:hint="eastAsia"/>
          <w:color w:val="000000"/>
        </w:rPr>
        <w:t>）是否正常启动，无“禁用”或“启动失败”的服务；</w:t>
      </w:r>
    </w:p>
    <w:p w14:paraId="4F8BFFCA" w14:textId="1C5DDE56"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磁盘分区：确认镜像中的磁盘分区结构与迁移配置一致，如</w:t>
      </w:r>
      <w:r w:rsidRPr="007D7392">
        <w:rPr>
          <w:rFonts w:ascii="Segoe UI" w:hAnsi="Segoe UI" w:cs="Segoe UI" w:hint="eastAsia"/>
          <w:color w:val="000000"/>
        </w:rPr>
        <w:t>C</w:t>
      </w:r>
      <w:r w:rsidRPr="007D7392">
        <w:rPr>
          <w:rFonts w:ascii="Segoe UI" w:hAnsi="Segoe UI" w:cs="Segoe UI" w:hint="eastAsia"/>
          <w:color w:val="000000"/>
        </w:rPr>
        <w:t>盘</w:t>
      </w:r>
      <w:r w:rsidRPr="007D7392">
        <w:rPr>
          <w:rFonts w:ascii="Segoe UI" w:hAnsi="Segoe UI" w:cs="Segoe UI" w:hint="eastAsia"/>
          <w:color w:val="000000"/>
        </w:rPr>
        <w:t>100GB</w:t>
      </w:r>
      <w:r w:rsidRPr="007D7392">
        <w:rPr>
          <w:rFonts w:ascii="Segoe UI" w:hAnsi="Segoe UI" w:cs="Segoe UI" w:hint="eastAsia"/>
          <w:color w:val="000000"/>
        </w:rPr>
        <w:t>、</w:t>
      </w:r>
      <w:r w:rsidRPr="007D7392">
        <w:rPr>
          <w:rFonts w:ascii="Segoe UI" w:hAnsi="Segoe UI" w:cs="Segoe UI" w:hint="eastAsia"/>
          <w:color w:val="000000"/>
        </w:rPr>
        <w:t>D</w:t>
      </w:r>
      <w:r w:rsidRPr="007D7392">
        <w:rPr>
          <w:rFonts w:ascii="Segoe UI" w:hAnsi="Segoe UI" w:cs="Segoe UI" w:hint="eastAsia"/>
          <w:color w:val="000000"/>
        </w:rPr>
        <w:t>盘</w:t>
      </w:r>
      <w:r w:rsidRPr="007D7392">
        <w:rPr>
          <w:rFonts w:ascii="Segoe UI" w:hAnsi="Segoe UI" w:cs="Segoe UI" w:hint="eastAsia"/>
          <w:color w:val="000000"/>
        </w:rPr>
        <w:t>500GB</w:t>
      </w:r>
      <w:r w:rsidRPr="007D7392">
        <w:rPr>
          <w:rFonts w:ascii="Segoe UI" w:hAnsi="Segoe UI" w:cs="Segoe UI" w:hint="eastAsia"/>
          <w:color w:val="000000"/>
        </w:rPr>
        <w:t>，分区格式为</w:t>
      </w:r>
      <w:r w:rsidRPr="007D7392">
        <w:rPr>
          <w:rFonts w:ascii="Segoe UI" w:hAnsi="Segoe UI" w:cs="Segoe UI" w:hint="eastAsia"/>
          <w:color w:val="000000"/>
        </w:rPr>
        <w:t>NTFS</w:t>
      </w:r>
      <w:r w:rsidRPr="007D7392">
        <w:rPr>
          <w:rFonts w:ascii="Segoe UI" w:hAnsi="Segoe UI" w:cs="Segoe UI" w:hint="eastAsia"/>
          <w:color w:val="000000"/>
        </w:rPr>
        <w:t>且文件系统无错误。</w:t>
      </w:r>
    </w:p>
    <w:p w14:paraId="48E0C358"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若检测报告中存在警告（如非关键驱动缺失），需根据提示进行修复；若出现错误（如系统无法启动），则需重新执行迁移任务并检查源服务器状态。</w:t>
      </w:r>
    </w:p>
    <w:p w14:paraId="71B2F470" w14:textId="12BAE4EE"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lastRenderedPageBreak/>
        <w:t>再者，验证镜像的完整性与一致性。在镜像详情页中，获取镜像的</w:t>
      </w:r>
      <w:r w:rsidRPr="007D7392">
        <w:rPr>
          <w:rFonts w:ascii="Segoe UI" w:hAnsi="Segoe UI" w:cs="Segoe UI" w:hint="eastAsia"/>
          <w:color w:val="000000"/>
        </w:rPr>
        <w:t>MD5</w:t>
      </w:r>
      <w:r w:rsidRPr="007D7392">
        <w:rPr>
          <w:rFonts w:ascii="Segoe UI" w:hAnsi="Segoe UI" w:cs="Segoe UI" w:hint="eastAsia"/>
          <w:color w:val="000000"/>
        </w:rPr>
        <w:t>或</w:t>
      </w:r>
      <w:r w:rsidRPr="007D7392">
        <w:rPr>
          <w:rFonts w:ascii="Segoe UI" w:hAnsi="Segoe UI" w:cs="Segoe UI" w:hint="eastAsia"/>
          <w:color w:val="000000"/>
        </w:rPr>
        <w:t>SHA256</w:t>
      </w:r>
      <w:r w:rsidRPr="007D7392">
        <w:rPr>
          <w:rFonts w:ascii="Segoe UI" w:hAnsi="Segoe UI" w:cs="Segoe UI" w:hint="eastAsia"/>
          <w:color w:val="000000"/>
        </w:rPr>
        <w:t>校验值，并与源服务器迁移前的备份镜像校验值对比，两者需完全一致，确保迁移过程中数据未被篡改或丢失。若源服务器未保存备份镜像校验值，可通过华为云控制台下载镜像文件至本地，使用哈希计算工具（如</w:t>
      </w:r>
      <w:r w:rsidRPr="007D7392">
        <w:rPr>
          <w:rFonts w:ascii="Segoe UI" w:hAnsi="Segoe UI" w:cs="Segoe UI" w:hint="eastAsia"/>
          <w:color w:val="000000"/>
        </w:rPr>
        <w:t>WinMD5</w:t>
      </w:r>
      <w:r w:rsidRPr="007D7392">
        <w:rPr>
          <w:rFonts w:ascii="Segoe UI" w:hAnsi="Segoe UI" w:cs="Segoe UI" w:hint="eastAsia"/>
          <w:color w:val="000000"/>
        </w:rPr>
        <w:t>）重新计算校验值进行验证。</w:t>
      </w:r>
    </w:p>
    <w:p w14:paraId="795854FC" w14:textId="2FB3DF50"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此外，对于启用了“自动增量同步”功能的迁移任务，需确认镜像是否包含最新的增量数据。在迁移任务详情中，查看最后一次增量同步的时间与源服务器的业务变更时间是否一致，例如源服务器在迁移完成前</w:t>
      </w:r>
      <w:r w:rsidRPr="007D7392">
        <w:rPr>
          <w:rFonts w:ascii="Segoe UI" w:hAnsi="Segoe UI" w:cs="Segoe UI" w:hint="eastAsia"/>
          <w:color w:val="000000"/>
        </w:rPr>
        <w:t>1</w:t>
      </w:r>
      <w:r w:rsidRPr="007D7392">
        <w:rPr>
          <w:rFonts w:ascii="Segoe UI" w:hAnsi="Segoe UI" w:cs="Segoe UI" w:hint="eastAsia"/>
          <w:color w:val="000000"/>
        </w:rPr>
        <w:t>小时有数据更新，镜像的创建时间应晚于该更新时间，且增量同步次数与预设频率（如每</w:t>
      </w:r>
      <w:r w:rsidRPr="007D7392">
        <w:rPr>
          <w:rFonts w:ascii="Segoe UI" w:hAnsi="Segoe UI" w:cs="Segoe UI" w:hint="eastAsia"/>
          <w:color w:val="000000"/>
        </w:rPr>
        <w:t>15</w:t>
      </w:r>
      <w:r w:rsidRPr="007D7392">
        <w:rPr>
          <w:rFonts w:ascii="Segoe UI" w:hAnsi="Segoe UI" w:cs="Segoe UI" w:hint="eastAsia"/>
          <w:color w:val="000000"/>
        </w:rPr>
        <w:t>分钟一次）相符，避免因增量同步未完成导致镜像数据过时。</w:t>
      </w:r>
    </w:p>
    <w:p w14:paraId="4CC141C1" w14:textId="44072264"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最后，若迁移配置中选择了“生成报告”选项（默认开启），可在迁移任务详情页下载完整的迁移交付报告。报告内容包括：</w:t>
      </w:r>
    </w:p>
    <w:p w14:paraId="2D046CD8" w14:textId="77777777"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迁移概览：源服务器信息、目标镜像配置、迁移耗时、数据传输量；</w:t>
      </w:r>
    </w:p>
    <w:p w14:paraId="1DD06B3E" w14:textId="77777777"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技术指标：增量同步次数、压缩率、传输带宽利用率；</w:t>
      </w:r>
    </w:p>
    <w:p w14:paraId="5FAEFC05" w14:textId="60B9C545"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验证结果：镜像检测结论、业务应用测试记录（如</w:t>
      </w:r>
      <w:proofErr w:type="spellStart"/>
      <w:r w:rsidRPr="007D7392">
        <w:rPr>
          <w:rFonts w:ascii="Segoe UI" w:hAnsi="Segoe UI" w:cs="Segoe UI" w:hint="eastAsia"/>
          <w:color w:val="000000"/>
        </w:rPr>
        <w:t>SQLServer</w:t>
      </w:r>
      <w:proofErr w:type="spellEnd"/>
      <w:r w:rsidRPr="007D7392">
        <w:rPr>
          <w:rFonts w:ascii="Segoe UI" w:hAnsi="Segoe UI" w:cs="Segoe UI" w:hint="eastAsia"/>
          <w:color w:val="000000"/>
        </w:rPr>
        <w:t>连接测试、</w:t>
      </w:r>
      <w:r w:rsidRPr="007D7392">
        <w:rPr>
          <w:rFonts w:ascii="Segoe UI" w:hAnsi="Segoe UI" w:cs="Segoe UI" w:hint="eastAsia"/>
          <w:color w:val="000000"/>
        </w:rPr>
        <w:t>IIS</w:t>
      </w:r>
      <w:r w:rsidRPr="007D7392">
        <w:rPr>
          <w:rFonts w:ascii="Segoe UI" w:hAnsi="Segoe UI" w:cs="Segoe UI" w:hint="eastAsia"/>
          <w:color w:val="000000"/>
        </w:rPr>
        <w:t>网站访问测试）；</w:t>
      </w:r>
    </w:p>
    <w:p w14:paraId="57072521" w14:textId="51D1C281"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注意事项：镜像使用建议（如首次启动需执行</w:t>
      </w:r>
      <w:proofErr w:type="spellStart"/>
      <w:r w:rsidRPr="007D7392">
        <w:rPr>
          <w:rFonts w:ascii="Segoe UI" w:hAnsi="Segoe UI" w:cs="Segoe UI" w:hint="eastAsia"/>
          <w:color w:val="000000"/>
        </w:rPr>
        <w:t>Sysprep</w:t>
      </w:r>
      <w:proofErr w:type="spellEnd"/>
      <w:r w:rsidRPr="007D7392">
        <w:rPr>
          <w:rFonts w:ascii="Segoe UI" w:hAnsi="Segoe UI" w:cs="Segoe UI" w:hint="eastAsia"/>
          <w:color w:val="000000"/>
        </w:rPr>
        <w:t>）、后续优化方向（如驱动更新、磁盘整理）。</w:t>
      </w:r>
    </w:p>
    <w:p w14:paraId="49DAC122" w14:textId="4828509C" w:rsidR="00007C57" w:rsidRPr="00007C57"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通过以上步骤对迁移交付物进行全面验证，确保生成的华为云自定义镜像可用于创建新的云主机实例或进一步分发。若发现镜像存在问题（如检测失败、数据不完整），需参考报告中的错误定位信息，排查迁移配置（如网络模式、压缩率设置）或源服务器环境（如磁盘错误、系统异常），并重新执行迁移任务，直至交付物满足业务需求。</w:t>
      </w:r>
    </w:p>
    <w:p w14:paraId="68301D80" w14:textId="64709C44" w:rsidR="00007C57" w:rsidRPr="00007C57" w:rsidRDefault="00007C57" w:rsidP="00C6550E">
      <w:pPr>
        <w:pStyle w:val="6"/>
        <w:rPr>
          <w:rFonts w:hint="eastAsia"/>
        </w:rPr>
      </w:pPr>
      <w:r w:rsidRPr="00007C57">
        <w:t>业务验证与配置调整</w:t>
      </w:r>
    </w:p>
    <w:p w14:paraId="6CCDE1D4" w14:textId="0C1B59EE"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在确认迁移生成的华为云自定义镜像或云主机实例状态正常后，需进一步对业务功能进行全面验证，并根据华为云环境特性调整相关配置，确保迁移后的</w:t>
      </w:r>
      <w:r w:rsidRPr="007D7392">
        <w:rPr>
          <w:rFonts w:ascii="Segoe UI" w:hAnsi="Segoe UI" w:cs="Segoe UI" w:hint="eastAsia"/>
          <w:color w:val="000000"/>
        </w:rPr>
        <w:t>WindowsServer2016/2019</w:t>
      </w:r>
      <w:r w:rsidRPr="007D7392">
        <w:rPr>
          <w:rFonts w:ascii="Segoe UI" w:hAnsi="Segoe UI" w:cs="Segoe UI" w:hint="eastAsia"/>
          <w:color w:val="000000"/>
        </w:rPr>
        <w:t>云主机能稳定承载业务运行。该环节涵盖数据校验、应用启动、</w:t>
      </w:r>
      <w:r w:rsidRPr="007D7392">
        <w:rPr>
          <w:rFonts w:ascii="Segoe UI" w:hAnsi="Segoe UI" w:cs="Segoe UI" w:hint="eastAsia"/>
          <w:color w:val="000000"/>
        </w:rPr>
        <w:t>IP</w:t>
      </w:r>
      <w:r w:rsidRPr="007D7392">
        <w:rPr>
          <w:rFonts w:ascii="Segoe UI" w:hAnsi="Segoe UI" w:cs="Segoe UI" w:hint="eastAsia"/>
          <w:color w:val="000000"/>
        </w:rPr>
        <w:t>地址配置等核心内容，具体操作流程如下：</w:t>
      </w:r>
    </w:p>
    <w:p w14:paraId="315D77E1" w14:textId="413059F4" w:rsidR="007D7392" w:rsidRPr="007D7392" w:rsidRDefault="007D7392" w:rsidP="007D7392">
      <w:pPr>
        <w:pStyle w:val="7"/>
        <w:rPr>
          <w:rFonts w:hint="eastAsia"/>
        </w:rPr>
      </w:pPr>
      <w:r w:rsidRPr="007D7392">
        <w:rPr>
          <w:rFonts w:hint="eastAsia"/>
        </w:rPr>
        <w:t>数据校验</w:t>
      </w:r>
    </w:p>
    <w:p w14:paraId="69CCC1EF" w14:textId="461CCC10"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通过多维度数据校验机制，验证迁移后的数据与源端的一致性。对于数据库数据（如</w:t>
      </w:r>
      <w:proofErr w:type="spellStart"/>
      <w:r w:rsidRPr="007D7392">
        <w:rPr>
          <w:rFonts w:ascii="Segoe UI" w:hAnsi="Segoe UI" w:cs="Segoe UI" w:hint="eastAsia"/>
          <w:color w:val="000000"/>
        </w:rPr>
        <w:t>SQLServer</w:t>
      </w:r>
      <w:proofErr w:type="spellEnd"/>
      <w:r w:rsidRPr="007D7392">
        <w:rPr>
          <w:rFonts w:ascii="Segoe UI" w:hAnsi="Segoe UI" w:cs="Segoe UI" w:hint="eastAsia"/>
          <w:color w:val="000000"/>
        </w:rPr>
        <w:t>），可通过以下方式验证：</w:t>
      </w:r>
    </w:p>
    <w:p w14:paraId="6F38EDCD" w14:textId="553818B6"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连接迁移后的</w:t>
      </w:r>
      <w:proofErr w:type="spellStart"/>
      <w:r w:rsidRPr="007D7392">
        <w:rPr>
          <w:rFonts w:ascii="Segoe UI" w:hAnsi="Segoe UI" w:cs="Segoe UI" w:hint="eastAsia"/>
          <w:color w:val="000000"/>
        </w:rPr>
        <w:t>SQLServer</w:t>
      </w:r>
      <w:proofErr w:type="spellEnd"/>
      <w:r w:rsidRPr="007D7392">
        <w:rPr>
          <w:rFonts w:ascii="Segoe UI" w:hAnsi="Segoe UI" w:cs="Segoe UI" w:hint="eastAsia"/>
          <w:color w:val="000000"/>
        </w:rPr>
        <w:t>实例，对比源端与目标端的数据库列表、表结构及数据量，执行</w:t>
      </w:r>
      <w:r w:rsidRPr="007D7392">
        <w:rPr>
          <w:rFonts w:ascii="Segoe UI" w:hAnsi="Segoe UI" w:cs="Segoe UI" w:hint="eastAsia"/>
          <w:color w:val="000000"/>
        </w:rPr>
        <w:t>SELECTCOUNT(*)</w:t>
      </w:r>
      <w:r w:rsidRPr="007D7392">
        <w:rPr>
          <w:rFonts w:ascii="Segoe UI" w:hAnsi="Segoe UI" w:cs="Segoe UI" w:hint="eastAsia"/>
          <w:color w:val="000000"/>
        </w:rPr>
        <w:t>语句验证关键表的数据行数是否一致；</w:t>
      </w:r>
    </w:p>
    <w:p w14:paraId="7607B49A" w14:textId="5D5EB5CD"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对重要业务数据（如订单记录、用户信息）进行抽样对比，可通过导出</w:t>
      </w:r>
      <w:r w:rsidRPr="007D7392">
        <w:rPr>
          <w:rFonts w:ascii="Segoe UI" w:hAnsi="Segoe UI" w:cs="Segoe UI" w:hint="eastAsia"/>
          <w:color w:val="000000"/>
        </w:rPr>
        <w:t>CSV</w:t>
      </w:r>
      <w:r w:rsidRPr="007D7392">
        <w:rPr>
          <w:rFonts w:ascii="Segoe UI" w:hAnsi="Segoe UI" w:cs="Segoe UI" w:hint="eastAsia"/>
          <w:color w:val="000000"/>
        </w:rPr>
        <w:t>文件或使用数据库对比工具（如</w:t>
      </w:r>
      <w:proofErr w:type="spellStart"/>
      <w:r w:rsidRPr="007D7392">
        <w:rPr>
          <w:rFonts w:ascii="Segoe UI" w:hAnsi="Segoe UI" w:cs="Segoe UI" w:hint="eastAsia"/>
          <w:color w:val="000000"/>
        </w:rPr>
        <w:t>RedgateSQLCompare</w:t>
      </w:r>
      <w:proofErr w:type="spellEnd"/>
      <w:r w:rsidRPr="007D7392">
        <w:rPr>
          <w:rFonts w:ascii="Segoe UI" w:hAnsi="Segoe UI" w:cs="Segoe UI" w:hint="eastAsia"/>
          <w:color w:val="000000"/>
        </w:rPr>
        <w:t>）自动比对，确保无数据丢失或篡改；</w:t>
      </w:r>
    </w:p>
    <w:p w14:paraId="20A85DC6" w14:textId="77777777"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若源端启用了数据库事务日志备份，可在目标端执行日志还原操作，验证事务完整</w:t>
      </w:r>
      <w:r w:rsidRPr="007D7392">
        <w:rPr>
          <w:rFonts w:ascii="Segoe UI" w:hAnsi="Segoe UI" w:cs="Segoe UI" w:hint="eastAsia"/>
          <w:color w:val="000000"/>
        </w:rPr>
        <w:lastRenderedPageBreak/>
        <w:t>性，确保迁移后的数据库可恢复至任意时间点。</w:t>
      </w:r>
    </w:p>
    <w:p w14:paraId="76224912"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对于文件数据（如业务文档、日志文件），需检查迁移后的数据盘目录结构是否与源端一致，重点验证高频访问或关键业务文件的完整性：</w:t>
      </w:r>
    </w:p>
    <w:p w14:paraId="1C5A3712" w14:textId="3C336095"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在</w:t>
      </w:r>
      <w:r w:rsidRPr="007D7392">
        <w:rPr>
          <w:rFonts w:ascii="Segoe UI" w:hAnsi="Segoe UI" w:cs="Segoe UI" w:hint="eastAsia"/>
          <w:color w:val="000000"/>
        </w:rPr>
        <w:t>Windows</w:t>
      </w:r>
      <w:r w:rsidRPr="007D7392">
        <w:rPr>
          <w:rFonts w:ascii="Segoe UI" w:hAnsi="Segoe UI" w:cs="Segoe UI" w:hint="eastAsia"/>
          <w:color w:val="000000"/>
        </w:rPr>
        <w:t>资源管理器中逐层比对源服务器与迁移后云主机的数据目录，确认文件夹结构、文件数量一致；</w:t>
      </w:r>
    </w:p>
    <w:p w14:paraId="4BFF6702" w14:textId="00EF1F81"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随机选取</w:t>
      </w:r>
      <w:r w:rsidRPr="007D7392">
        <w:rPr>
          <w:rFonts w:ascii="Segoe UI" w:hAnsi="Segoe UI" w:cs="Segoe UI" w:hint="eastAsia"/>
          <w:color w:val="000000"/>
        </w:rPr>
        <w:t>10%-20%</w:t>
      </w:r>
      <w:r w:rsidRPr="007D7392">
        <w:rPr>
          <w:rFonts w:ascii="Segoe UI" w:hAnsi="Segoe UI" w:cs="Segoe UI" w:hint="eastAsia"/>
          <w:color w:val="000000"/>
        </w:rPr>
        <w:t>的关键文件（如最近更新的业务报告、系统日志），通过右键点击文件属性，查看创建时间、修改时间及文件大小是否与源端一致；</w:t>
      </w:r>
    </w:p>
    <w:p w14:paraId="201F9DC8" w14:textId="1D02409E"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w:t>
      </w:r>
      <w:r w:rsidRPr="007D7392">
        <w:rPr>
          <w:rFonts w:ascii="Segoe UI" w:hAnsi="Segoe UI" w:cs="Segoe UI" w:hint="eastAsia"/>
          <w:color w:val="000000"/>
        </w:rPr>
        <w:t>PDF</w:t>
      </w:r>
      <w:r w:rsidRPr="007D7392">
        <w:rPr>
          <w:rFonts w:ascii="Segoe UI" w:hAnsi="Segoe UI" w:cs="Segoe UI" w:hint="eastAsia"/>
          <w:color w:val="000000"/>
        </w:rPr>
        <w:t>、</w:t>
      </w:r>
      <w:r w:rsidRPr="007D7392">
        <w:rPr>
          <w:rFonts w:ascii="Segoe UI" w:hAnsi="Segoe UI" w:cs="Segoe UI" w:hint="eastAsia"/>
          <w:color w:val="000000"/>
        </w:rPr>
        <w:t>Excel</w:t>
      </w:r>
      <w:r w:rsidRPr="007D7392">
        <w:rPr>
          <w:rFonts w:ascii="Segoe UI" w:hAnsi="Segoe UI" w:cs="Segoe UI" w:hint="eastAsia"/>
          <w:color w:val="000000"/>
        </w:rPr>
        <w:t>等格式的业务文件，打开并验证内容完整性，确保文件可正常读取且无损坏。</w:t>
      </w:r>
    </w:p>
    <w:p w14:paraId="77F4C444" w14:textId="78B6BDFD" w:rsidR="007D7392" w:rsidRPr="007D7392" w:rsidRDefault="007D7392" w:rsidP="007D7392">
      <w:pPr>
        <w:pStyle w:val="7"/>
        <w:rPr>
          <w:rFonts w:hint="eastAsia"/>
        </w:rPr>
      </w:pPr>
      <w:r w:rsidRPr="007D7392">
        <w:rPr>
          <w:rFonts w:hint="eastAsia"/>
        </w:rPr>
        <w:t>应用和服务启动</w:t>
      </w:r>
    </w:p>
    <w:p w14:paraId="041A50E7"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若迁移前源服务器中的应用或服务未设置自启动，迁移至华为云后需手动启动并配置启动策略：</w:t>
      </w:r>
    </w:p>
    <w:p w14:paraId="009E6C7D" w14:textId="6149D4B6"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登录迁移后的</w:t>
      </w:r>
      <w:proofErr w:type="spellStart"/>
      <w:r w:rsidRPr="007D7392">
        <w:rPr>
          <w:rFonts w:ascii="Segoe UI" w:hAnsi="Segoe UI" w:cs="Segoe UI" w:hint="eastAsia"/>
          <w:color w:val="000000"/>
        </w:rPr>
        <w:t>WindowsServer</w:t>
      </w:r>
      <w:proofErr w:type="spellEnd"/>
      <w:r w:rsidRPr="007D7392">
        <w:rPr>
          <w:rFonts w:ascii="Segoe UI" w:hAnsi="Segoe UI" w:cs="Segoe UI" w:hint="eastAsia"/>
          <w:color w:val="000000"/>
        </w:rPr>
        <w:t>云主机，通过“服务”管理器（</w:t>
      </w:r>
      <w:proofErr w:type="spellStart"/>
      <w:r w:rsidRPr="007D7392">
        <w:rPr>
          <w:rFonts w:ascii="Segoe UI" w:hAnsi="Segoe UI" w:cs="Segoe UI" w:hint="eastAsia"/>
          <w:color w:val="000000"/>
        </w:rPr>
        <w:t>services.msc</w:t>
      </w:r>
      <w:proofErr w:type="spellEnd"/>
      <w:r w:rsidRPr="007D7392">
        <w:rPr>
          <w:rFonts w:ascii="Segoe UI" w:hAnsi="Segoe UI" w:cs="Segoe UI" w:hint="eastAsia"/>
          <w:color w:val="000000"/>
        </w:rPr>
        <w:t>）查看所有服务状态，对业务相关服务（如</w:t>
      </w:r>
      <w:r w:rsidRPr="007D7392">
        <w:rPr>
          <w:rFonts w:ascii="Segoe UI" w:hAnsi="Segoe UI" w:cs="Segoe UI" w:hint="eastAsia"/>
          <w:color w:val="000000"/>
        </w:rPr>
        <w:t>IIS</w:t>
      </w:r>
      <w:r w:rsidRPr="007D7392">
        <w:rPr>
          <w:rFonts w:ascii="Segoe UI" w:hAnsi="Segoe UI" w:cs="Segoe UI" w:hint="eastAsia"/>
          <w:color w:val="000000"/>
        </w:rPr>
        <w:t>服务、</w:t>
      </w:r>
      <w:proofErr w:type="spellStart"/>
      <w:r w:rsidRPr="007D7392">
        <w:rPr>
          <w:rFonts w:ascii="Segoe UI" w:hAnsi="Segoe UI" w:cs="Segoe UI" w:hint="eastAsia"/>
          <w:color w:val="000000"/>
        </w:rPr>
        <w:t>SQLServer</w:t>
      </w:r>
      <w:proofErr w:type="spellEnd"/>
      <w:r w:rsidRPr="007D7392">
        <w:rPr>
          <w:rFonts w:ascii="Segoe UI" w:hAnsi="Segoe UI" w:cs="Segoe UI" w:hint="eastAsia"/>
          <w:color w:val="000000"/>
        </w:rPr>
        <w:t>服务、企业应用服务）检查是否设置为“自动”启动类型，若为“手动”或“禁用”，右键选择“属性”修改启动类型并点击“启动”按钮；</w:t>
      </w:r>
    </w:p>
    <w:p w14:paraId="58B49E39" w14:textId="6561F274"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对于需要随系统启动的第三方应用（如中间件、业务客户端），检查其是否在“启动”文件夹中或通过注册表设置启动项，若缺失则手动添加快捷方式至启动目录（路径：</w:t>
      </w:r>
      <w:r w:rsidRPr="007D7392">
        <w:rPr>
          <w:rFonts w:ascii="Segoe UI" w:hAnsi="Segoe UI" w:cs="Segoe UI" w:hint="eastAsia"/>
          <w:color w:val="000000"/>
        </w:rPr>
        <w:t>C:\ProgramData\Microsoft\Windows\StartMenu\Programs\StartUp</w:t>
      </w:r>
      <w:r w:rsidRPr="007D7392">
        <w:rPr>
          <w:rFonts w:ascii="Segoe UI" w:hAnsi="Segoe UI" w:cs="Segoe UI" w:hint="eastAsia"/>
          <w:color w:val="000000"/>
        </w:rPr>
        <w:t>）；</w:t>
      </w:r>
    </w:p>
    <w:p w14:paraId="2426CDFF" w14:textId="07671F4D"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启动应用后，执行基础功能测试：例如</w:t>
      </w:r>
      <w:r w:rsidRPr="007D7392">
        <w:rPr>
          <w:rFonts w:ascii="Segoe UI" w:hAnsi="Segoe UI" w:cs="Segoe UI" w:hint="eastAsia"/>
          <w:color w:val="000000"/>
        </w:rPr>
        <w:t>IIS</w:t>
      </w:r>
      <w:r w:rsidRPr="007D7392">
        <w:rPr>
          <w:rFonts w:ascii="Segoe UI" w:hAnsi="Segoe UI" w:cs="Segoe UI" w:hint="eastAsia"/>
          <w:color w:val="000000"/>
        </w:rPr>
        <w:t>网站需访问首页及核心业务页面，确保页面加载正常、交互功能无误；</w:t>
      </w:r>
      <w:r w:rsidRPr="007D7392">
        <w:rPr>
          <w:rFonts w:ascii="Segoe UI" w:hAnsi="Segoe UI" w:cs="Segoe UI" w:hint="eastAsia"/>
          <w:color w:val="000000"/>
        </w:rPr>
        <w:t>ERP</w:t>
      </w:r>
      <w:r w:rsidRPr="007D7392">
        <w:rPr>
          <w:rFonts w:ascii="Segoe UI" w:hAnsi="Segoe UI" w:cs="Segoe UI" w:hint="eastAsia"/>
          <w:color w:val="000000"/>
        </w:rPr>
        <w:t>系统需验证用户登录、数据查询等操作，确保应用在华为云环境中运行流畅。</w:t>
      </w:r>
    </w:p>
    <w:p w14:paraId="7FB9740B" w14:textId="1A28712A" w:rsidR="007D7392" w:rsidRPr="007D7392" w:rsidRDefault="007D7392" w:rsidP="007D7392">
      <w:pPr>
        <w:pStyle w:val="7"/>
        <w:rPr>
          <w:rFonts w:hint="eastAsia"/>
        </w:rPr>
      </w:pPr>
      <w:r w:rsidRPr="007D7392">
        <w:rPr>
          <w:rFonts w:hint="eastAsia"/>
        </w:rPr>
        <w:t>IP地址相关配置修改</w:t>
      </w:r>
    </w:p>
    <w:p w14:paraId="08A5C3FC" w14:textId="7B26EC78" w:rsidR="007D7392" w:rsidRPr="007D7392" w:rsidRDefault="007D7392">
      <w:pPr>
        <w:pStyle w:val="a3"/>
        <w:numPr>
          <w:ilvl w:val="1"/>
          <w:numId w:val="36"/>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业务域名与公网</w:t>
      </w:r>
      <w:r w:rsidRPr="007D7392">
        <w:rPr>
          <w:rFonts w:ascii="Segoe UI" w:hAnsi="Segoe UI" w:cs="Segoe UI" w:hint="eastAsia"/>
          <w:color w:val="000000"/>
        </w:rPr>
        <w:t>IP</w:t>
      </w:r>
      <w:r w:rsidRPr="007D7392">
        <w:rPr>
          <w:rFonts w:ascii="Segoe UI" w:hAnsi="Segoe UI" w:cs="Segoe UI" w:hint="eastAsia"/>
          <w:color w:val="000000"/>
        </w:rPr>
        <w:t>配置</w:t>
      </w:r>
    </w:p>
    <w:p w14:paraId="5A5C42EF" w14:textId="38D875FE"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若业务涉及</w:t>
      </w:r>
      <w:r w:rsidRPr="007D7392">
        <w:rPr>
          <w:rFonts w:ascii="Segoe UI" w:hAnsi="Segoe UI" w:cs="Segoe UI" w:hint="eastAsia"/>
          <w:color w:val="000000"/>
        </w:rPr>
        <w:t>IP</w:t>
      </w:r>
      <w:r w:rsidRPr="007D7392">
        <w:rPr>
          <w:rFonts w:ascii="Segoe UI" w:hAnsi="Segoe UI" w:cs="Segoe UI" w:hint="eastAsia"/>
          <w:color w:val="000000"/>
        </w:rPr>
        <w:t>地址直接访问（如通过</w:t>
      </w:r>
      <w:r w:rsidRPr="007D7392">
        <w:rPr>
          <w:rFonts w:ascii="Segoe UI" w:hAnsi="Segoe UI" w:cs="Segoe UI" w:hint="eastAsia"/>
          <w:color w:val="000000"/>
        </w:rPr>
        <w:t>IP</w:t>
      </w:r>
      <w:r w:rsidRPr="007D7392">
        <w:rPr>
          <w:rFonts w:ascii="Segoe UI" w:hAnsi="Segoe UI" w:cs="Segoe UI" w:hint="eastAsia"/>
          <w:color w:val="000000"/>
        </w:rPr>
        <w:t>访问数据库），或使用域名解析服务，需根据华为云分配的公网</w:t>
      </w:r>
      <w:r w:rsidRPr="007D7392">
        <w:rPr>
          <w:rFonts w:ascii="Segoe UI" w:hAnsi="Segoe UI" w:cs="Segoe UI" w:hint="eastAsia"/>
          <w:color w:val="000000"/>
        </w:rPr>
        <w:t>IP</w:t>
      </w:r>
      <w:r w:rsidRPr="007D7392">
        <w:rPr>
          <w:rFonts w:ascii="Segoe UI" w:hAnsi="Segoe UI" w:cs="Segoe UI" w:hint="eastAsia"/>
          <w:color w:val="000000"/>
        </w:rPr>
        <w:t>地址修改相关配置：</w:t>
      </w:r>
    </w:p>
    <w:p w14:paraId="2080A0FE" w14:textId="26E9F12A" w:rsidR="007D7392" w:rsidRPr="007D7392" w:rsidRDefault="007D7392">
      <w:pPr>
        <w:pStyle w:val="a3"/>
        <w:numPr>
          <w:ilvl w:val="0"/>
          <w:numId w:val="37"/>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登录域名服务提供商的管理平台（如华为云</w:t>
      </w:r>
      <w:r w:rsidRPr="007D7392">
        <w:rPr>
          <w:rFonts w:ascii="Segoe UI" w:hAnsi="Segoe UI" w:cs="Segoe UI" w:hint="eastAsia"/>
          <w:color w:val="000000"/>
        </w:rPr>
        <w:t>DNS</w:t>
      </w:r>
      <w:r w:rsidRPr="007D7392">
        <w:rPr>
          <w:rFonts w:ascii="Segoe UI" w:hAnsi="Segoe UI" w:cs="Segoe UI" w:hint="eastAsia"/>
          <w:color w:val="000000"/>
        </w:rPr>
        <w:t>、阿里云万网），找到源服务器绑定的域名，将域名解析记录中的</w:t>
      </w:r>
      <w:r w:rsidRPr="007D7392">
        <w:rPr>
          <w:rFonts w:ascii="Segoe UI" w:hAnsi="Segoe UI" w:cs="Segoe UI" w:hint="eastAsia"/>
          <w:color w:val="000000"/>
        </w:rPr>
        <w:t>IP</w:t>
      </w:r>
      <w:r w:rsidRPr="007D7392">
        <w:rPr>
          <w:rFonts w:ascii="Segoe UI" w:hAnsi="Segoe UI" w:cs="Segoe UI" w:hint="eastAsia"/>
          <w:color w:val="000000"/>
        </w:rPr>
        <w:t>地址修改为迁移后云主机的公网</w:t>
      </w:r>
      <w:r w:rsidRPr="007D7392">
        <w:rPr>
          <w:rFonts w:ascii="Segoe UI" w:hAnsi="Segoe UI" w:cs="Segoe UI" w:hint="eastAsia"/>
          <w:color w:val="000000"/>
        </w:rPr>
        <w:t>IP</w:t>
      </w:r>
      <w:r w:rsidRPr="007D7392">
        <w:rPr>
          <w:rFonts w:ascii="Segoe UI" w:hAnsi="Segoe UI" w:cs="Segoe UI" w:hint="eastAsia"/>
          <w:color w:val="000000"/>
        </w:rPr>
        <w:t>，记录类型选择“</w:t>
      </w:r>
      <w:r w:rsidRPr="007D7392">
        <w:rPr>
          <w:rFonts w:ascii="Segoe UI" w:hAnsi="Segoe UI" w:cs="Segoe UI" w:hint="eastAsia"/>
          <w:color w:val="000000"/>
        </w:rPr>
        <w:t>A</w:t>
      </w:r>
      <w:r w:rsidRPr="007D7392">
        <w:rPr>
          <w:rFonts w:ascii="Segoe UI" w:hAnsi="Segoe UI" w:cs="Segoe UI" w:hint="eastAsia"/>
          <w:color w:val="000000"/>
        </w:rPr>
        <w:t>记录”，</w:t>
      </w:r>
      <w:r w:rsidRPr="007D7392">
        <w:rPr>
          <w:rFonts w:ascii="Segoe UI" w:hAnsi="Segoe UI" w:cs="Segoe UI" w:hint="eastAsia"/>
          <w:color w:val="000000"/>
        </w:rPr>
        <w:t>TTL</w:t>
      </w:r>
      <w:r w:rsidRPr="007D7392">
        <w:rPr>
          <w:rFonts w:ascii="Segoe UI" w:hAnsi="Segoe UI" w:cs="Segoe UI" w:hint="eastAsia"/>
          <w:color w:val="000000"/>
        </w:rPr>
        <w:t>值建议设置为</w:t>
      </w:r>
      <w:r w:rsidRPr="007D7392">
        <w:rPr>
          <w:rFonts w:ascii="Segoe UI" w:hAnsi="Segoe UI" w:cs="Segoe UI" w:hint="eastAsia"/>
          <w:color w:val="000000"/>
        </w:rPr>
        <w:t>10</w:t>
      </w:r>
      <w:r w:rsidRPr="007D7392">
        <w:rPr>
          <w:rFonts w:ascii="Segoe UI" w:hAnsi="Segoe UI" w:cs="Segoe UI" w:hint="eastAsia"/>
          <w:color w:val="000000"/>
        </w:rPr>
        <w:t>分钟以便快速生效；</w:t>
      </w:r>
    </w:p>
    <w:p w14:paraId="01AD05C5" w14:textId="72B0EE10" w:rsidR="007D7392" w:rsidRPr="007D7392" w:rsidRDefault="007D7392">
      <w:pPr>
        <w:pStyle w:val="a3"/>
        <w:numPr>
          <w:ilvl w:val="0"/>
          <w:numId w:val="37"/>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若业务系统备案信息中登记的服务器</w:t>
      </w:r>
      <w:r w:rsidRPr="007D7392">
        <w:rPr>
          <w:rFonts w:ascii="Segoe UI" w:hAnsi="Segoe UI" w:cs="Segoe UI" w:hint="eastAsia"/>
          <w:color w:val="000000"/>
        </w:rPr>
        <w:t>IP</w:t>
      </w:r>
      <w:r w:rsidRPr="007D7392">
        <w:rPr>
          <w:rFonts w:ascii="Segoe UI" w:hAnsi="Segoe UI" w:cs="Segoe UI" w:hint="eastAsia"/>
          <w:color w:val="000000"/>
        </w:rPr>
        <w:t>与迁移后不符，需通过华为云备案系统提交</w:t>
      </w:r>
      <w:r w:rsidRPr="007D7392">
        <w:rPr>
          <w:rFonts w:ascii="Segoe UI" w:hAnsi="Segoe UI" w:cs="Segoe UI" w:hint="eastAsia"/>
          <w:color w:val="000000"/>
        </w:rPr>
        <w:t>IP</w:t>
      </w:r>
      <w:r w:rsidRPr="007D7392">
        <w:rPr>
          <w:rFonts w:ascii="Segoe UI" w:hAnsi="Segoe UI" w:cs="Segoe UI" w:hint="eastAsia"/>
          <w:color w:val="000000"/>
        </w:rPr>
        <w:t>变更申请，按流程完成</w:t>
      </w:r>
      <w:r w:rsidRPr="007D7392">
        <w:rPr>
          <w:rFonts w:ascii="Segoe UI" w:hAnsi="Segoe UI" w:cs="Segoe UI" w:hint="eastAsia"/>
          <w:color w:val="000000"/>
        </w:rPr>
        <w:t>ICP</w:t>
      </w:r>
      <w:r w:rsidRPr="007D7392">
        <w:rPr>
          <w:rFonts w:ascii="Segoe UI" w:hAnsi="Segoe UI" w:cs="Segoe UI" w:hint="eastAsia"/>
          <w:color w:val="000000"/>
        </w:rPr>
        <w:t>备案信息修改，避免因备案信息不一致导致业务访问异常；</w:t>
      </w:r>
    </w:p>
    <w:p w14:paraId="65C313B5" w14:textId="6FAF14A7" w:rsidR="007D7392" w:rsidRPr="007D7392" w:rsidRDefault="007D7392">
      <w:pPr>
        <w:pStyle w:val="a3"/>
        <w:numPr>
          <w:ilvl w:val="0"/>
          <w:numId w:val="37"/>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对于通过公网</w:t>
      </w:r>
      <w:r w:rsidRPr="007D7392">
        <w:rPr>
          <w:rFonts w:ascii="Segoe UI" w:hAnsi="Segoe UI" w:cs="Segoe UI" w:hint="eastAsia"/>
          <w:color w:val="000000"/>
        </w:rPr>
        <w:t>IP</w:t>
      </w:r>
      <w:r w:rsidRPr="007D7392">
        <w:rPr>
          <w:rFonts w:ascii="Segoe UI" w:hAnsi="Segoe UI" w:cs="Segoe UI" w:hint="eastAsia"/>
          <w:color w:val="000000"/>
        </w:rPr>
        <w:t>直接访问的业务（如远程桌面、</w:t>
      </w:r>
      <w:r w:rsidRPr="007D7392">
        <w:rPr>
          <w:rFonts w:ascii="Segoe UI" w:hAnsi="Segoe UI" w:cs="Segoe UI" w:hint="eastAsia"/>
          <w:color w:val="000000"/>
        </w:rPr>
        <w:t>FTP</w:t>
      </w:r>
      <w:r w:rsidRPr="007D7392">
        <w:rPr>
          <w:rFonts w:ascii="Segoe UI" w:hAnsi="Segoe UI" w:cs="Segoe UI" w:hint="eastAsia"/>
          <w:color w:val="000000"/>
        </w:rPr>
        <w:t>服务），需确保华为云安全组规则已放行相关端口（如</w:t>
      </w:r>
      <w:r w:rsidRPr="007D7392">
        <w:rPr>
          <w:rFonts w:ascii="Segoe UI" w:hAnsi="Segoe UI" w:cs="Segoe UI" w:hint="eastAsia"/>
          <w:color w:val="000000"/>
        </w:rPr>
        <w:t>3389</w:t>
      </w:r>
      <w:r w:rsidRPr="007D7392">
        <w:rPr>
          <w:rFonts w:ascii="Segoe UI" w:hAnsi="Segoe UI" w:cs="Segoe UI" w:hint="eastAsia"/>
          <w:color w:val="000000"/>
        </w:rPr>
        <w:t>、</w:t>
      </w:r>
      <w:r w:rsidRPr="007D7392">
        <w:rPr>
          <w:rFonts w:ascii="Segoe UI" w:hAnsi="Segoe UI" w:cs="Segoe UI" w:hint="eastAsia"/>
          <w:color w:val="000000"/>
        </w:rPr>
        <w:t>21</w:t>
      </w:r>
      <w:r w:rsidRPr="007D7392">
        <w:rPr>
          <w:rFonts w:ascii="Segoe UI" w:hAnsi="Segoe UI" w:cs="Segoe UI" w:hint="eastAsia"/>
          <w:color w:val="000000"/>
        </w:rPr>
        <w:t>），可通过</w:t>
      </w:r>
      <w:r w:rsidRPr="007D7392">
        <w:rPr>
          <w:rFonts w:ascii="Segoe UI" w:hAnsi="Segoe UI" w:cs="Segoe UI" w:hint="eastAsia"/>
          <w:color w:val="000000"/>
        </w:rPr>
        <w:t>ping</w:t>
      </w:r>
      <w:r w:rsidRPr="007D7392">
        <w:rPr>
          <w:rFonts w:ascii="Segoe UI" w:hAnsi="Segoe UI" w:cs="Segoe UI" w:hint="eastAsia"/>
          <w:color w:val="000000"/>
        </w:rPr>
        <w:t>命令或远程连接工具</w:t>
      </w:r>
      <w:r w:rsidRPr="007D7392">
        <w:rPr>
          <w:rFonts w:ascii="Segoe UI" w:hAnsi="Segoe UI" w:cs="Segoe UI" w:hint="eastAsia"/>
          <w:color w:val="000000"/>
        </w:rPr>
        <w:lastRenderedPageBreak/>
        <w:t>测试公网</w:t>
      </w:r>
      <w:r w:rsidRPr="007D7392">
        <w:rPr>
          <w:rFonts w:ascii="Segoe UI" w:hAnsi="Segoe UI" w:cs="Segoe UI" w:hint="eastAsia"/>
          <w:color w:val="000000"/>
        </w:rPr>
        <w:t>IP</w:t>
      </w:r>
      <w:r w:rsidRPr="007D7392">
        <w:rPr>
          <w:rFonts w:ascii="Segoe UI" w:hAnsi="Segoe UI" w:cs="Segoe UI" w:hint="eastAsia"/>
          <w:color w:val="000000"/>
        </w:rPr>
        <w:t>的连通性。</w:t>
      </w:r>
    </w:p>
    <w:p w14:paraId="07D7E8FE" w14:textId="76B65174" w:rsidR="007D7392" w:rsidRPr="007D7392" w:rsidRDefault="007D7392">
      <w:pPr>
        <w:pStyle w:val="a3"/>
        <w:numPr>
          <w:ilvl w:val="1"/>
          <w:numId w:val="36"/>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私网</w:t>
      </w:r>
      <w:r w:rsidRPr="007D7392">
        <w:rPr>
          <w:rFonts w:ascii="Segoe UI" w:hAnsi="Segoe UI" w:cs="Segoe UI" w:hint="eastAsia"/>
          <w:color w:val="000000"/>
        </w:rPr>
        <w:t>IP</w:t>
      </w:r>
      <w:r w:rsidRPr="007D7392">
        <w:rPr>
          <w:rFonts w:ascii="Segoe UI" w:hAnsi="Segoe UI" w:cs="Segoe UI" w:hint="eastAsia"/>
          <w:color w:val="000000"/>
        </w:rPr>
        <w:t>地址保持与修改策略</w:t>
      </w:r>
    </w:p>
    <w:p w14:paraId="0112016A" w14:textId="317D8483"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根据迁移目标类型的不同，私网</w:t>
      </w:r>
      <w:r w:rsidRPr="007D7392">
        <w:rPr>
          <w:rFonts w:ascii="Segoe UI" w:hAnsi="Segoe UI" w:cs="Segoe UI" w:hint="eastAsia"/>
          <w:color w:val="000000"/>
        </w:rPr>
        <w:t>IP</w:t>
      </w:r>
      <w:r w:rsidRPr="007D7392">
        <w:rPr>
          <w:rFonts w:ascii="Segoe UI" w:hAnsi="Segoe UI" w:cs="Segoe UI" w:hint="eastAsia"/>
          <w:color w:val="000000"/>
        </w:rPr>
        <w:t>地址的配置方式如下：</w:t>
      </w:r>
    </w:p>
    <w:p w14:paraId="2ACCE845" w14:textId="614154A8" w:rsidR="007D7392" w:rsidRPr="007D7392" w:rsidRDefault="007D7392">
      <w:pPr>
        <w:pStyle w:val="a3"/>
        <w:numPr>
          <w:ilvl w:val="0"/>
          <w:numId w:val="3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目标类型为自定义镜像：通过该镜像创建云主机实例时，可在华为云控制台的网络配置中选择“保持私网</w:t>
      </w:r>
      <w:r w:rsidRPr="007D7392">
        <w:rPr>
          <w:rFonts w:ascii="Segoe UI" w:hAnsi="Segoe UI" w:cs="Segoe UI" w:hint="eastAsia"/>
          <w:color w:val="000000"/>
        </w:rPr>
        <w:t>IP</w:t>
      </w:r>
      <w:r w:rsidRPr="007D7392">
        <w:rPr>
          <w:rFonts w:ascii="Segoe UI" w:hAnsi="Segoe UI" w:cs="Segoe UI" w:hint="eastAsia"/>
          <w:color w:val="000000"/>
        </w:rPr>
        <w:t>不变”或“手动指定”：</w:t>
      </w:r>
    </w:p>
    <w:p w14:paraId="11F771B7" w14:textId="22DCF828" w:rsidR="007D7392" w:rsidRPr="007D7392" w:rsidRDefault="007D7392">
      <w:pPr>
        <w:pStyle w:val="a3"/>
        <w:numPr>
          <w:ilvl w:val="0"/>
          <w:numId w:val="3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若选择“保持不变”，需确保华为云专有网络（</w:t>
      </w:r>
      <w:r w:rsidRPr="007D7392">
        <w:rPr>
          <w:rFonts w:ascii="Segoe UI" w:hAnsi="Segoe UI" w:cs="Segoe UI" w:hint="eastAsia"/>
          <w:color w:val="000000"/>
        </w:rPr>
        <w:t>VPC</w:t>
      </w:r>
      <w:r w:rsidRPr="007D7392">
        <w:rPr>
          <w:rFonts w:ascii="Segoe UI" w:hAnsi="Segoe UI" w:cs="Segoe UI" w:hint="eastAsia"/>
          <w:color w:val="000000"/>
        </w:rPr>
        <w:t>）的</w:t>
      </w:r>
      <w:r w:rsidRPr="007D7392">
        <w:rPr>
          <w:rFonts w:ascii="Segoe UI" w:hAnsi="Segoe UI" w:cs="Segoe UI" w:hint="eastAsia"/>
          <w:color w:val="000000"/>
        </w:rPr>
        <w:t>IP</w:t>
      </w:r>
      <w:r w:rsidRPr="007D7392">
        <w:rPr>
          <w:rFonts w:ascii="Segoe UI" w:hAnsi="Segoe UI" w:cs="Segoe UI" w:hint="eastAsia"/>
          <w:color w:val="000000"/>
        </w:rPr>
        <w:t>地址段与源服务器所在网络一致，且无</w:t>
      </w:r>
      <w:r w:rsidRPr="007D7392">
        <w:rPr>
          <w:rFonts w:ascii="Segoe UI" w:hAnsi="Segoe UI" w:cs="Segoe UI" w:hint="eastAsia"/>
          <w:color w:val="000000"/>
        </w:rPr>
        <w:t>IP</w:t>
      </w:r>
      <w:r w:rsidRPr="007D7392">
        <w:rPr>
          <w:rFonts w:ascii="Segoe UI" w:hAnsi="Segoe UI" w:cs="Segoe UI" w:hint="eastAsia"/>
          <w:color w:val="000000"/>
        </w:rPr>
        <w:t>冲突。操作时在创建实例的“网络配置”步骤中，勾选“指定私网</w:t>
      </w:r>
      <w:r w:rsidRPr="007D7392">
        <w:rPr>
          <w:rFonts w:ascii="Segoe UI" w:hAnsi="Segoe UI" w:cs="Segoe UI" w:hint="eastAsia"/>
          <w:color w:val="000000"/>
        </w:rPr>
        <w:t>IP</w:t>
      </w:r>
      <w:r w:rsidRPr="007D7392">
        <w:rPr>
          <w:rFonts w:ascii="Segoe UI" w:hAnsi="Segoe UI" w:cs="Segoe UI" w:hint="eastAsia"/>
          <w:color w:val="000000"/>
        </w:rPr>
        <w:t>”并输入源服务器的私网</w:t>
      </w:r>
      <w:r w:rsidRPr="007D7392">
        <w:rPr>
          <w:rFonts w:ascii="Segoe UI" w:hAnsi="Segoe UI" w:cs="Segoe UI" w:hint="eastAsia"/>
          <w:color w:val="000000"/>
        </w:rPr>
        <w:t>IP</w:t>
      </w:r>
      <w:r w:rsidRPr="007D7392">
        <w:rPr>
          <w:rFonts w:ascii="Segoe UI" w:hAnsi="Segoe UI" w:cs="Segoe UI" w:hint="eastAsia"/>
          <w:color w:val="000000"/>
        </w:rPr>
        <w:t>，系统会自动校验</w:t>
      </w:r>
      <w:r w:rsidRPr="007D7392">
        <w:rPr>
          <w:rFonts w:ascii="Segoe UI" w:hAnsi="Segoe UI" w:cs="Segoe UI" w:hint="eastAsia"/>
          <w:color w:val="000000"/>
        </w:rPr>
        <w:t>IP</w:t>
      </w:r>
      <w:r w:rsidRPr="007D7392">
        <w:rPr>
          <w:rFonts w:ascii="Segoe UI" w:hAnsi="Segoe UI" w:cs="Segoe UI" w:hint="eastAsia"/>
          <w:color w:val="000000"/>
        </w:rPr>
        <w:t>有效性；</w:t>
      </w:r>
    </w:p>
    <w:p w14:paraId="5CD245DE" w14:textId="63BFD570" w:rsidR="007D7392" w:rsidRPr="007D7392" w:rsidRDefault="007D7392">
      <w:pPr>
        <w:pStyle w:val="a3"/>
        <w:numPr>
          <w:ilvl w:val="0"/>
          <w:numId w:val="3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若选择“手动指定”，需根据</w:t>
      </w:r>
      <w:r w:rsidRPr="007D7392">
        <w:rPr>
          <w:rFonts w:ascii="Segoe UI" w:hAnsi="Segoe UI" w:cs="Segoe UI" w:hint="eastAsia"/>
          <w:color w:val="000000"/>
        </w:rPr>
        <w:t>VPC</w:t>
      </w:r>
      <w:r w:rsidRPr="007D7392">
        <w:rPr>
          <w:rFonts w:ascii="Segoe UI" w:hAnsi="Segoe UI" w:cs="Segoe UI" w:hint="eastAsia"/>
          <w:color w:val="000000"/>
        </w:rPr>
        <w:t>的子网掩码和网关设置新的私网</w:t>
      </w:r>
      <w:r w:rsidRPr="007D7392">
        <w:rPr>
          <w:rFonts w:ascii="Segoe UI" w:hAnsi="Segoe UI" w:cs="Segoe UI" w:hint="eastAsia"/>
          <w:color w:val="000000"/>
        </w:rPr>
        <w:t>IP</w:t>
      </w:r>
      <w:r w:rsidRPr="007D7392">
        <w:rPr>
          <w:rFonts w:ascii="Segoe UI" w:hAnsi="Segoe UI" w:cs="Segoe UI" w:hint="eastAsia"/>
          <w:color w:val="000000"/>
        </w:rPr>
        <w:t>，确保与同一</w:t>
      </w:r>
      <w:r w:rsidRPr="007D7392">
        <w:rPr>
          <w:rFonts w:ascii="Segoe UI" w:hAnsi="Segoe UI" w:cs="Segoe UI" w:hint="eastAsia"/>
          <w:color w:val="000000"/>
        </w:rPr>
        <w:t>VPC</w:t>
      </w:r>
      <w:r w:rsidRPr="007D7392">
        <w:rPr>
          <w:rFonts w:ascii="Segoe UI" w:hAnsi="Segoe UI" w:cs="Segoe UI" w:hint="eastAsia"/>
          <w:color w:val="000000"/>
        </w:rPr>
        <w:t>内的其他资源网络互通。参考华为云文档“云服务器配置私网</w:t>
      </w:r>
      <w:r w:rsidRPr="007D7392">
        <w:rPr>
          <w:rFonts w:ascii="Segoe UI" w:hAnsi="Segoe UI" w:cs="Segoe UI" w:hint="eastAsia"/>
          <w:color w:val="000000"/>
        </w:rPr>
        <w:t>IP</w:t>
      </w:r>
      <w:r w:rsidRPr="007D7392">
        <w:rPr>
          <w:rFonts w:ascii="Segoe UI" w:hAnsi="Segoe UI" w:cs="Segoe UI" w:hint="eastAsia"/>
          <w:color w:val="000000"/>
        </w:rPr>
        <w:t>”的步骤，在实例创建完成后，也可通过“网络和安全</w:t>
      </w:r>
      <w:r w:rsidRPr="007D7392">
        <w:rPr>
          <w:rFonts w:ascii="Segoe UI" w:hAnsi="Segoe UI" w:cs="Segoe UI" w:hint="eastAsia"/>
          <w:color w:val="000000"/>
        </w:rPr>
        <w:t>&gt;</w:t>
      </w:r>
      <w:r w:rsidRPr="007D7392">
        <w:rPr>
          <w:rFonts w:ascii="Segoe UI" w:hAnsi="Segoe UI" w:cs="Segoe UI" w:hint="eastAsia"/>
          <w:color w:val="000000"/>
        </w:rPr>
        <w:t>虚拟私有云”页面修改实例的私网</w:t>
      </w:r>
      <w:r w:rsidRPr="007D7392">
        <w:rPr>
          <w:rFonts w:ascii="Segoe UI" w:hAnsi="Segoe UI" w:cs="Segoe UI" w:hint="eastAsia"/>
          <w:color w:val="000000"/>
        </w:rPr>
        <w:t>IP</w:t>
      </w:r>
      <w:r w:rsidRPr="007D7392">
        <w:rPr>
          <w:rFonts w:ascii="Segoe UI" w:hAnsi="Segoe UI" w:cs="Segoe UI" w:hint="eastAsia"/>
          <w:color w:val="000000"/>
        </w:rPr>
        <w:t>。</w:t>
      </w:r>
    </w:p>
    <w:p w14:paraId="09CF49AE" w14:textId="6D9C5FAE"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目标类型为云服务器实例：迁移过程中若已配置“</w:t>
      </w:r>
      <w:r w:rsidRPr="007D7392">
        <w:rPr>
          <w:rFonts w:ascii="Segoe UI" w:hAnsi="Segoe UI" w:cs="Segoe UI" w:hint="eastAsia"/>
          <w:color w:val="000000"/>
        </w:rPr>
        <w:t>IPv4</w:t>
      </w:r>
      <w:r w:rsidRPr="007D7392">
        <w:rPr>
          <w:rFonts w:ascii="Segoe UI" w:hAnsi="Segoe UI" w:cs="Segoe UI" w:hint="eastAsia"/>
          <w:color w:val="000000"/>
        </w:rPr>
        <w:t>私网地址保持不变”，实例创建后会自动采用源服务器的私网</w:t>
      </w:r>
      <w:r w:rsidRPr="007D7392">
        <w:rPr>
          <w:rFonts w:ascii="Segoe UI" w:hAnsi="Segoe UI" w:cs="Segoe UI" w:hint="eastAsia"/>
          <w:color w:val="000000"/>
        </w:rPr>
        <w:t>IP</w:t>
      </w:r>
      <w:r w:rsidRPr="007D7392">
        <w:rPr>
          <w:rFonts w:ascii="Segoe UI" w:hAnsi="Segoe UI" w:cs="Segoe UI" w:hint="eastAsia"/>
          <w:color w:val="000000"/>
        </w:rPr>
        <w:t>；若需修改，可在实例运行状态下通过以下步骤操作：</w:t>
      </w:r>
    </w:p>
    <w:p w14:paraId="704A42EB" w14:textId="257ACFBE" w:rsidR="007D7392" w:rsidRPr="007D7392" w:rsidRDefault="007D7392">
      <w:pPr>
        <w:pStyle w:val="a3"/>
        <w:numPr>
          <w:ilvl w:val="0"/>
          <w:numId w:val="39"/>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登录华为云控制台，进入目标实例的“网络”标签页；</w:t>
      </w:r>
    </w:p>
    <w:p w14:paraId="6BF61FBD" w14:textId="5D0D4810" w:rsidR="007D7392" w:rsidRPr="007D7392" w:rsidRDefault="007D7392">
      <w:pPr>
        <w:pStyle w:val="a3"/>
        <w:numPr>
          <w:ilvl w:val="0"/>
          <w:numId w:val="39"/>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点击“更改私网</w:t>
      </w:r>
      <w:r w:rsidRPr="007D7392">
        <w:rPr>
          <w:rFonts w:ascii="Segoe UI" w:hAnsi="Segoe UI" w:cs="Segoe UI" w:hint="eastAsia"/>
          <w:color w:val="000000"/>
        </w:rPr>
        <w:t>IP</w:t>
      </w:r>
      <w:r w:rsidRPr="007D7392">
        <w:rPr>
          <w:rFonts w:ascii="Segoe UI" w:hAnsi="Segoe UI" w:cs="Segoe UI" w:hint="eastAsia"/>
          <w:color w:val="000000"/>
        </w:rPr>
        <w:t>”按钮，在弹出窗口中选择新的私网</w:t>
      </w:r>
      <w:r w:rsidRPr="007D7392">
        <w:rPr>
          <w:rFonts w:ascii="Segoe UI" w:hAnsi="Segoe UI" w:cs="Segoe UI" w:hint="eastAsia"/>
          <w:color w:val="000000"/>
        </w:rPr>
        <w:t>IP</w:t>
      </w:r>
      <w:r w:rsidRPr="007D7392">
        <w:rPr>
          <w:rFonts w:ascii="Segoe UI" w:hAnsi="Segoe UI" w:cs="Segoe UI" w:hint="eastAsia"/>
          <w:color w:val="000000"/>
        </w:rPr>
        <w:t>（需在</w:t>
      </w:r>
      <w:r w:rsidRPr="007D7392">
        <w:rPr>
          <w:rFonts w:ascii="Segoe UI" w:hAnsi="Segoe UI" w:cs="Segoe UI" w:hint="eastAsia"/>
          <w:color w:val="000000"/>
        </w:rPr>
        <w:t>VPC</w:t>
      </w:r>
      <w:r w:rsidRPr="007D7392">
        <w:rPr>
          <w:rFonts w:ascii="Segoe UI" w:hAnsi="Segoe UI" w:cs="Segoe UI" w:hint="eastAsia"/>
          <w:color w:val="000000"/>
        </w:rPr>
        <w:t>网段内）；</w:t>
      </w:r>
    </w:p>
    <w:p w14:paraId="5C2C84ED" w14:textId="4D620C81" w:rsidR="007D7392" w:rsidRPr="007D7392" w:rsidRDefault="007D7392">
      <w:pPr>
        <w:pStyle w:val="a3"/>
        <w:numPr>
          <w:ilvl w:val="0"/>
          <w:numId w:val="39"/>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确认修改后，系统会重启实例使</w:t>
      </w:r>
      <w:r w:rsidRPr="007D7392">
        <w:rPr>
          <w:rFonts w:ascii="Segoe UI" w:hAnsi="Segoe UI" w:cs="Segoe UI" w:hint="eastAsia"/>
          <w:color w:val="000000"/>
        </w:rPr>
        <w:t>IP</w:t>
      </w:r>
      <w:r w:rsidRPr="007D7392">
        <w:rPr>
          <w:rFonts w:ascii="Segoe UI" w:hAnsi="Segoe UI" w:cs="Segoe UI" w:hint="eastAsia"/>
          <w:color w:val="000000"/>
        </w:rPr>
        <w:t>生效，重启前需确保业务已暂停或做好容灾准备。</w:t>
      </w:r>
    </w:p>
    <w:p w14:paraId="32F46E43" w14:textId="489167AC"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无论哪种目标类型，修改私网</w:t>
      </w:r>
      <w:r w:rsidRPr="007D7392">
        <w:rPr>
          <w:rFonts w:ascii="Segoe UI" w:hAnsi="Segoe UI" w:cs="Segoe UI" w:hint="eastAsia"/>
          <w:color w:val="000000"/>
        </w:rPr>
        <w:t>IP</w:t>
      </w:r>
      <w:r w:rsidRPr="007D7392">
        <w:rPr>
          <w:rFonts w:ascii="Segoe UI" w:hAnsi="Segoe UI" w:cs="Segoe UI" w:hint="eastAsia"/>
          <w:color w:val="000000"/>
        </w:rPr>
        <w:t>后均需在</w:t>
      </w:r>
      <w:r w:rsidRPr="007D7392">
        <w:rPr>
          <w:rFonts w:ascii="Segoe UI" w:hAnsi="Segoe UI" w:cs="Segoe UI" w:hint="eastAsia"/>
          <w:color w:val="000000"/>
        </w:rPr>
        <w:t>Windows</w:t>
      </w:r>
      <w:r w:rsidRPr="007D7392">
        <w:rPr>
          <w:rFonts w:ascii="Segoe UI" w:hAnsi="Segoe UI" w:cs="Segoe UI" w:hint="eastAsia"/>
          <w:color w:val="000000"/>
        </w:rPr>
        <w:t>系统内验证网络配置：打开“网络和共享中心”，查看“以太网”属性中的</w:t>
      </w:r>
      <w:r w:rsidRPr="007D7392">
        <w:rPr>
          <w:rFonts w:ascii="Segoe UI" w:hAnsi="Segoe UI" w:cs="Segoe UI" w:hint="eastAsia"/>
          <w:color w:val="000000"/>
        </w:rPr>
        <w:t>IP</w:t>
      </w:r>
      <w:r w:rsidRPr="007D7392">
        <w:rPr>
          <w:rFonts w:ascii="Segoe UI" w:hAnsi="Segoe UI" w:cs="Segoe UI" w:hint="eastAsia"/>
          <w:color w:val="000000"/>
        </w:rPr>
        <w:t>地址、子网掩码、默认网关是否正确，通过</w:t>
      </w:r>
      <w:r w:rsidRPr="007D7392">
        <w:rPr>
          <w:rFonts w:ascii="Segoe UI" w:hAnsi="Segoe UI" w:cs="Segoe UI" w:hint="eastAsia"/>
          <w:color w:val="000000"/>
        </w:rPr>
        <w:t>ping</w:t>
      </w:r>
      <w:r w:rsidRPr="007D7392">
        <w:rPr>
          <w:rFonts w:ascii="Segoe UI" w:hAnsi="Segoe UI" w:cs="Segoe UI" w:hint="eastAsia"/>
          <w:color w:val="000000"/>
        </w:rPr>
        <w:t>命令测试与同一</w:t>
      </w:r>
      <w:r w:rsidRPr="007D7392">
        <w:rPr>
          <w:rFonts w:ascii="Segoe UI" w:hAnsi="Segoe UI" w:cs="Segoe UI" w:hint="eastAsia"/>
          <w:color w:val="000000"/>
        </w:rPr>
        <w:t>VPC</w:t>
      </w:r>
      <w:r w:rsidRPr="007D7392">
        <w:rPr>
          <w:rFonts w:ascii="Segoe UI" w:hAnsi="Segoe UI" w:cs="Segoe UI" w:hint="eastAsia"/>
          <w:color w:val="000000"/>
        </w:rPr>
        <w:t>内其他资源的连通性，确保业务系统的内网通信正常。</w:t>
      </w:r>
    </w:p>
    <w:p w14:paraId="6636C4F9" w14:textId="0A011E2C" w:rsidR="007D7392" w:rsidRPr="007D7392" w:rsidRDefault="007D7392" w:rsidP="007D7392">
      <w:pPr>
        <w:pStyle w:val="7"/>
        <w:rPr>
          <w:rFonts w:hint="eastAsia"/>
        </w:rPr>
      </w:pPr>
      <w:r w:rsidRPr="007D7392">
        <w:rPr>
          <w:rFonts w:hint="eastAsia"/>
        </w:rPr>
        <w:t>综合验证与优化</w:t>
      </w:r>
    </w:p>
    <w:p w14:paraId="5E2F6CFB" w14:textId="5F97C683"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完成上述操作后，需进行至少</w:t>
      </w:r>
      <w:r w:rsidRPr="007D7392">
        <w:rPr>
          <w:rFonts w:ascii="Segoe UI" w:hAnsi="Segoe UI" w:cs="Segoe UI" w:hint="eastAsia"/>
          <w:color w:val="000000"/>
        </w:rPr>
        <w:t>24</w:t>
      </w:r>
      <w:r w:rsidRPr="007D7392">
        <w:rPr>
          <w:rFonts w:ascii="Segoe UI" w:hAnsi="Segoe UI" w:cs="Segoe UI" w:hint="eastAsia"/>
          <w:color w:val="000000"/>
        </w:rPr>
        <w:t>小时的业务稳定性观察，记录以下指标：</w:t>
      </w:r>
    </w:p>
    <w:p w14:paraId="5C74C1EF" w14:textId="3494E4F6" w:rsidR="007D7392" w:rsidRPr="007D7392" w:rsidRDefault="007D7392">
      <w:pPr>
        <w:pStyle w:val="a3"/>
        <w:numPr>
          <w:ilvl w:val="0"/>
          <w:numId w:val="4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系统资源利用率：通过任务管理器监控</w:t>
      </w:r>
      <w:r w:rsidRPr="007D7392">
        <w:rPr>
          <w:rFonts w:ascii="Segoe UI" w:hAnsi="Segoe UI" w:cs="Segoe UI" w:hint="eastAsia"/>
          <w:color w:val="000000"/>
        </w:rPr>
        <w:t>CPU</w:t>
      </w:r>
      <w:r w:rsidRPr="007D7392">
        <w:rPr>
          <w:rFonts w:ascii="Segoe UI" w:hAnsi="Segoe UI" w:cs="Segoe UI" w:hint="eastAsia"/>
          <w:color w:val="000000"/>
        </w:rPr>
        <w:t>、内存、磁盘</w:t>
      </w:r>
      <w:r w:rsidRPr="007D7392">
        <w:rPr>
          <w:rFonts w:ascii="Segoe UI" w:hAnsi="Segoe UI" w:cs="Segoe UI" w:hint="eastAsia"/>
          <w:color w:val="000000"/>
        </w:rPr>
        <w:t>IO</w:t>
      </w:r>
      <w:r w:rsidRPr="007D7392">
        <w:rPr>
          <w:rFonts w:ascii="Segoe UI" w:hAnsi="Segoe UI" w:cs="Segoe UI" w:hint="eastAsia"/>
          <w:color w:val="000000"/>
        </w:rPr>
        <w:t>的使用率，确保在业务高峰期资源占用不超过</w:t>
      </w:r>
      <w:r w:rsidRPr="007D7392">
        <w:rPr>
          <w:rFonts w:ascii="Segoe UI" w:hAnsi="Segoe UI" w:cs="Segoe UI" w:hint="eastAsia"/>
          <w:color w:val="000000"/>
        </w:rPr>
        <w:t>70%-80%</w:t>
      </w:r>
      <w:r w:rsidRPr="007D7392">
        <w:rPr>
          <w:rFonts w:ascii="Segoe UI" w:hAnsi="Segoe UI" w:cs="Segoe UI" w:hint="eastAsia"/>
          <w:color w:val="000000"/>
        </w:rPr>
        <w:t>，避免因资源不足导致性能瓶颈；</w:t>
      </w:r>
    </w:p>
    <w:p w14:paraId="0640C51F" w14:textId="2EBCFF99" w:rsidR="007D7392" w:rsidRPr="007D7392" w:rsidRDefault="007D7392">
      <w:pPr>
        <w:pStyle w:val="a3"/>
        <w:numPr>
          <w:ilvl w:val="0"/>
          <w:numId w:val="4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业务交易成功率：统计核心业务的交易次数与失败率，如电商平台的订单处理成功率应保持在</w:t>
      </w:r>
      <w:r w:rsidRPr="007D7392">
        <w:rPr>
          <w:rFonts w:ascii="Segoe UI" w:hAnsi="Segoe UI" w:cs="Segoe UI" w:hint="eastAsia"/>
          <w:color w:val="000000"/>
        </w:rPr>
        <w:t>99.9%</w:t>
      </w:r>
      <w:r w:rsidRPr="007D7392">
        <w:rPr>
          <w:rFonts w:ascii="Segoe UI" w:hAnsi="Segoe UI" w:cs="Segoe UI" w:hint="eastAsia"/>
          <w:color w:val="000000"/>
        </w:rPr>
        <w:t>以上；</w:t>
      </w:r>
    </w:p>
    <w:p w14:paraId="7DD6DAD3" w14:textId="5925261C" w:rsidR="007D7392" w:rsidRPr="007D7392" w:rsidRDefault="007D7392">
      <w:pPr>
        <w:pStyle w:val="a3"/>
        <w:numPr>
          <w:ilvl w:val="0"/>
          <w:numId w:val="4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网络延迟：使用</w:t>
      </w:r>
      <w:r w:rsidRPr="007D7392">
        <w:rPr>
          <w:rFonts w:ascii="Segoe UI" w:hAnsi="Segoe UI" w:cs="Segoe UI" w:hint="eastAsia"/>
          <w:color w:val="000000"/>
        </w:rPr>
        <w:t>ping</w:t>
      </w:r>
      <w:r w:rsidRPr="007D7392">
        <w:rPr>
          <w:rFonts w:ascii="Segoe UI" w:hAnsi="Segoe UI" w:cs="Segoe UI" w:hint="eastAsia"/>
          <w:color w:val="000000"/>
        </w:rPr>
        <w:t>和</w:t>
      </w:r>
      <w:proofErr w:type="spellStart"/>
      <w:r w:rsidRPr="007D7392">
        <w:rPr>
          <w:rFonts w:ascii="Segoe UI" w:hAnsi="Segoe UI" w:cs="Segoe UI" w:hint="eastAsia"/>
          <w:color w:val="000000"/>
        </w:rPr>
        <w:t>tracert</w:t>
      </w:r>
      <w:proofErr w:type="spellEnd"/>
      <w:r w:rsidRPr="007D7392">
        <w:rPr>
          <w:rFonts w:ascii="Segoe UI" w:hAnsi="Segoe UI" w:cs="Segoe UI" w:hint="eastAsia"/>
          <w:color w:val="000000"/>
        </w:rPr>
        <w:t>命令测试内外网延迟，公网访问延迟应控制在</w:t>
      </w:r>
      <w:r w:rsidRPr="007D7392">
        <w:rPr>
          <w:rFonts w:ascii="Segoe UI" w:hAnsi="Segoe UI" w:cs="Segoe UI" w:hint="eastAsia"/>
          <w:color w:val="000000"/>
        </w:rPr>
        <w:t>50ms</w:t>
      </w:r>
      <w:r w:rsidRPr="007D7392">
        <w:rPr>
          <w:rFonts w:ascii="Segoe UI" w:hAnsi="Segoe UI" w:cs="Segoe UI" w:hint="eastAsia"/>
          <w:color w:val="000000"/>
        </w:rPr>
        <w:t>以内，内网延迟控制在</w:t>
      </w:r>
      <w:r w:rsidRPr="007D7392">
        <w:rPr>
          <w:rFonts w:ascii="Segoe UI" w:hAnsi="Segoe UI" w:cs="Segoe UI" w:hint="eastAsia"/>
          <w:color w:val="000000"/>
        </w:rPr>
        <w:t>10ms</w:t>
      </w:r>
      <w:r w:rsidRPr="007D7392">
        <w:rPr>
          <w:rFonts w:ascii="Segoe UI" w:hAnsi="Segoe UI" w:cs="Segoe UI" w:hint="eastAsia"/>
          <w:color w:val="000000"/>
        </w:rPr>
        <w:t>以内。</w:t>
      </w:r>
    </w:p>
    <w:p w14:paraId="6CA07064" w14:textId="20A7314F" w:rsidR="00007C57"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若发现异常（如数据库连接超时、网站加载缓慢），可参考华为云监控服务（</w:t>
      </w:r>
      <w:r w:rsidRPr="007D7392">
        <w:rPr>
          <w:rFonts w:ascii="Segoe UI" w:hAnsi="Segoe UI" w:cs="Segoe UI" w:hint="eastAsia"/>
          <w:color w:val="000000"/>
        </w:rPr>
        <w:t>CES</w:t>
      </w:r>
      <w:r w:rsidRPr="007D7392">
        <w:rPr>
          <w:rFonts w:ascii="Segoe UI" w:hAnsi="Segoe UI" w:cs="Segoe UI" w:hint="eastAsia"/>
          <w:color w:val="000000"/>
        </w:rPr>
        <w:t>）的告警信息，排查网络配置、安全组规则或应用日志，及时调整配置直至业务运行稳定。通过完整的业务验证与配置调整，确保</w:t>
      </w:r>
      <w:proofErr w:type="spellStart"/>
      <w:r w:rsidRPr="007D7392">
        <w:rPr>
          <w:rFonts w:ascii="Segoe UI" w:hAnsi="Segoe UI" w:cs="Segoe UI" w:hint="eastAsia"/>
          <w:color w:val="000000"/>
        </w:rPr>
        <w:t>WindowsServer</w:t>
      </w:r>
      <w:proofErr w:type="spellEnd"/>
      <w:r w:rsidRPr="007D7392">
        <w:rPr>
          <w:rFonts w:ascii="Segoe UI" w:hAnsi="Segoe UI" w:cs="Segoe UI" w:hint="eastAsia"/>
          <w:color w:val="000000"/>
        </w:rPr>
        <w:t>云主机在华为云环境中实现平滑过渡，满足企业业务连续性与性能需求。</w:t>
      </w:r>
    </w:p>
    <w:bookmarkEnd w:id="131"/>
    <w:p w14:paraId="024F8DED" w14:textId="47E52CBC" w:rsidR="007D7392" w:rsidRDefault="007D7392" w:rsidP="007D7392">
      <w:pPr>
        <w:pStyle w:val="4"/>
        <w:rPr>
          <w:rFonts w:hint="eastAsia"/>
        </w:rPr>
      </w:pPr>
      <w:r>
        <w:rPr>
          <w:rFonts w:hint="eastAsia"/>
        </w:rPr>
        <w:lastRenderedPageBreak/>
        <w:t>云主机迁移方案</w:t>
      </w:r>
      <w:r w:rsidRPr="002603A6">
        <w:t>（操作系统：</w:t>
      </w:r>
      <w:r>
        <w:rPr>
          <w:rFonts w:hint="eastAsia"/>
        </w:rPr>
        <w:t>centos7.5</w:t>
      </w:r>
      <w:r w:rsidRPr="002603A6">
        <w:t>）</w:t>
      </w:r>
    </w:p>
    <w:p w14:paraId="4CEFDB4B" w14:textId="77777777" w:rsidR="005808F4" w:rsidRPr="00007C57" w:rsidRDefault="005808F4" w:rsidP="005808F4">
      <w:pPr>
        <w:pStyle w:val="5"/>
        <w:rPr>
          <w:rFonts w:hint="eastAsia"/>
        </w:rPr>
      </w:pPr>
      <w:r w:rsidRPr="00007C57">
        <w:t>迁移准备工作</w:t>
      </w:r>
    </w:p>
    <w:p w14:paraId="28BCB5BF" w14:textId="77777777" w:rsidR="005808F4" w:rsidRDefault="005808F4" w:rsidP="005808F4">
      <w:pPr>
        <w:pStyle w:val="6"/>
        <w:rPr>
          <w:rFonts w:hint="eastAsia"/>
        </w:rPr>
      </w:pPr>
      <w:r w:rsidRPr="00007C57">
        <w:t>数据备份</w:t>
      </w:r>
    </w:p>
    <w:p w14:paraId="0F50440D" w14:textId="0966AE7E" w:rsidR="00870140" w:rsidRDefault="00870140" w:rsidP="00870140">
      <w:pPr>
        <w:ind w:firstLine="420"/>
        <w:rPr>
          <w:rFonts w:hint="eastAsia"/>
        </w:rPr>
      </w:pPr>
      <w:r>
        <w:rPr>
          <w:rFonts w:hint="eastAsia"/>
        </w:rPr>
        <w:t>为确保CentOS7.5类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154F5375" w14:textId="373152A2" w:rsidR="00870140" w:rsidRDefault="00870140">
      <w:pPr>
        <w:pStyle w:val="a3"/>
        <w:numPr>
          <w:ilvl w:val="0"/>
          <w:numId w:val="41"/>
        </w:numPr>
        <w:ind w:firstLineChars="0"/>
        <w:rPr>
          <w:rFonts w:hint="eastAsia"/>
        </w:rPr>
      </w:pPr>
      <w:r>
        <w:rPr>
          <w:rFonts w:hint="eastAsia"/>
        </w:rPr>
        <w:t>系统盘备份：建议采用镜像备份方式，通过CentOS内置的工具或第三方备份软件（如</w:t>
      </w:r>
      <w:proofErr w:type="spellStart"/>
      <w:r>
        <w:rPr>
          <w:rFonts w:hint="eastAsia"/>
        </w:rPr>
        <w:t>Clonezilla</w:t>
      </w:r>
      <w:proofErr w:type="spellEnd"/>
      <w:r>
        <w:rPr>
          <w:rFonts w:hint="eastAsia"/>
        </w:rPr>
        <w:t>、</w:t>
      </w:r>
      <w:proofErr w:type="spellStart"/>
      <w:r>
        <w:rPr>
          <w:rFonts w:hint="eastAsia"/>
        </w:rPr>
        <w:t>BackupPC</w:t>
      </w:r>
      <w:proofErr w:type="spellEnd"/>
      <w:r>
        <w:rPr>
          <w:rFonts w:hint="eastAsia"/>
        </w:rPr>
        <w:t>等）创建完整的系统镜像，镜像需包含操作系统内核、驱动程序、已安装补丁及系统配置，确保迁移后可通过镜像快速恢复系统环境。</w:t>
      </w:r>
    </w:p>
    <w:p w14:paraId="1F4173D7" w14:textId="77777777" w:rsidR="00870140" w:rsidRDefault="00870140">
      <w:pPr>
        <w:pStyle w:val="a3"/>
        <w:numPr>
          <w:ilvl w:val="0"/>
          <w:numId w:val="41"/>
        </w:numPr>
        <w:ind w:firstLineChars="0"/>
        <w:rPr>
          <w:rFonts w:hint="eastAsia"/>
        </w:rPr>
      </w:pPr>
      <w:r>
        <w:rPr>
          <w:rFonts w:hint="eastAsia"/>
        </w:rPr>
        <w:t>数据盘备份：需根据数据类型制定差异化备份策略：</w:t>
      </w:r>
    </w:p>
    <w:p w14:paraId="2D05CBC2" w14:textId="1208C827" w:rsidR="00870140" w:rsidRDefault="00870140">
      <w:pPr>
        <w:pStyle w:val="a3"/>
        <w:numPr>
          <w:ilvl w:val="2"/>
          <w:numId w:val="42"/>
        </w:numPr>
        <w:ind w:firstLineChars="0"/>
        <w:rPr>
          <w:rFonts w:hint="eastAsia"/>
        </w:rPr>
      </w:pPr>
      <w:r>
        <w:rPr>
          <w:rFonts w:hint="eastAsia"/>
        </w:rPr>
        <w:t>若为数据库数据（如MySQL数据库），应利用数据库自带的备份功能（如MySQL的</w:t>
      </w:r>
      <w:proofErr w:type="spellStart"/>
      <w:r>
        <w:rPr>
          <w:rFonts w:hint="eastAsia"/>
        </w:rPr>
        <w:t>mysqldump</w:t>
      </w:r>
      <w:proofErr w:type="spellEnd"/>
      <w:r>
        <w:rPr>
          <w:rFonts w:hint="eastAsia"/>
        </w:rPr>
        <w:t>命令）执行全量备份与增量备份，确保数据一致性。</w:t>
      </w:r>
    </w:p>
    <w:p w14:paraId="5266A459" w14:textId="75F331EB" w:rsidR="00870140" w:rsidRDefault="00870140">
      <w:pPr>
        <w:pStyle w:val="a3"/>
        <w:numPr>
          <w:ilvl w:val="2"/>
          <w:numId w:val="42"/>
        </w:numPr>
        <w:ind w:firstLineChars="0"/>
        <w:rPr>
          <w:rFonts w:hint="eastAsia"/>
        </w:rPr>
      </w:pPr>
      <w:r>
        <w:rPr>
          <w:rFonts w:hint="eastAsia"/>
        </w:rPr>
        <w:t>若为文件数据（如业务文档、日志文件），可通过拷贝或压缩方式存储至专用备份存储设备，或利用华为云提供的对象存储服务（如OBS）进行异地存储，避免与镜像、快照或实例存储在同一位置，降低因存储介质故障导致的备份失效风险。</w:t>
      </w:r>
    </w:p>
    <w:p w14:paraId="46BBC020" w14:textId="77777777" w:rsidR="00870140" w:rsidRDefault="00870140">
      <w:pPr>
        <w:pStyle w:val="a3"/>
        <w:numPr>
          <w:ilvl w:val="0"/>
          <w:numId w:val="41"/>
        </w:numPr>
        <w:ind w:firstLineChars="0"/>
        <w:rPr>
          <w:rFonts w:hint="eastAsia"/>
        </w:rPr>
      </w:pPr>
      <w:r>
        <w:rPr>
          <w:rFonts w:hint="eastAsia"/>
        </w:rPr>
        <w:t>备份验证：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w:t>
      </w:r>
    </w:p>
    <w:p w14:paraId="2BC664A4" w14:textId="77777777" w:rsidR="00870140" w:rsidRDefault="00870140">
      <w:pPr>
        <w:pStyle w:val="a3"/>
        <w:numPr>
          <w:ilvl w:val="0"/>
          <w:numId w:val="41"/>
        </w:numPr>
        <w:ind w:firstLineChars="0"/>
        <w:rPr>
          <w:rFonts w:hint="eastAsia"/>
        </w:rPr>
      </w:pPr>
      <w:r>
        <w:rPr>
          <w:rFonts w:hint="eastAsia"/>
        </w:rPr>
        <w:t>备份存储：备份存储位置需独立于迁移源端与目标端的云主机实例，例如将备份数据存储至华为云的专属备份存储池、本地物理存储设备或其他第三方存储介质，避免因云主机迁移过程中的配置变更、网络异常或实例故障导致备份数据不可用。</w:t>
      </w:r>
    </w:p>
    <w:p w14:paraId="750FB952" w14:textId="77777777" w:rsidR="00870140" w:rsidRDefault="00870140">
      <w:pPr>
        <w:pStyle w:val="a3"/>
        <w:numPr>
          <w:ilvl w:val="0"/>
          <w:numId w:val="41"/>
        </w:numPr>
        <w:ind w:firstLineChars="0"/>
        <w:rPr>
          <w:rFonts w:hint="eastAsia"/>
        </w:rPr>
      </w:pPr>
      <w:r>
        <w:rPr>
          <w:rFonts w:hint="eastAsia"/>
        </w:rPr>
        <w:t>增量备份：对于关键业务系统，建议在迁移前执行增量备份，确保迁移窗口期内的数据变化被实时捕获。例如，若迁移操作安排在夜间进行，可在当天业务结束后执行一次全量备份，随后每小时执行一次增量备份，增量备份数据需及时传输至独立存储设备，最大限度减少数据丢失风险。</w:t>
      </w:r>
    </w:p>
    <w:p w14:paraId="5B04A9B3" w14:textId="77458582" w:rsidR="005808F4" w:rsidRPr="00870140" w:rsidRDefault="00870140">
      <w:pPr>
        <w:pStyle w:val="a3"/>
        <w:numPr>
          <w:ilvl w:val="0"/>
          <w:numId w:val="41"/>
        </w:numPr>
        <w:ind w:firstLineChars="0"/>
        <w:rPr>
          <w:rFonts w:hint="eastAsia"/>
        </w:rPr>
      </w:pPr>
      <w:r>
        <w:rPr>
          <w:rFonts w:hint="eastAsia"/>
        </w:rPr>
        <w:t>备份记录：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6A9530A2" w14:textId="54BF543A" w:rsidR="005808F4" w:rsidRDefault="005808F4" w:rsidP="005808F4">
      <w:pPr>
        <w:pStyle w:val="6"/>
        <w:rPr>
          <w:rFonts w:hint="eastAsia"/>
        </w:rPr>
      </w:pPr>
      <w:r w:rsidRPr="00007C57">
        <w:t>目标实例资源</w:t>
      </w:r>
      <w:r w:rsidR="006C6F6D" w:rsidRPr="006C6F6D">
        <w:t>招标文件要求</w:t>
      </w:r>
    </w:p>
    <w:p w14:paraId="05E57433" w14:textId="1B93AB22" w:rsidR="00870140" w:rsidRDefault="00870140" w:rsidP="00870140">
      <w:pPr>
        <w:ind w:firstLine="420"/>
        <w:rPr>
          <w:rFonts w:hint="eastAsia"/>
        </w:rPr>
      </w:pPr>
      <w:r>
        <w:rPr>
          <w:rFonts w:hint="eastAsia"/>
        </w:rPr>
        <w:t>在迁移准备工作中，目标实例的资源配置需满足数据盘与磁盘容量的特定</w:t>
      </w:r>
      <w:r w:rsidR="006C6F6D" w:rsidRPr="006C6F6D">
        <w:rPr>
          <w:rFonts w:hint="eastAsia"/>
          <w:b/>
        </w:rPr>
        <w:t>招标文件要求</w:t>
      </w:r>
      <w:r>
        <w:rPr>
          <w:rFonts w:hint="eastAsia"/>
        </w:rPr>
        <w:t>，以确保迁移过程的顺利进行及迁移后系统的正常运行。</w:t>
      </w:r>
    </w:p>
    <w:p w14:paraId="4EA775B5" w14:textId="57B06703" w:rsidR="00870140" w:rsidRDefault="00870140">
      <w:pPr>
        <w:pStyle w:val="a3"/>
        <w:numPr>
          <w:ilvl w:val="0"/>
          <w:numId w:val="43"/>
        </w:numPr>
        <w:ind w:firstLineChars="0"/>
        <w:rPr>
          <w:rFonts w:hint="eastAsia"/>
        </w:rPr>
      </w:pPr>
      <w:r>
        <w:rPr>
          <w:rFonts w:hint="eastAsia"/>
        </w:rPr>
        <w:t>数据盘</w:t>
      </w:r>
      <w:r w:rsidR="006C6F6D" w:rsidRPr="006C6F6D">
        <w:rPr>
          <w:rFonts w:hint="eastAsia"/>
          <w:b/>
        </w:rPr>
        <w:t>招标文件要求</w:t>
      </w:r>
      <w:r>
        <w:rPr>
          <w:rFonts w:hint="eastAsia"/>
        </w:rPr>
        <w:t>：目标实例所挂载的数据盘数量必须大于或等于迁移源的数据盘数量。这是因为迁移过程中需要将源端的数据盘数据完整迁移至目标端，若目标实例的数据盘数量不足，将导致部分数据盘无法挂载，进而造成数据丢失或迁移</w:t>
      </w:r>
      <w:r>
        <w:rPr>
          <w:rFonts w:hint="eastAsia"/>
        </w:rPr>
        <w:lastRenderedPageBreak/>
        <w:t>失败。若目标实例当前挂载的数据盘数量不满足</w:t>
      </w:r>
      <w:r w:rsidR="006C6F6D" w:rsidRPr="006C6F6D">
        <w:rPr>
          <w:rFonts w:hint="eastAsia"/>
          <w:b/>
        </w:rPr>
        <w:t>招标文件要求</w:t>
      </w:r>
      <w:r>
        <w:rPr>
          <w:rFonts w:hint="eastAsia"/>
        </w:rPr>
        <w:t>，需通过挂载更多数据盘来解决。具体的挂载数据盘操作可参考华为云官方文档中关于“云服务器挂载数据盘”的指导流程，文档中详细说明了在华为云控制台中如何为目标实例添加数据盘，包括选择数据盘类型、设置容量大小、关联云服务器等步骤，确保操作的规范性和可操作性。</w:t>
      </w:r>
    </w:p>
    <w:p w14:paraId="6270D7CF" w14:textId="09AA9200" w:rsidR="005808F4" w:rsidRPr="00870140" w:rsidRDefault="00870140">
      <w:pPr>
        <w:pStyle w:val="a3"/>
        <w:numPr>
          <w:ilvl w:val="0"/>
          <w:numId w:val="43"/>
        </w:numPr>
        <w:ind w:firstLineChars="0"/>
        <w:rPr>
          <w:rFonts w:hint="eastAsia"/>
        </w:rPr>
      </w:pPr>
      <w:r>
        <w:rPr>
          <w:rFonts w:hint="eastAsia"/>
        </w:rPr>
        <w:t>磁盘容量</w:t>
      </w:r>
      <w:r w:rsidR="006C6F6D" w:rsidRPr="006C6F6D">
        <w:rPr>
          <w:rFonts w:hint="eastAsia"/>
          <w:b/>
        </w:rPr>
        <w:t>招标文件要求</w:t>
      </w:r>
      <w:r>
        <w:rPr>
          <w:rFonts w:hint="eastAsia"/>
        </w:rPr>
        <w:t>：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6C6F6D" w:rsidRPr="006C6F6D">
        <w:rPr>
          <w:rFonts w:hint="eastAsia"/>
          <w:b/>
        </w:rPr>
        <w:t>招标文件要求</w:t>
      </w:r>
      <w:r>
        <w:rPr>
          <w:rFonts w:hint="eastAsia"/>
        </w:rPr>
        <w:t>时，需对云盘进行扩容操作。扩容操作可参考华为云官方提供的“云硬盘扩容”指南，该指南针对不同类型的云硬盘（如普通IO、高IO、通用型SSD等）提供了详细的扩容步骤，包括在控制台中选择需要扩容的云盘、设置扩容后的容量、执行扩容操作等，同时还说明了扩容前后的注意事项，确保扩容过程中数据的安全性和系统的稳定性。通过严格遵循这些操作参考途径，可有效保障目标实例的资源配置满足迁移</w:t>
      </w:r>
      <w:r w:rsidR="006C6F6D" w:rsidRPr="006C6F6D">
        <w:rPr>
          <w:rFonts w:hint="eastAsia"/>
          <w:b/>
        </w:rPr>
        <w:t>招标文件要求</w:t>
      </w:r>
      <w:r>
        <w:rPr>
          <w:rFonts w:hint="eastAsia"/>
        </w:rPr>
        <w:t>，为云主机的顺利迁移奠定基础。</w:t>
      </w:r>
    </w:p>
    <w:p w14:paraId="7877A54B" w14:textId="77777777" w:rsidR="005808F4" w:rsidRPr="00C6550E" w:rsidRDefault="005808F4" w:rsidP="005808F4">
      <w:pPr>
        <w:pStyle w:val="5"/>
        <w:rPr>
          <w:rFonts w:hint="eastAsia"/>
        </w:rPr>
      </w:pPr>
      <w:r w:rsidRPr="00C6550E">
        <w:t>迁移操作流程</w:t>
      </w:r>
    </w:p>
    <w:p w14:paraId="210D2469" w14:textId="77777777" w:rsidR="005808F4" w:rsidRDefault="005808F4" w:rsidP="005808F4">
      <w:pPr>
        <w:pStyle w:val="6"/>
        <w:rPr>
          <w:rFonts w:hint="eastAsia"/>
        </w:rPr>
      </w:pPr>
      <w:r w:rsidRPr="00C6550E">
        <w:t>导入迁移源</w:t>
      </w:r>
    </w:p>
    <w:p w14:paraId="71F5BD45" w14:textId="4720FF2B" w:rsidR="00870140" w:rsidRDefault="00870140" w:rsidP="00870140">
      <w:pPr>
        <w:ind w:firstLine="420"/>
        <w:rPr>
          <w:rFonts w:hint="eastAsia"/>
        </w:rPr>
      </w:pPr>
      <w:r>
        <w:rPr>
          <w:rFonts w:hint="eastAsia"/>
        </w:rPr>
        <w:t>在迁移操作流程中，导入迁移源是实现从IDC服务器、虚拟机或其他云平台云主机向华为云迁移的基础步骤，需明确迁移源定义并遵循标准化的导入方式及操作步骤。</w:t>
      </w:r>
    </w:p>
    <w:p w14:paraId="7B6B0343" w14:textId="7076242C" w:rsidR="00870140" w:rsidRDefault="00870140">
      <w:pPr>
        <w:pStyle w:val="a3"/>
        <w:numPr>
          <w:ilvl w:val="0"/>
          <w:numId w:val="44"/>
        </w:numPr>
        <w:ind w:firstLineChars="0"/>
        <w:rPr>
          <w:rFonts w:hint="eastAsia"/>
        </w:rPr>
      </w:pPr>
      <w:r>
        <w:rPr>
          <w:rFonts w:hint="eastAsia"/>
        </w:rPr>
        <w:t>迁移源定义：迁移源是指企业准备迁移至华为云的各类计算资源，包括自建IDC机房中的物理服务器、虚拟化环境中的虚拟机（如VMware、KVM虚拟机），以及运行在阿里云、腾讯云等其他云平台上的云主机等。这些迁移源中通常部署了CentOS7.5操作系统及企业核心业务应用，需要通过华为云迁移方案将其完整迁移至华为云环境，以实现资源弹性扩展与运维效率提升。</w:t>
      </w:r>
    </w:p>
    <w:p w14:paraId="536923A4" w14:textId="77777777" w:rsidR="00870140" w:rsidRDefault="00870140">
      <w:pPr>
        <w:pStyle w:val="a3"/>
        <w:numPr>
          <w:ilvl w:val="0"/>
          <w:numId w:val="44"/>
        </w:numPr>
        <w:ind w:firstLineChars="0"/>
        <w:rPr>
          <w:rFonts w:hint="eastAsia"/>
        </w:rPr>
      </w:pPr>
      <w:r>
        <w:rPr>
          <w:rFonts w:hint="eastAsia"/>
        </w:rPr>
        <w:t>华为云支持的导入迁移源方式及控制台操作步骤：华为云支持通过控制台图形化界面导入迁移源，具体步骤如下：</w:t>
      </w:r>
    </w:p>
    <w:p w14:paraId="03891FA0" w14:textId="7FC160A3" w:rsidR="00870140" w:rsidRDefault="00870140">
      <w:pPr>
        <w:pStyle w:val="a3"/>
        <w:numPr>
          <w:ilvl w:val="1"/>
          <w:numId w:val="44"/>
        </w:numPr>
        <w:ind w:firstLineChars="0"/>
        <w:rPr>
          <w:rFonts w:hint="eastAsia"/>
        </w:rPr>
      </w:pPr>
      <w:r>
        <w:rPr>
          <w:rFonts w:hint="eastAsia"/>
        </w:rPr>
        <w:t>登录华为云管理控制台，在搜索栏输入“迁移”并进入“应用迁移服务”页面。</w:t>
      </w:r>
    </w:p>
    <w:p w14:paraId="3E8EF6D2" w14:textId="374A629F" w:rsidR="00870140" w:rsidRDefault="00870140">
      <w:pPr>
        <w:pStyle w:val="a3"/>
        <w:numPr>
          <w:ilvl w:val="1"/>
          <w:numId w:val="44"/>
        </w:numPr>
        <w:ind w:firstLineChars="0"/>
        <w:rPr>
          <w:rFonts w:hint="eastAsia"/>
        </w:rPr>
      </w:pPr>
      <w:r>
        <w:rPr>
          <w:rFonts w:hint="eastAsia"/>
        </w:rPr>
        <w:t>在迁移源管理模块中，点击“导入迁移源”按钮，进入导入配置界面。</w:t>
      </w:r>
    </w:p>
    <w:p w14:paraId="0D9FAAE3" w14:textId="0C69FF94" w:rsidR="00870140" w:rsidRDefault="00870140">
      <w:pPr>
        <w:pStyle w:val="a3"/>
        <w:numPr>
          <w:ilvl w:val="1"/>
          <w:numId w:val="44"/>
        </w:numPr>
        <w:ind w:firstLineChars="0"/>
        <w:rPr>
          <w:rFonts w:hint="eastAsia"/>
        </w:rPr>
      </w:pPr>
      <w:r>
        <w:rPr>
          <w:rFonts w:hint="eastAsia"/>
        </w:rPr>
        <w:t>此时需逐项配置参数：选择合适的工作组（若无可新建），根据迁移源实际类型（如IDC物理服务器、其他云平台虚拟机等）选择“迁移源类型”，导入方式默认选择“自动发现”或“手动录入”，根据企业迁移需求设置激活数额度（即允许同时导入的迁移源数量），以及有效期（通常建议设置为30天，确保迁移操作有充足时间窗口）。</w:t>
      </w:r>
    </w:p>
    <w:p w14:paraId="416B7CB7" w14:textId="4C0BF7ED" w:rsidR="00870140" w:rsidRDefault="00870140">
      <w:pPr>
        <w:pStyle w:val="a3"/>
        <w:numPr>
          <w:ilvl w:val="1"/>
          <w:numId w:val="44"/>
        </w:numPr>
        <w:ind w:firstLineChars="0"/>
        <w:rPr>
          <w:rFonts w:hint="eastAsia"/>
        </w:rPr>
      </w:pPr>
      <w:r>
        <w:rPr>
          <w:rFonts w:hint="eastAsia"/>
        </w:rPr>
        <w:t>配置完成后，点击“生成激活码”按钮，系统将自动生成包含激活码的命令行语句，点击“复制命令”按钮保存该命令，用于后续在源服务器执行导入操作。</w:t>
      </w:r>
    </w:p>
    <w:p w14:paraId="539C3F70" w14:textId="77777777" w:rsidR="00870140" w:rsidRDefault="00870140">
      <w:pPr>
        <w:pStyle w:val="a3"/>
        <w:numPr>
          <w:ilvl w:val="0"/>
          <w:numId w:val="44"/>
        </w:numPr>
        <w:ind w:firstLineChars="0"/>
        <w:rPr>
          <w:rFonts w:hint="eastAsia"/>
        </w:rPr>
      </w:pPr>
      <w:r>
        <w:rPr>
          <w:rFonts w:hint="eastAsia"/>
        </w:rPr>
        <w:t>在源服务器执行导入操作：</w:t>
      </w:r>
    </w:p>
    <w:p w14:paraId="2C3A860D" w14:textId="71B52743" w:rsidR="00870140" w:rsidRDefault="00870140">
      <w:pPr>
        <w:pStyle w:val="a3"/>
        <w:numPr>
          <w:ilvl w:val="1"/>
          <w:numId w:val="44"/>
        </w:numPr>
        <w:ind w:firstLineChars="0"/>
        <w:rPr>
          <w:rFonts w:hint="eastAsia"/>
        </w:rPr>
      </w:pPr>
      <w:r>
        <w:rPr>
          <w:rFonts w:hint="eastAsia"/>
        </w:rPr>
        <w:t>通过SSH方式登录CentOS源服务器，确保以root账号登录系统。</w:t>
      </w:r>
    </w:p>
    <w:p w14:paraId="5C357CCF" w14:textId="77777777" w:rsidR="00870140" w:rsidRDefault="00870140">
      <w:pPr>
        <w:pStyle w:val="a3"/>
        <w:numPr>
          <w:ilvl w:val="1"/>
          <w:numId w:val="44"/>
        </w:numPr>
        <w:ind w:firstLineChars="0"/>
        <w:rPr>
          <w:rFonts w:hint="eastAsia"/>
        </w:rPr>
      </w:pPr>
      <w:r>
        <w:rPr>
          <w:rFonts w:hint="eastAsia"/>
        </w:rPr>
        <w:t>在命令行窗口中，粘贴从控制台复制的激活码命令，按回车键执行。导入过程中系统会自动安装华为云迁移代理并完成注册。</w:t>
      </w:r>
    </w:p>
    <w:p w14:paraId="0B01F41C" w14:textId="5C212AD8" w:rsidR="00870140" w:rsidRDefault="00870140">
      <w:pPr>
        <w:pStyle w:val="a3"/>
        <w:numPr>
          <w:ilvl w:val="1"/>
          <w:numId w:val="44"/>
        </w:numPr>
        <w:ind w:firstLineChars="0"/>
        <w:rPr>
          <w:rFonts w:hint="eastAsia"/>
        </w:rPr>
      </w:pPr>
      <w:r>
        <w:rPr>
          <w:rFonts w:hint="eastAsia"/>
        </w:rPr>
        <w:t>成功导入后，命令行将显示</w:t>
      </w:r>
      <w:r>
        <w:rPr>
          <w:rFonts w:hint="eastAsia"/>
        </w:rPr>
        <w:lastRenderedPageBreak/>
        <w:t>“Successfullyregisteredmigrationsource,agentstatus:online,sourceID:[具体ID]”的提示信息，表明CentOS源服务器已成功接入华为云迁移平台。</w:t>
      </w:r>
    </w:p>
    <w:p w14:paraId="2FCDADC2" w14:textId="3E3A06F6" w:rsidR="005808F4" w:rsidRPr="00870140" w:rsidRDefault="00870140">
      <w:pPr>
        <w:pStyle w:val="a3"/>
        <w:numPr>
          <w:ilvl w:val="0"/>
          <w:numId w:val="44"/>
        </w:numPr>
        <w:ind w:firstLineChars="0"/>
        <w:rPr>
          <w:rFonts w:hint="eastAsia"/>
        </w:rPr>
      </w:pPr>
      <w:r>
        <w:rPr>
          <w:rFonts w:hint="eastAsia"/>
        </w:rPr>
        <w:t>查看迁移源状态：完成源服务器导入操作后，返回华为云管理控制台的迁移源管理页面，刷新页面即可查看迁移源状态。若迁移源状态显示为“在线”，且代理状态为“运行中”，则表示导入成功，可继续进行后续的迁移任务；若状态显示为“离线”“注册失败”或“代理异常”，则需参考控制台提示的错误代码（如网络连接失败、权限不足、激活码过期等），检查源服务器的网络连通性、防火墙设置、管理员权限是否正常，或重新生成激活码后再次执行导入操作，直至迁移源状态显示为正常在线。通过严格遵循上述导入流程，可确保CentOS7.5类云主机的迁移源顺利接入华为云迁移系统，为后续的系统迁移和数据同步奠定基础。</w:t>
      </w:r>
    </w:p>
    <w:p w14:paraId="28D66A91" w14:textId="77777777" w:rsidR="005808F4" w:rsidRDefault="005808F4" w:rsidP="005808F4">
      <w:pPr>
        <w:pStyle w:val="6"/>
        <w:rPr>
          <w:rFonts w:hint="eastAsia"/>
        </w:rPr>
      </w:pPr>
      <w:r w:rsidRPr="00007C57">
        <w:t>迁移配置</w:t>
      </w:r>
    </w:p>
    <w:p w14:paraId="0884AC6E" w14:textId="46E8B848" w:rsidR="009F0E68" w:rsidRDefault="009F0E68">
      <w:pPr>
        <w:pStyle w:val="a3"/>
        <w:numPr>
          <w:ilvl w:val="0"/>
          <w:numId w:val="45"/>
        </w:numPr>
        <w:ind w:firstLineChars="0"/>
        <w:rPr>
          <w:rFonts w:hint="eastAsia"/>
        </w:rPr>
      </w:pPr>
      <w:r>
        <w:rPr>
          <w:rFonts w:hint="eastAsia"/>
        </w:rPr>
        <w:t>在完成迁移源导入后，需在华为云控制台进行详细的迁移配置，以确保CentOS7.5云主机能够安全、高效地迁移至华为云。迁移配置涵盖基本参数、磁盘分区、高级参数等多层级设置，需按标准化流程逐项完成。</w:t>
      </w:r>
    </w:p>
    <w:p w14:paraId="64D7A9B6" w14:textId="2A62B23D" w:rsidR="009F0E68" w:rsidRDefault="009F0E68">
      <w:pPr>
        <w:pStyle w:val="a3"/>
        <w:numPr>
          <w:ilvl w:val="1"/>
          <w:numId w:val="45"/>
        </w:numPr>
        <w:ind w:firstLineChars="0"/>
        <w:rPr>
          <w:rFonts w:hint="eastAsia"/>
        </w:rPr>
      </w:pPr>
      <w:r>
        <w:rPr>
          <w:rFonts w:hint="eastAsia"/>
        </w:rPr>
        <w:t>开始迁移与基本参数配置：在华为云控制台的迁移源列表中，找到目标CentOS迁移源，点击操作列的“开始迁移”按钮，进入迁移配置页面。首先需配置基本参数：</w:t>
      </w:r>
    </w:p>
    <w:p w14:paraId="40969C56" w14:textId="1A3A2F40" w:rsidR="009F0E68" w:rsidRDefault="009F0E68">
      <w:pPr>
        <w:pStyle w:val="a3"/>
        <w:numPr>
          <w:ilvl w:val="1"/>
          <w:numId w:val="45"/>
        </w:numPr>
        <w:ind w:firstLineChars="0"/>
        <w:rPr>
          <w:rFonts w:hint="eastAsia"/>
        </w:rPr>
      </w:pPr>
      <w:r>
        <w:rPr>
          <w:rFonts w:hint="eastAsia"/>
        </w:rPr>
        <w:t>任务名称：可自定义设置迁移任务的名称，建议包含源服务器IP、业务系统名称等信息（如“CentOS-7.5-WebServer-迁移任务”），以便于后续管理和识别。</w:t>
      </w:r>
    </w:p>
    <w:p w14:paraId="6CF85453" w14:textId="01AB9049" w:rsidR="009F0E68" w:rsidRDefault="009F0E68">
      <w:pPr>
        <w:pStyle w:val="a3"/>
        <w:numPr>
          <w:ilvl w:val="1"/>
          <w:numId w:val="45"/>
        </w:numPr>
        <w:ind w:firstLineChars="0"/>
        <w:rPr>
          <w:rFonts w:hint="eastAsia"/>
        </w:rPr>
      </w:pPr>
      <w:r>
        <w:rPr>
          <w:rFonts w:hint="eastAsia"/>
        </w:rPr>
        <w:t>任务描述：输入迁移任务的详细说明，例如“将IDC机房的CentOS7.5Web服务器迁移至华为云上海四区”，明确迁移目的和范围。</w:t>
      </w:r>
    </w:p>
    <w:p w14:paraId="0DC7E021" w14:textId="123F0D32" w:rsidR="009F0E68" w:rsidRDefault="009F0E68">
      <w:pPr>
        <w:pStyle w:val="a3"/>
        <w:numPr>
          <w:ilvl w:val="1"/>
          <w:numId w:val="45"/>
        </w:numPr>
        <w:ind w:firstLineChars="0"/>
        <w:rPr>
          <w:rFonts w:hint="eastAsia"/>
        </w:rPr>
      </w:pPr>
      <w:r>
        <w:rPr>
          <w:rFonts w:hint="eastAsia"/>
        </w:rPr>
        <w:t>目标类型（必填）：可选择将源服务器转换成华为云自定义镜像、云服务器实例等，需指定目标地域（如“中国-上海-四”），并设置镜像名称（如“CentOS7.5_WebServer_Mirror”），地域选择需考虑业务访问延迟和容灾需求。</w:t>
      </w:r>
    </w:p>
    <w:p w14:paraId="47EDFBB9" w14:textId="77777777" w:rsidR="009F0E68" w:rsidRDefault="009F0E68">
      <w:pPr>
        <w:pStyle w:val="a3"/>
        <w:numPr>
          <w:ilvl w:val="1"/>
          <w:numId w:val="45"/>
        </w:numPr>
        <w:ind w:firstLineChars="0"/>
        <w:rPr>
          <w:rFonts w:hint="eastAsia"/>
        </w:rPr>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0FDEC8B8" w14:textId="060ECDE8" w:rsidR="009F0E68" w:rsidRDefault="009F0E68">
      <w:pPr>
        <w:pStyle w:val="a3"/>
        <w:numPr>
          <w:ilvl w:val="1"/>
          <w:numId w:val="45"/>
        </w:numPr>
        <w:ind w:firstLineChars="0"/>
        <w:rPr>
          <w:rFonts w:hint="eastAsia"/>
        </w:rPr>
      </w:pPr>
      <w:r>
        <w:rPr>
          <w:rFonts w:hint="eastAsia"/>
        </w:rPr>
        <w:t>执行方式：若开启迁移演练，执行方式默认选择“先演练后迁移”；若已完成演练或无需演练，可选择“直接迁移”，需确保源服务器状态稳定。</w:t>
      </w:r>
    </w:p>
    <w:p w14:paraId="70C6EC85" w14:textId="56FDE3FF" w:rsidR="009F0E68" w:rsidRDefault="009F0E68">
      <w:pPr>
        <w:pStyle w:val="a3"/>
        <w:numPr>
          <w:ilvl w:val="1"/>
          <w:numId w:val="45"/>
        </w:numPr>
        <w:ind w:firstLineChars="0"/>
        <w:rPr>
          <w:rFonts w:hint="eastAsia"/>
        </w:rPr>
      </w:pPr>
      <w:r>
        <w:rPr>
          <w:rFonts w:hint="eastAsia"/>
        </w:rPr>
        <w:t>自动增量同步：默认开启，可配置同步重复频率（如每15分钟一次）和最大镜像保留数（建议设置为3-5个），确保迁移窗口期内的增量数据被持续同步，减少最终迁移的停机时间。若关闭该功能，系统将在首次同步后仅执行一次性迁移，适用于数据变化极小的场景。</w:t>
      </w:r>
    </w:p>
    <w:p w14:paraId="1A6C9491" w14:textId="6F64881E" w:rsidR="009F0E68" w:rsidRDefault="009F0E68">
      <w:pPr>
        <w:pStyle w:val="a3"/>
        <w:numPr>
          <w:ilvl w:val="1"/>
          <w:numId w:val="45"/>
        </w:numPr>
        <w:ind w:firstLineChars="0"/>
        <w:rPr>
          <w:rFonts w:hint="eastAsia"/>
        </w:rPr>
      </w:pPr>
      <w:r>
        <w:rPr>
          <w:rFonts w:hint="eastAsia"/>
        </w:rPr>
        <w:t>启用迁移模板：当存在重复迁移需求时，可启用已保存的迁移模板（如针对CentOS7.5数据库服务器的标准化模板），模板中预设了磁盘配置、网络参数等，可直接复用以提升配置效率。</w:t>
      </w:r>
    </w:p>
    <w:p w14:paraId="528C4808" w14:textId="563B3AE3" w:rsidR="009F0E68" w:rsidRDefault="009F0E68">
      <w:pPr>
        <w:pStyle w:val="a3"/>
        <w:numPr>
          <w:ilvl w:val="0"/>
          <w:numId w:val="45"/>
        </w:numPr>
        <w:ind w:firstLineChars="0"/>
        <w:rPr>
          <w:rFonts w:hint="eastAsia"/>
        </w:rPr>
      </w:pPr>
      <w:r>
        <w:rPr>
          <w:rFonts w:hint="eastAsia"/>
        </w:rPr>
        <w:t>磁盘分区结构调整：根据源服务器的磁盘使用情况，选择是否开启“调整磁盘分区结构”功能：若源服务器的磁盘分区需适配华为云的存储架构（如将多个小分区合并为大分区），可开启该功能并自定义配置分区大小、位置顺序等。例如，将源服务器的/根分区和/data数据盘在目标端调整为/根分区100GB、/data数据盘500GB，以优化存储利用率。该功能默认关闭，建议在迁移前通过磁盘工具对源服务器进行碎片整理和分区规划。</w:t>
      </w:r>
    </w:p>
    <w:p w14:paraId="6AB42E13" w14:textId="77777777" w:rsidR="009F0E68" w:rsidRDefault="009F0E68">
      <w:pPr>
        <w:pStyle w:val="a3"/>
        <w:numPr>
          <w:ilvl w:val="0"/>
          <w:numId w:val="45"/>
        </w:numPr>
        <w:ind w:firstLineChars="0"/>
        <w:rPr>
          <w:rFonts w:hint="eastAsia"/>
        </w:rPr>
      </w:pPr>
      <w:r>
        <w:rPr>
          <w:rFonts w:hint="eastAsia"/>
        </w:rPr>
        <w:t>高级参数配置（条件必选）：</w:t>
      </w:r>
    </w:p>
    <w:p w14:paraId="1D588092" w14:textId="77777777" w:rsidR="009F0E68" w:rsidRDefault="009F0E68">
      <w:pPr>
        <w:pStyle w:val="a3"/>
        <w:numPr>
          <w:ilvl w:val="0"/>
          <w:numId w:val="46"/>
        </w:numPr>
        <w:ind w:firstLineChars="0"/>
        <w:rPr>
          <w:rFonts w:hint="eastAsia"/>
        </w:rPr>
      </w:pPr>
      <w:r>
        <w:rPr>
          <w:rFonts w:hint="eastAsia"/>
        </w:rPr>
        <w:t>网络与传输配置：</w:t>
      </w:r>
    </w:p>
    <w:p w14:paraId="67492991" w14:textId="2052114B" w:rsidR="009F0E68" w:rsidRDefault="009F0E68">
      <w:pPr>
        <w:pStyle w:val="a3"/>
        <w:numPr>
          <w:ilvl w:val="1"/>
          <w:numId w:val="47"/>
        </w:numPr>
        <w:ind w:firstLineChars="0"/>
        <w:rPr>
          <w:rFonts w:hint="eastAsia"/>
        </w:rPr>
      </w:pPr>
      <w:r>
        <w:rPr>
          <w:rFonts w:hint="eastAsia"/>
        </w:rPr>
        <w:lastRenderedPageBreak/>
        <w:t>网络模式：默认采用“公网传输”模式，若源服务器与华为云之间存在专线或VPN连接，可选择“私网传输”以提升传输稳定性。系统会自动创建中转实例用于数据中转，也可手动指定专有网络（VPC）和交换机（</w:t>
      </w:r>
      <w:proofErr w:type="spellStart"/>
      <w:r>
        <w:rPr>
          <w:rFonts w:hint="eastAsia"/>
        </w:rPr>
        <w:t>vSwitch</w:t>
      </w:r>
      <w:proofErr w:type="spellEnd"/>
      <w:r>
        <w:rPr>
          <w:rFonts w:hint="eastAsia"/>
        </w:rPr>
        <w:t>），确保网络连通性。</w:t>
      </w:r>
    </w:p>
    <w:p w14:paraId="7CCC9948" w14:textId="7338A75A" w:rsidR="009F0E68" w:rsidRDefault="009F0E68">
      <w:pPr>
        <w:pStyle w:val="a3"/>
        <w:numPr>
          <w:ilvl w:val="1"/>
          <w:numId w:val="47"/>
        </w:numPr>
        <w:ind w:firstLineChars="0"/>
        <w:rPr>
          <w:rFonts w:hint="eastAsia"/>
        </w:rPr>
      </w:pPr>
      <w:r>
        <w:rPr>
          <w:rFonts w:hint="eastAsia"/>
        </w:rPr>
        <w:t>IPv4私网地址：当目标类型为云服务器实例时，需配置IPv4私网地址，可选择“保持不变”（需确保华为云VPC内无IP冲突）或“手动指定”，手动指定时需符合VPC的IP地址段规划。</w:t>
      </w:r>
    </w:p>
    <w:p w14:paraId="502157CA" w14:textId="449DC414" w:rsidR="009F0E68" w:rsidRDefault="009F0E68">
      <w:pPr>
        <w:pStyle w:val="a3"/>
        <w:numPr>
          <w:ilvl w:val="1"/>
          <w:numId w:val="47"/>
        </w:numPr>
        <w:ind w:firstLineChars="0"/>
        <w:rPr>
          <w:rFonts w:hint="eastAsia"/>
        </w:rPr>
      </w:pPr>
      <w:r>
        <w:rPr>
          <w:rFonts w:hint="eastAsia"/>
        </w:rPr>
        <w:t>传输限速：单位为Mbps，默认不限制传输速度，若源服务器所在网络带宽有限，可设置限速（如500Mbps），避免迁移过程中占用过多带宽影响其他业务。</w:t>
      </w:r>
    </w:p>
    <w:p w14:paraId="2A31CB4F" w14:textId="14191504" w:rsidR="009F0E68" w:rsidRDefault="009F0E68">
      <w:pPr>
        <w:pStyle w:val="a3"/>
        <w:numPr>
          <w:ilvl w:val="1"/>
          <w:numId w:val="47"/>
        </w:numPr>
        <w:ind w:firstLineChars="0"/>
        <w:rPr>
          <w:rFonts w:hint="eastAsia"/>
        </w:rPr>
      </w:pPr>
      <w:r>
        <w:rPr>
          <w:rFonts w:hint="eastAsia"/>
        </w:rPr>
        <w:t>压缩率：迁移数据压缩级别可选1-9（1为低压缩高速度，9为高压缩低速度），默认值为5。在带宽充足的环境下建议保持默认，若带宽受限可提高压缩率以减少数据传输量，但会增加CPU开销。</w:t>
      </w:r>
    </w:p>
    <w:p w14:paraId="535150E4" w14:textId="77777777" w:rsidR="009F0E68" w:rsidRDefault="009F0E68">
      <w:pPr>
        <w:pStyle w:val="a3"/>
        <w:numPr>
          <w:ilvl w:val="0"/>
          <w:numId w:val="46"/>
        </w:numPr>
        <w:ind w:firstLineChars="0"/>
        <w:rPr>
          <w:rFonts w:hint="eastAsia"/>
        </w:rPr>
      </w:pPr>
      <w:r>
        <w:rPr>
          <w:rFonts w:hint="eastAsia"/>
        </w:rPr>
        <w:t>安全性与合规性配置：</w:t>
      </w:r>
    </w:p>
    <w:p w14:paraId="719927B2" w14:textId="2147ED09" w:rsidR="009F0E68" w:rsidRDefault="009F0E68">
      <w:pPr>
        <w:pStyle w:val="a3"/>
        <w:numPr>
          <w:ilvl w:val="1"/>
          <w:numId w:val="47"/>
        </w:numPr>
        <w:ind w:firstLineChars="0"/>
        <w:rPr>
          <w:rFonts w:hint="eastAsia"/>
        </w:rPr>
      </w:pPr>
      <w:r>
        <w:rPr>
          <w:rFonts w:hint="eastAsia"/>
        </w:rPr>
        <w:t>Checksum验证：默认开启，通过哈希算法验证传输数据的完整性，确保迁移过程中数据无损坏或丢失，开启后会增加少量传输耗时，但可显著提升数据可靠性。</w:t>
      </w:r>
    </w:p>
    <w:p w14:paraId="1B94D4F2" w14:textId="13634B47" w:rsidR="009F0E68" w:rsidRDefault="009F0E68">
      <w:pPr>
        <w:pStyle w:val="a3"/>
        <w:numPr>
          <w:ilvl w:val="1"/>
          <w:numId w:val="47"/>
        </w:numPr>
        <w:ind w:firstLineChars="0"/>
        <w:rPr>
          <w:rFonts w:hint="eastAsia"/>
        </w:rPr>
      </w:pPr>
      <w:r>
        <w:rPr>
          <w:rFonts w:hint="eastAsia"/>
        </w:rPr>
        <w:t>开启SSL加密传输：默认开启，对迁移数据进行端到端加密，防止传输过程中数据被窃取或篡改，适用于包含敏感信息（如用户数据、财务数据）的迁移场景。</w:t>
      </w:r>
    </w:p>
    <w:p w14:paraId="37BA165D" w14:textId="191875CA" w:rsidR="009F0E68" w:rsidRDefault="009F0E68">
      <w:pPr>
        <w:pStyle w:val="a3"/>
        <w:numPr>
          <w:ilvl w:val="1"/>
          <w:numId w:val="47"/>
        </w:numPr>
        <w:ind w:firstLineChars="0"/>
        <w:rPr>
          <w:rFonts w:hint="eastAsia"/>
        </w:rPr>
      </w:pPr>
      <w:r>
        <w:rPr>
          <w:rFonts w:hint="eastAsia"/>
        </w:rPr>
        <w:t>许可证类型：可选择“华为云”（使用华为云提供的CentOS许可证）或“自带许可”（BYOL，需确保许可证合规且支持迁移至华为云），选择自带许可时需上传许可证文件并完成合规性验证。</w:t>
      </w:r>
    </w:p>
    <w:p w14:paraId="78F8CE71" w14:textId="77777777" w:rsidR="009F0E68" w:rsidRDefault="009F0E68">
      <w:pPr>
        <w:pStyle w:val="a3"/>
        <w:numPr>
          <w:ilvl w:val="0"/>
          <w:numId w:val="46"/>
        </w:numPr>
        <w:ind w:firstLineChars="0"/>
        <w:rPr>
          <w:rFonts w:hint="eastAsia"/>
        </w:rPr>
      </w:pPr>
      <w:r>
        <w:rPr>
          <w:rFonts w:hint="eastAsia"/>
        </w:rPr>
        <w:t>辅助功能配置：</w:t>
      </w:r>
    </w:p>
    <w:p w14:paraId="7C14AB06" w14:textId="2CEAECC2" w:rsidR="009F0E68" w:rsidRDefault="009F0E68">
      <w:pPr>
        <w:pStyle w:val="a3"/>
        <w:numPr>
          <w:ilvl w:val="1"/>
          <w:numId w:val="47"/>
        </w:numPr>
        <w:ind w:firstLineChars="0"/>
        <w:rPr>
          <w:rFonts w:hint="eastAsia"/>
        </w:rPr>
      </w:pPr>
      <w:r>
        <w:rPr>
          <w:rFonts w:hint="eastAsia"/>
        </w:rPr>
        <w:t>镜像检测：启用后系统会在迁移完成后自动检测镜像的启动性和兼容性，生成检测报告（如驱动缺失、服务异常等），适用于对迁移质量</w:t>
      </w:r>
      <w:r w:rsidR="006C6F6D" w:rsidRPr="006C6F6D">
        <w:rPr>
          <w:rFonts w:hint="eastAsia"/>
          <w:b/>
        </w:rPr>
        <w:t>招标文件要求</w:t>
      </w:r>
      <w:r>
        <w:rPr>
          <w:rFonts w:hint="eastAsia"/>
        </w:rPr>
        <w:t>较高的核心业务系统，可参考报告进行后续优化。</w:t>
      </w:r>
    </w:p>
    <w:p w14:paraId="3FF20DA0" w14:textId="070E4A3A" w:rsidR="009F0E68" w:rsidRDefault="009F0E68">
      <w:pPr>
        <w:pStyle w:val="a3"/>
        <w:numPr>
          <w:ilvl w:val="1"/>
          <w:numId w:val="47"/>
        </w:numPr>
        <w:ind w:firstLineChars="0"/>
        <w:rPr>
          <w:rFonts w:hint="eastAsia"/>
        </w:rPr>
      </w:pPr>
      <w:r>
        <w:rPr>
          <w:rFonts w:hint="eastAsia"/>
        </w:rPr>
        <w:t>标签：可为迁移任务绑定标签（如“业务线=财务系统”“环境=生产”），最多绑定10个标签，便于按业务维度管理迁移任务和资源。</w:t>
      </w:r>
    </w:p>
    <w:p w14:paraId="4401841F" w14:textId="4A424CC4" w:rsidR="009F0E68" w:rsidRDefault="009F0E68">
      <w:pPr>
        <w:pStyle w:val="a3"/>
        <w:numPr>
          <w:ilvl w:val="1"/>
          <w:numId w:val="47"/>
        </w:numPr>
        <w:ind w:firstLineChars="0"/>
        <w:rPr>
          <w:rFonts w:hint="eastAsia"/>
        </w:rPr>
      </w:pPr>
      <w:r>
        <w:rPr>
          <w:rFonts w:hint="eastAsia"/>
        </w:rPr>
        <w:t>中转实例规格：当选择私网传输模式时需配置中转实例规格，建议选择与源服务器配置相近的规格（如c6.large.2），确保中转效率，重要注意事项：中转实例需预留足够的存储容量以缓存迁移数据。</w:t>
      </w:r>
    </w:p>
    <w:p w14:paraId="093680AB" w14:textId="48780E9F" w:rsidR="009F0E68" w:rsidRDefault="009F0E68">
      <w:pPr>
        <w:pStyle w:val="a3"/>
        <w:numPr>
          <w:ilvl w:val="1"/>
          <w:numId w:val="47"/>
        </w:numPr>
        <w:ind w:firstLineChars="0"/>
        <w:rPr>
          <w:rFonts w:hint="eastAsia"/>
        </w:rPr>
      </w:pPr>
      <w:r>
        <w:rPr>
          <w:rFonts w:hint="eastAsia"/>
        </w:rPr>
        <w:t>上报诊断日志：默认开启，系统会将迁移过程中的诊断日志上报至华为云日志服务（LTS），日志保存7天，便于在迁移失败时定位问题（如网络中断、权限错误），可在LTS控制台查询具体日志内容。</w:t>
      </w:r>
    </w:p>
    <w:p w14:paraId="1FABD0DE" w14:textId="2FEA0847" w:rsidR="009F0E68" w:rsidRPr="009F0E68" w:rsidRDefault="009F0E68">
      <w:pPr>
        <w:pStyle w:val="a3"/>
        <w:numPr>
          <w:ilvl w:val="0"/>
          <w:numId w:val="45"/>
        </w:numPr>
        <w:ind w:firstLineChars="0"/>
        <w:rPr>
          <w:rFonts w:hint="eastAsia"/>
        </w:rPr>
      </w:pPr>
      <w:r>
        <w:rPr>
          <w:rFonts w:hint="eastAsia"/>
        </w:rPr>
        <w:t>确认迁移与状态查看：完成所有参数配置后，仔细阅读迁移提示（如“迁移期间源服务器网络需保持连通”“请确保目标地域资源充足”），点击“确认迁移”按钮启动迁移任务。在服务器迁移页面可查看实时迁移状态，包括数据传输进度、剩余时间、已同步数据量等。迁移耗时受数据量大小、网络带宽、压缩率等因素影响，例如1TB数据在1Gbps带宽下采用默认压缩率通常需要约2-3小时完成首次同步，后续增量同步时间随数据变化量递减。通过以上完整的迁移配置流程，可确保CentOS7.5云主机在迁移过程中满足业务连续性、数据完整性和安全性</w:t>
      </w:r>
      <w:r w:rsidR="006C6F6D" w:rsidRPr="006C6F6D">
        <w:rPr>
          <w:rFonts w:hint="eastAsia"/>
          <w:b/>
        </w:rPr>
        <w:t>招标文件要求</w:t>
      </w:r>
      <w:r>
        <w:rPr>
          <w:rFonts w:hint="eastAsia"/>
        </w:rPr>
        <w:t>，最终在华为云环境中实现稳定运行。</w:t>
      </w:r>
    </w:p>
    <w:p w14:paraId="44C31458" w14:textId="77777777" w:rsidR="005808F4" w:rsidRPr="00007C57" w:rsidRDefault="005808F4" w:rsidP="005808F4">
      <w:pPr>
        <w:pStyle w:val="5"/>
        <w:rPr>
          <w:rFonts w:hint="eastAsia"/>
        </w:rPr>
      </w:pPr>
      <w:r w:rsidRPr="00007C57">
        <w:lastRenderedPageBreak/>
        <w:t>迁移结果验证</w:t>
      </w:r>
    </w:p>
    <w:p w14:paraId="0AF03B61" w14:textId="77777777" w:rsidR="005808F4" w:rsidRDefault="005808F4" w:rsidP="005808F4">
      <w:pPr>
        <w:pStyle w:val="6"/>
        <w:rPr>
          <w:rFonts w:hint="eastAsia"/>
        </w:rPr>
      </w:pPr>
      <w:r w:rsidRPr="00007C57">
        <w:t>迁移成功判断</w:t>
      </w:r>
    </w:p>
    <w:p w14:paraId="549DE29F" w14:textId="22392CAD" w:rsidR="009F0E68" w:rsidRDefault="009F0E68">
      <w:pPr>
        <w:pStyle w:val="a3"/>
        <w:numPr>
          <w:ilvl w:val="0"/>
          <w:numId w:val="48"/>
        </w:numPr>
        <w:ind w:firstLineChars="0"/>
        <w:rPr>
          <w:rFonts w:hint="eastAsia"/>
        </w:rPr>
      </w:pPr>
      <w:r>
        <w:rPr>
          <w:rFonts w:hint="eastAsia"/>
        </w:rPr>
        <w:t>在华为云迁移方案中，迁移成功的判断需结合迁移任务的实时状态、目标资源的可用性及业务功能的完整性，形成多层级的验证体系。当迁移实时状态显示为“已完成”时，仅作为迁移成功的初步判断依据，还需进一步从以下维度完成全面验证，确保CentOS7.5云主机在华为云环境中正常运行。</w:t>
      </w:r>
    </w:p>
    <w:p w14:paraId="480BC427" w14:textId="5731FA58" w:rsidR="009F0E68" w:rsidRDefault="009F0E68">
      <w:pPr>
        <w:pStyle w:val="a3"/>
        <w:numPr>
          <w:ilvl w:val="0"/>
          <w:numId w:val="48"/>
        </w:numPr>
        <w:ind w:firstLineChars="0"/>
        <w:rPr>
          <w:rFonts w:hint="eastAsia"/>
        </w:rPr>
      </w:pPr>
      <w:r>
        <w:rPr>
          <w:rFonts w:hint="eastAsia"/>
        </w:rPr>
        <w:t>迁移任务状态：以华为云控制台的迁移任务状态为基础判断标准。在服务器迁移页面，若迁移任务的实时状态栏明确显示“已完成”，且进度条显示100%，同时无任何错误提示（如“数据传输失败”“镜像创建异常”），则表明迁移任务已按流程执行完毕。此时需同步查看“迁移详情”中的关键指标：数据传输总耗时应与预估时间基本吻合（受网络带宽、数据量影响可能存在一定误差），增量同步次数需符合预设频率（如每15分钟一次），且最终同步的增量数据量应与源端变更量一致，避免因增量同步失败导致的数据丢失。</w:t>
      </w:r>
    </w:p>
    <w:p w14:paraId="0670F692" w14:textId="71223A46" w:rsidR="009F0E68" w:rsidRDefault="009F0E68">
      <w:pPr>
        <w:pStyle w:val="a3"/>
        <w:numPr>
          <w:ilvl w:val="0"/>
          <w:numId w:val="48"/>
        </w:numPr>
        <w:ind w:firstLineChars="0"/>
        <w:rPr>
          <w:rFonts w:hint="eastAsia"/>
        </w:rPr>
      </w:pPr>
      <w:r>
        <w:rPr>
          <w:rFonts w:hint="eastAsia"/>
        </w:rPr>
        <w:t>目标资源验证：验证目标资源的创建与配置准确性。若迁移目标类型为自定义镜像，需在华为云“镜像服务”控制台查看镜像状态，确保镜像状态为“正常”，且镜像大小与源服务器磁盘实际使用容量一致（考虑到磁盘格式化和文件系统开销，允许存在5%-10%的误差）。点击镜像详情，检查操作系统类型显示为“CentOS7.5”，镜像文件完整性校验值（如MD5/SHA256）与源服务器备份镜像的校验值一致，确保镜像无损坏或篡改。若目标类型为云服务器实例，需在“云服务器”控制台确认实例状态为“运行中”，实例规格（vCPU、内存）与迁移配置一致，数据盘挂载数量及容量满足迁移源</w:t>
      </w:r>
      <w:r w:rsidR="006C6F6D" w:rsidRPr="006C6F6D">
        <w:rPr>
          <w:rFonts w:hint="eastAsia"/>
          <w:b/>
        </w:rPr>
        <w:t>招标文件要求</w:t>
      </w:r>
      <w:r>
        <w:rPr>
          <w:rFonts w:hint="eastAsia"/>
        </w:rPr>
        <w:t>（目标实例数据盘数量≥源端，容量≥源端实际使用量），且磁盘分区结构与迁移配置中的调整方案一致（如/根分区100GB、/data数据盘500GB）。</w:t>
      </w:r>
    </w:p>
    <w:p w14:paraId="36AFEFD1" w14:textId="1E9220F9" w:rsidR="009F0E68" w:rsidRDefault="009F0E68">
      <w:pPr>
        <w:pStyle w:val="a3"/>
        <w:numPr>
          <w:ilvl w:val="0"/>
          <w:numId w:val="48"/>
        </w:numPr>
        <w:ind w:firstLineChars="0"/>
        <w:rPr>
          <w:rFonts w:hint="eastAsia"/>
        </w:rPr>
      </w:pPr>
      <w:r>
        <w:rPr>
          <w:rFonts w:hint="eastAsia"/>
        </w:rPr>
        <w:t>操作系统与驱动验证：通过SSH连接至迁移后的CentOS云主机，确认操作系统启动正常，无启动失败等异常。系统应能正常登录，且各项服务运行正常。同时，检查系统内核版本与源服务器一致，确保驱动程序兼容华为云虚拟化环境，必要时可从华为云官网下载最新的驱动包进行更新，确保硬件性能充分释放。</w:t>
      </w:r>
    </w:p>
    <w:p w14:paraId="16900849" w14:textId="42A71F32" w:rsidR="009F0E68" w:rsidRDefault="009F0E68">
      <w:pPr>
        <w:pStyle w:val="a3"/>
        <w:numPr>
          <w:ilvl w:val="0"/>
          <w:numId w:val="48"/>
        </w:numPr>
        <w:ind w:firstLineChars="0"/>
        <w:rPr>
          <w:rFonts w:hint="eastAsia"/>
        </w:rPr>
      </w:pPr>
      <w:r>
        <w:rPr>
          <w:rFonts w:hint="eastAsia"/>
        </w:rPr>
        <w:t>业务应用验证：需验证业务应用的功能完整性。对于部署在CentOS上的核心业务应用（如MySQL数据库、</w:t>
      </w:r>
      <w:proofErr w:type="spellStart"/>
      <w:r>
        <w:rPr>
          <w:rFonts w:hint="eastAsia"/>
        </w:rPr>
        <w:t>Nginxweb</w:t>
      </w:r>
      <w:proofErr w:type="spellEnd"/>
      <w:r>
        <w:rPr>
          <w:rFonts w:hint="eastAsia"/>
        </w:rPr>
        <w:t>服务），逐一启动应用服务并执行功能测试：MySQL需验证数据库连接、数据查询及事务处理能力，可通过连接数据库并执行简单查询语句验证数据完整性；</w:t>
      </w:r>
      <w:proofErr w:type="spellStart"/>
      <w:r>
        <w:rPr>
          <w:rFonts w:hint="eastAsia"/>
        </w:rPr>
        <w:t>Nginxweb</w:t>
      </w:r>
      <w:proofErr w:type="spellEnd"/>
      <w:r>
        <w:rPr>
          <w:rFonts w:hint="eastAsia"/>
        </w:rPr>
        <w:t>服务需访问前端页面，测试用户访问、数据提交等核心功能，确保应用在华为云环境中运行正常。对于有状态的应用（如正在处理中的业务流程），需检查迁移前后的状态一致性，避免因迁移导致业务中断或数据不一致。</w:t>
      </w:r>
    </w:p>
    <w:p w14:paraId="7EBCD9CF" w14:textId="0797FC03" w:rsidR="009F0E68" w:rsidRDefault="009F0E68">
      <w:pPr>
        <w:pStyle w:val="a3"/>
        <w:numPr>
          <w:ilvl w:val="0"/>
          <w:numId w:val="48"/>
        </w:numPr>
        <w:ind w:firstLineChars="0"/>
        <w:rPr>
          <w:rFonts w:hint="eastAsia"/>
        </w:rPr>
      </w:pPr>
      <w:r>
        <w:rPr>
          <w:rFonts w:hint="eastAsia"/>
        </w:rPr>
        <w:t>网络连通性验证：确认迁移后的云主机可通过华为云内网（VPC）与其他资源正常通信，若配置了公网IP，需测试公网访问能力（如通过公网IP远程连接云主机）。对于迁移过程中选择“保持IPv4私网地址不变”的场景，需验证云主机的内网IP与源服务器一致且无冲突；若手动指定IP，需确认IP地址在VPC网段内且已正确配置路由表。同时，检查Linux防火墙规则是否已按业务需求配置，避免因防火墙设置导致的网络访问异常。通过以上从迁移状态、目标资源、系统驱动、业务应用到网络配置的多层级验证，方可最终判定CentOS7.5云主机迁移成功。若在任一环节发现异常（如镜像启动失败、应用功能异常），需参考华为云迁移日志（可在LTS控制台查询）定位问题原因，必要时重新执行迁移任务或联系技术支持进行故障排查，确保迁移结果满足业务连续性</w:t>
      </w:r>
      <w:r w:rsidR="006C6F6D" w:rsidRPr="006C6F6D">
        <w:rPr>
          <w:rFonts w:hint="eastAsia"/>
          <w:b/>
        </w:rPr>
        <w:t>招标文件要求</w:t>
      </w:r>
      <w:r>
        <w:rPr>
          <w:rFonts w:hint="eastAsia"/>
        </w:rPr>
        <w:t>。</w:t>
      </w:r>
    </w:p>
    <w:p w14:paraId="3D22AFB0" w14:textId="77777777" w:rsidR="005808F4" w:rsidRDefault="005808F4" w:rsidP="005808F4">
      <w:pPr>
        <w:pStyle w:val="6"/>
        <w:rPr>
          <w:rFonts w:hint="eastAsia"/>
        </w:rPr>
      </w:pPr>
      <w:r w:rsidRPr="00007C57">
        <w:lastRenderedPageBreak/>
        <w:t>查看迁移交付物</w:t>
      </w:r>
    </w:p>
    <w:p w14:paraId="31D76D23" w14:textId="103F09C0" w:rsidR="009F0E68" w:rsidRDefault="009F0E68" w:rsidP="009F0E68">
      <w:pPr>
        <w:ind w:firstLine="420"/>
        <w:rPr>
          <w:rFonts w:hint="eastAsia"/>
        </w:rPr>
      </w:pPr>
      <w:r>
        <w:rPr>
          <w:rFonts w:hint="eastAsia"/>
        </w:rPr>
        <w:t>当迁移目标类型选择为云主机镜像且迁移任务显示“已完成”后，需通过华为云控制台查看生成的自定义镜像及相关交付物，确保镜像质量与迁移结果符合预期。迁移交付物的验证涵盖镜像基本信息、检测报告、完整性校验等多个维度，具体操作与判断标准如下：</w:t>
      </w:r>
    </w:p>
    <w:p w14:paraId="3082A15F" w14:textId="7881F610" w:rsidR="009F0E68" w:rsidRDefault="009F0E68">
      <w:pPr>
        <w:pStyle w:val="a3"/>
        <w:numPr>
          <w:ilvl w:val="0"/>
          <w:numId w:val="49"/>
        </w:numPr>
        <w:ind w:firstLineChars="0"/>
        <w:rPr>
          <w:rFonts w:hint="eastAsia"/>
        </w:rPr>
      </w:pPr>
      <w:r>
        <w:rPr>
          <w:rFonts w:hint="eastAsia"/>
        </w:rPr>
        <w:t>镜像基本信息验证：在华为云管理控制台搜索并进入“镜像服务”页面，在自定义镜像列表中找到迁移生成的镜像（可通过镜像名称、创建时间或迁移任务名称快速定位）。点击镜像名称进入详情页，查看镜像的基本信息：镜像状态需显示为“正常”，若状态为“创建中”或“异常”，则需等待或排查问题；操作系统类型应正确显示为“CentOS7.5”，镜像格式为华为云支持的qcow2或raw；镜像大小需与源服务器的磁盘实际使用容量匹配，考虑到文件系统开销，允许存在5%-10%的误差，例如源服务器/根分区实际使用80GB，镜像大小应为84GB-88GB左右。</w:t>
      </w:r>
    </w:p>
    <w:p w14:paraId="1E758232" w14:textId="077FB1DE" w:rsidR="009F0E68" w:rsidRDefault="009F0E68">
      <w:pPr>
        <w:pStyle w:val="a3"/>
        <w:numPr>
          <w:ilvl w:val="0"/>
          <w:numId w:val="49"/>
        </w:numPr>
        <w:ind w:firstLineChars="0"/>
        <w:rPr>
          <w:rFonts w:hint="eastAsia"/>
        </w:rPr>
      </w:pPr>
      <w:r>
        <w:rPr>
          <w:rFonts w:hint="eastAsia"/>
        </w:rPr>
        <w:t>镜像检测报告查看：查看镜像检测报告（若迁移配置中启用了“镜像检测”功能）。在镜像详情页的“检测信息”标签页中，系统会自动生成检测报告，内容包括：</w:t>
      </w:r>
    </w:p>
    <w:p w14:paraId="1D1072FC" w14:textId="064445A3" w:rsidR="009F0E68" w:rsidRDefault="009F0E68">
      <w:pPr>
        <w:pStyle w:val="a3"/>
        <w:numPr>
          <w:ilvl w:val="0"/>
          <w:numId w:val="50"/>
        </w:numPr>
        <w:ind w:firstLineChars="0"/>
        <w:rPr>
          <w:rFonts w:hint="eastAsia"/>
        </w:rPr>
      </w:pPr>
      <w:r>
        <w:rPr>
          <w:rFonts w:hint="eastAsia"/>
        </w:rPr>
        <w:t>启动性检测：验证镜像能否在华为云虚拟化环境中正常启动，报告显示“启动成功”且无报错日志（如驱动加载失败、系统文件损坏）。</w:t>
      </w:r>
    </w:p>
    <w:p w14:paraId="1B17F794" w14:textId="46BB92CF" w:rsidR="009F0E68" w:rsidRDefault="009F0E68">
      <w:pPr>
        <w:pStyle w:val="a3"/>
        <w:numPr>
          <w:ilvl w:val="0"/>
          <w:numId w:val="50"/>
        </w:numPr>
        <w:ind w:firstLineChars="0"/>
        <w:rPr>
          <w:rFonts w:hint="eastAsia"/>
        </w:rPr>
      </w:pPr>
      <w:r>
        <w:rPr>
          <w:rFonts w:hint="eastAsia"/>
        </w:rPr>
        <w:t>驱动兼容性：列出镜像中已安装的驱动程序，重点检查网卡、存储控制器等关键驱动是否为华为云推荐版本，若存在“未知设备”或驱动版本过低，需手动更新。</w:t>
      </w:r>
    </w:p>
    <w:p w14:paraId="0181ADEE" w14:textId="28306201" w:rsidR="009F0E68" w:rsidRDefault="009F0E68">
      <w:pPr>
        <w:pStyle w:val="a3"/>
        <w:numPr>
          <w:ilvl w:val="0"/>
          <w:numId w:val="50"/>
        </w:numPr>
        <w:ind w:firstLineChars="0"/>
        <w:rPr>
          <w:rFonts w:hint="eastAsia"/>
        </w:rPr>
      </w:pPr>
      <w:r>
        <w:rPr>
          <w:rFonts w:hint="eastAsia"/>
        </w:rPr>
        <w:t>服务状态：检测系统服务（如</w:t>
      </w:r>
      <w:proofErr w:type="spellStart"/>
      <w:r>
        <w:rPr>
          <w:rFonts w:hint="eastAsia"/>
        </w:rPr>
        <w:t>NetworkManager</w:t>
      </w:r>
      <w:proofErr w:type="spellEnd"/>
      <w:r>
        <w:rPr>
          <w:rFonts w:hint="eastAsia"/>
        </w:rPr>
        <w:t>、</w:t>
      </w:r>
      <w:proofErr w:type="spellStart"/>
      <w:r>
        <w:rPr>
          <w:rFonts w:hint="eastAsia"/>
        </w:rPr>
        <w:t>sshd</w:t>
      </w:r>
      <w:proofErr w:type="spellEnd"/>
      <w:r>
        <w:rPr>
          <w:rFonts w:hint="eastAsia"/>
        </w:rPr>
        <w:t>）是否正常启动，无“禁用”或“启动失败”的服务。</w:t>
      </w:r>
    </w:p>
    <w:p w14:paraId="66FA29AC" w14:textId="79347BC6" w:rsidR="009F0E68" w:rsidRDefault="009F0E68">
      <w:pPr>
        <w:pStyle w:val="a3"/>
        <w:numPr>
          <w:ilvl w:val="0"/>
          <w:numId w:val="50"/>
        </w:numPr>
        <w:ind w:firstLineChars="0"/>
        <w:rPr>
          <w:rFonts w:hint="eastAsia"/>
        </w:rPr>
      </w:pPr>
      <w:r>
        <w:rPr>
          <w:rFonts w:hint="eastAsia"/>
        </w:rPr>
        <w:t>磁盘分区：确认镜像中的磁盘分区结构与迁移配置一致，分区格式为ext4或</w:t>
      </w:r>
      <w:proofErr w:type="spellStart"/>
      <w:r>
        <w:rPr>
          <w:rFonts w:hint="eastAsia"/>
        </w:rPr>
        <w:t>xfs</w:t>
      </w:r>
      <w:proofErr w:type="spellEnd"/>
      <w:r>
        <w:rPr>
          <w:rFonts w:hint="eastAsia"/>
        </w:rPr>
        <w:t>且文件系统无错误。</w:t>
      </w:r>
    </w:p>
    <w:p w14:paraId="261D9DC1" w14:textId="77777777" w:rsidR="009F0E68" w:rsidRDefault="009F0E68">
      <w:pPr>
        <w:pStyle w:val="a3"/>
        <w:numPr>
          <w:ilvl w:val="0"/>
          <w:numId w:val="50"/>
        </w:numPr>
        <w:ind w:firstLineChars="0"/>
        <w:rPr>
          <w:rFonts w:hint="eastAsia"/>
        </w:rPr>
      </w:pPr>
      <w:r>
        <w:rPr>
          <w:rFonts w:hint="eastAsia"/>
        </w:rPr>
        <w:t>若检测报告中存在警告（如非关键驱动缺失），需根据提示进行修复；若出现错误（如系统无法启动），则需重新执行迁移任务并检查源服务器状态。</w:t>
      </w:r>
    </w:p>
    <w:p w14:paraId="5939B420" w14:textId="019CB497" w:rsidR="009F0E68" w:rsidRDefault="009F0E68">
      <w:pPr>
        <w:pStyle w:val="a3"/>
        <w:numPr>
          <w:ilvl w:val="0"/>
          <w:numId w:val="49"/>
        </w:numPr>
        <w:ind w:firstLineChars="0"/>
        <w:rPr>
          <w:rFonts w:hint="eastAsia"/>
        </w:rPr>
      </w:pPr>
      <w:r>
        <w:rPr>
          <w:rFonts w:hint="eastAsia"/>
        </w:rPr>
        <w:t>镜像完整性验证：在镜像详情页中，获取镜像的MD5或SHA256校验值，并与源服务器迁移前的备份镜像校验值对比，两者需完全一致，确保迁移过程中数据未被篡改或丢失。若源服务器未保存备份镜像校验值，可通过华为云控制台下载镜像文件至本地，使用哈希计算工具重新计算校验值进行验证。</w:t>
      </w:r>
    </w:p>
    <w:p w14:paraId="15C0269D" w14:textId="5252C482" w:rsidR="009F0E68" w:rsidRDefault="009F0E68">
      <w:pPr>
        <w:pStyle w:val="a3"/>
        <w:numPr>
          <w:ilvl w:val="0"/>
          <w:numId w:val="49"/>
        </w:numPr>
        <w:ind w:firstLineChars="0"/>
        <w:rPr>
          <w:rFonts w:hint="eastAsia"/>
        </w:rPr>
      </w:pPr>
      <w:r>
        <w:rPr>
          <w:rFonts w:hint="eastAsia"/>
        </w:rPr>
        <w:t>增量数据验证：对于启用了“自动增量同步”功能的迁移任务，需确认镜像是否包含最新的增量数据。在迁移任务详情中，查看最后一次增量同步的时间与源服务器的业务变更时间是否一致，例如源服务器在迁移完成前1小时有数据更新，镜像的创建时间应晚于该更新时间，且增量同步次数与预设频率（如每15分钟一次）相符，避免因增量同步未完成导致镜像数据过时。</w:t>
      </w:r>
    </w:p>
    <w:p w14:paraId="07961999" w14:textId="3B5E6B62" w:rsidR="009F0E68" w:rsidRDefault="009F0E68">
      <w:pPr>
        <w:pStyle w:val="a3"/>
        <w:numPr>
          <w:ilvl w:val="0"/>
          <w:numId w:val="49"/>
        </w:numPr>
        <w:ind w:firstLineChars="0"/>
        <w:rPr>
          <w:rFonts w:hint="eastAsia"/>
        </w:rPr>
      </w:pPr>
      <w:r>
        <w:rPr>
          <w:rFonts w:hint="eastAsia"/>
        </w:rPr>
        <w:t>迁移交付报告下载：若迁移配置中选择了“生成报告”选项（默认开启），可在迁移任务详情页下载完整的迁移交付报告。报告内容包括：</w:t>
      </w:r>
    </w:p>
    <w:p w14:paraId="2460BDC7" w14:textId="77777777" w:rsidR="009F0E68" w:rsidRDefault="009F0E68">
      <w:pPr>
        <w:pStyle w:val="a3"/>
        <w:numPr>
          <w:ilvl w:val="0"/>
          <w:numId w:val="51"/>
        </w:numPr>
        <w:ind w:firstLineChars="0"/>
        <w:rPr>
          <w:rFonts w:hint="eastAsia"/>
        </w:rPr>
      </w:pPr>
      <w:r>
        <w:rPr>
          <w:rFonts w:hint="eastAsia"/>
        </w:rPr>
        <w:t>迁移概览：源服务器信息、目标镜像配置、迁移耗时、数据传输量。</w:t>
      </w:r>
    </w:p>
    <w:p w14:paraId="2E5D41CD" w14:textId="77777777" w:rsidR="009F0E68" w:rsidRDefault="009F0E68">
      <w:pPr>
        <w:pStyle w:val="a3"/>
        <w:numPr>
          <w:ilvl w:val="0"/>
          <w:numId w:val="51"/>
        </w:numPr>
        <w:ind w:firstLineChars="0"/>
        <w:rPr>
          <w:rFonts w:hint="eastAsia"/>
        </w:rPr>
      </w:pPr>
      <w:r>
        <w:rPr>
          <w:rFonts w:hint="eastAsia"/>
        </w:rPr>
        <w:t>技术指标：增量同步次数、压缩率、传输带宽利用率。</w:t>
      </w:r>
    </w:p>
    <w:p w14:paraId="4AB22C64" w14:textId="0BAB863A" w:rsidR="009F0E68" w:rsidRDefault="009F0E68">
      <w:pPr>
        <w:pStyle w:val="a3"/>
        <w:numPr>
          <w:ilvl w:val="0"/>
          <w:numId w:val="51"/>
        </w:numPr>
        <w:ind w:firstLineChars="0"/>
        <w:rPr>
          <w:rFonts w:hint="eastAsia"/>
        </w:rPr>
      </w:pPr>
      <w:r>
        <w:rPr>
          <w:rFonts w:hint="eastAsia"/>
        </w:rPr>
        <w:t>验证结果：镜像检测结论、业务应用测试记录（如MySQL连接测试、Nginx访问测试）。</w:t>
      </w:r>
    </w:p>
    <w:p w14:paraId="305DC6C8" w14:textId="77777777" w:rsidR="009F0E68" w:rsidRDefault="009F0E68">
      <w:pPr>
        <w:pStyle w:val="a3"/>
        <w:numPr>
          <w:ilvl w:val="0"/>
          <w:numId w:val="51"/>
        </w:numPr>
        <w:ind w:firstLineChars="0"/>
        <w:rPr>
          <w:rFonts w:hint="eastAsia"/>
        </w:rPr>
      </w:pPr>
      <w:r>
        <w:rPr>
          <w:rFonts w:hint="eastAsia"/>
        </w:rPr>
        <w:t>注意事项：镜像使用建议（如首次启动需检查服务状态）、后续优化方向（如驱动更新、磁盘整理）。</w:t>
      </w:r>
    </w:p>
    <w:p w14:paraId="0DD3625D" w14:textId="189FA0F4" w:rsidR="009F0E68" w:rsidRPr="009F0E68" w:rsidRDefault="009F0E68" w:rsidP="009F0E68">
      <w:pPr>
        <w:ind w:firstLine="420"/>
        <w:rPr>
          <w:rFonts w:hint="eastAsia"/>
        </w:rPr>
      </w:pPr>
      <w:r>
        <w:rPr>
          <w:rFonts w:hint="eastAsia"/>
        </w:rPr>
        <w:t>通过以上步骤对迁移交付物进行全面验证，确保生成的华为云自定义镜像可用于创建新的云主机实例或进一步分发。若发现镜像存在问题（如检测失败、数据不完整），需参考报告中的错误定位信息，排查迁移配置（如网络模式、压缩率设置）或源服务器环境（如磁盘</w:t>
      </w:r>
      <w:r>
        <w:rPr>
          <w:rFonts w:hint="eastAsia"/>
        </w:rPr>
        <w:lastRenderedPageBreak/>
        <w:t>错误、系统异常），并重新执行迁移任务，直至交付物满足业务需求。</w:t>
      </w:r>
    </w:p>
    <w:p w14:paraId="76BAB64C" w14:textId="77777777" w:rsidR="005808F4" w:rsidRDefault="005808F4" w:rsidP="005808F4">
      <w:pPr>
        <w:pStyle w:val="6"/>
        <w:rPr>
          <w:rFonts w:hint="eastAsia"/>
        </w:rPr>
      </w:pPr>
      <w:r w:rsidRPr="00007C57">
        <w:t>业务验证与配置调整</w:t>
      </w:r>
    </w:p>
    <w:p w14:paraId="6E16C6BB" w14:textId="61E61175" w:rsidR="009F0E68" w:rsidRDefault="009F0E68" w:rsidP="009F0E68">
      <w:pPr>
        <w:ind w:firstLine="420"/>
        <w:rPr>
          <w:rFonts w:hint="eastAsia"/>
        </w:rPr>
      </w:pPr>
      <w:r>
        <w:rPr>
          <w:rFonts w:hint="eastAsia"/>
        </w:rPr>
        <w:t>在确认迁移生成的华为云自定义镜像或云主机实例状态正常后，需进一步对业务功能进行全面验证，并根据华为云环境特性调整相关配置，确保迁移后的CentOS7.5云主机能稳定承载业务运行。该环节涵盖数据校验、应用启动、IP地址配置等核心内容，具体操作流程如下：</w:t>
      </w:r>
    </w:p>
    <w:p w14:paraId="7AD2D557" w14:textId="77777777" w:rsidR="009F0E68" w:rsidRDefault="009F0E68">
      <w:pPr>
        <w:pStyle w:val="a3"/>
        <w:numPr>
          <w:ilvl w:val="0"/>
          <w:numId w:val="52"/>
        </w:numPr>
        <w:ind w:firstLineChars="0"/>
        <w:rPr>
          <w:rFonts w:hint="eastAsia"/>
        </w:rPr>
      </w:pPr>
      <w:r>
        <w:rPr>
          <w:rFonts w:hint="eastAsia"/>
        </w:rPr>
        <w:t>数据校验：通过多维度数据校验机制，验证迁移后的数据与源端的一致性。</w:t>
      </w:r>
    </w:p>
    <w:p w14:paraId="054F609F" w14:textId="5238A299" w:rsidR="009F0E68" w:rsidRDefault="009F0E68">
      <w:pPr>
        <w:pStyle w:val="a3"/>
        <w:numPr>
          <w:ilvl w:val="0"/>
          <w:numId w:val="53"/>
        </w:numPr>
        <w:ind w:firstLineChars="0"/>
        <w:rPr>
          <w:rFonts w:hint="eastAsia"/>
        </w:rPr>
      </w:pPr>
      <w:r>
        <w:rPr>
          <w:rFonts w:hint="eastAsia"/>
        </w:rPr>
        <w:t>数据库数据校验：对于数据库数据（如MySQL），可通过以下方式验证：</w:t>
      </w:r>
    </w:p>
    <w:p w14:paraId="513A6A89" w14:textId="36694C6E" w:rsidR="009F0E68" w:rsidRDefault="009F0E68">
      <w:pPr>
        <w:pStyle w:val="a3"/>
        <w:numPr>
          <w:ilvl w:val="1"/>
          <w:numId w:val="53"/>
        </w:numPr>
        <w:ind w:firstLineChars="0"/>
        <w:rPr>
          <w:rFonts w:hint="eastAsia"/>
        </w:rPr>
      </w:pPr>
      <w:r>
        <w:rPr>
          <w:rFonts w:hint="eastAsia"/>
        </w:rPr>
        <w:t>连接迁移后的MySQL实例，对比源端与目标端的数据库列表、表结构及数据量，执行SELECTCOUNT(*)语句验证关键表的数据行数是否一致。</w:t>
      </w:r>
    </w:p>
    <w:p w14:paraId="4915DB24" w14:textId="7976746D" w:rsidR="009F0E68" w:rsidRDefault="009F0E68">
      <w:pPr>
        <w:pStyle w:val="a3"/>
        <w:numPr>
          <w:ilvl w:val="1"/>
          <w:numId w:val="53"/>
        </w:numPr>
        <w:ind w:firstLineChars="0"/>
        <w:rPr>
          <w:rFonts w:hint="eastAsia"/>
        </w:rPr>
      </w:pPr>
      <w:r>
        <w:rPr>
          <w:rFonts w:hint="eastAsia"/>
        </w:rPr>
        <w:t>对重要业务数据进行抽样对比，可通过导出CSV文件或使用数据库对比工具自动比对，确保无数据丢失或篡改。</w:t>
      </w:r>
    </w:p>
    <w:p w14:paraId="6684D7F5" w14:textId="77777777" w:rsidR="009F0E68" w:rsidRDefault="009F0E68">
      <w:pPr>
        <w:pStyle w:val="a3"/>
        <w:numPr>
          <w:ilvl w:val="1"/>
          <w:numId w:val="53"/>
        </w:numPr>
        <w:ind w:firstLineChars="0"/>
        <w:rPr>
          <w:rFonts w:hint="eastAsia"/>
        </w:rPr>
      </w:pPr>
      <w:r>
        <w:rPr>
          <w:rFonts w:hint="eastAsia"/>
        </w:rPr>
        <w:t>若源端启用了数据库二进制日志备份，可在目标端执行日志还原操作，验证事务完整性，确保迁移后的数据库可恢复至任意时间点。</w:t>
      </w:r>
    </w:p>
    <w:p w14:paraId="115DB0B7" w14:textId="77777777" w:rsidR="009F0E68" w:rsidRDefault="009F0E68">
      <w:pPr>
        <w:pStyle w:val="a3"/>
        <w:numPr>
          <w:ilvl w:val="0"/>
          <w:numId w:val="53"/>
        </w:numPr>
        <w:ind w:firstLineChars="0"/>
        <w:rPr>
          <w:rFonts w:hint="eastAsia"/>
        </w:rPr>
      </w:pPr>
      <w:r>
        <w:rPr>
          <w:rFonts w:hint="eastAsia"/>
        </w:rPr>
        <w:t>文件数据校验：对于文件数据（如业务文档、日志文件），需检查迁移后的数据盘目录结构是否与源端一致，重点验证高频访问或关键业务文件的完整性：</w:t>
      </w:r>
    </w:p>
    <w:p w14:paraId="525126BC" w14:textId="77777777" w:rsidR="009F0E68" w:rsidRDefault="009F0E68">
      <w:pPr>
        <w:pStyle w:val="a3"/>
        <w:numPr>
          <w:ilvl w:val="1"/>
          <w:numId w:val="53"/>
        </w:numPr>
        <w:ind w:firstLineChars="0"/>
        <w:rPr>
          <w:rFonts w:hint="eastAsia"/>
        </w:rPr>
      </w:pPr>
      <w:r>
        <w:rPr>
          <w:rFonts w:hint="eastAsia"/>
        </w:rPr>
        <w:t>在文件系统中逐层比对源服务器与迁移后云主机的数据目录，确认文件夹结构、文件数量一致。</w:t>
      </w:r>
    </w:p>
    <w:p w14:paraId="0E47D45D" w14:textId="2B8CBC67" w:rsidR="009F0E68" w:rsidRDefault="009F0E68">
      <w:pPr>
        <w:pStyle w:val="a3"/>
        <w:numPr>
          <w:ilvl w:val="1"/>
          <w:numId w:val="53"/>
        </w:numPr>
        <w:ind w:firstLineChars="0"/>
        <w:rPr>
          <w:rFonts w:hint="eastAsia"/>
        </w:rPr>
      </w:pPr>
      <w:r>
        <w:rPr>
          <w:rFonts w:hint="eastAsia"/>
        </w:rPr>
        <w:t>随机选取10%-20%的关键文件（如最近更新的业务报告、系统日志），通过查看文件属性，确认创建时间、修改时间及文件大小是否与源端一致。</w:t>
      </w:r>
    </w:p>
    <w:p w14:paraId="74AAB3FF" w14:textId="77777777" w:rsidR="009F0E68" w:rsidRDefault="009F0E68">
      <w:pPr>
        <w:pStyle w:val="a3"/>
        <w:numPr>
          <w:ilvl w:val="1"/>
          <w:numId w:val="53"/>
        </w:numPr>
        <w:ind w:firstLineChars="0"/>
        <w:rPr>
          <w:rFonts w:hint="eastAsia"/>
        </w:rPr>
      </w:pPr>
      <w:r>
        <w:rPr>
          <w:rFonts w:hint="eastAsia"/>
        </w:rPr>
        <w:t>对文本、二进制等格式的业务文件，打开并验证内容完整性，确保文件可正常读取且无损坏。</w:t>
      </w:r>
    </w:p>
    <w:p w14:paraId="53C83107" w14:textId="77777777" w:rsidR="009F0E68" w:rsidRDefault="009F0E68">
      <w:pPr>
        <w:pStyle w:val="a3"/>
        <w:numPr>
          <w:ilvl w:val="0"/>
          <w:numId w:val="52"/>
        </w:numPr>
        <w:ind w:firstLineChars="0"/>
        <w:rPr>
          <w:rFonts w:hint="eastAsia"/>
        </w:rPr>
      </w:pPr>
      <w:r>
        <w:rPr>
          <w:rFonts w:hint="eastAsia"/>
        </w:rPr>
        <w:t>应用和服务启动：若迁移前源服务器中的应用或服务未设置自启动，迁移至华为云后需手动启动并配置启动策略：</w:t>
      </w:r>
    </w:p>
    <w:p w14:paraId="420DA8E4" w14:textId="600A1250" w:rsidR="009F0E68" w:rsidRDefault="009F0E68">
      <w:pPr>
        <w:pStyle w:val="a3"/>
        <w:numPr>
          <w:ilvl w:val="0"/>
          <w:numId w:val="54"/>
        </w:numPr>
        <w:ind w:firstLineChars="0"/>
        <w:rPr>
          <w:rFonts w:hint="eastAsia"/>
        </w:rPr>
      </w:pPr>
      <w:r>
        <w:rPr>
          <w:rFonts w:hint="eastAsia"/>
        </w:rPr>
        <w:t>登录迁移后的CentOS云主机，通过</w:t>
      </w:r>
      <w:proofErr w:type="spellStart"/>
      <w:r>
        <w:rPr>
          <w:rFonts w:hint="eastAsia"/>
        </w:rPr>
        <w:t>systemctl</w:t>
      </w:r>
      <w:proofErr w:type="spellEnd"/>
      <w:r>
        <w:rPr>
          <w:rFonts w:hint="eastAsia"/>
        </w:rPr>
        <w:t>命令查看所有服务状态，对业务相关服务（如Nginx服务、MySQL服务、企业应用服务）检查是否设置为“enable”启动类型，若为“disable”，使用</w:t>
      </w:r>
      <w:proofErr w:type="spellStart"/>
      <w:r>
        <w:rPr>
          <w:rFonts w:hint="eastAsia"/>
        </w:rPr>
        <w:t>systemctlenable</w:t>
      </w:r>
      <w:proofErr w:type="spellEnd"/>
      <w:r>
        <w:rPr>
          <w:rFonts w:hint="eastAsia"/>
        </w:rPr>
        <w:t>[服务名]命令修改启动类型并通过</w:t>
      </w:r>
      <w:proofErr w:type="spellStart"/>
      <w:r>
        <w:rPr>
          <w:rFonts w:hint="eastAsia"/>
        </w:rPr>
        <w:t>systemctlstart</w:t>
      </w:r>
      <w:proofErr w:type="spellEnd"/>
      <w:r>
        <w:rPr>
          <w:rFonts w:hint="eastAsia"/>
        </w:rPr>
        <w:t>[服务名]启动服务。</w:t>
      </w:r>
    </w:p>
    <w:p w14:paraId="21151A62" w14:textId="77777777" w:rsidR="009F0E68" w:rsidRDefault="009F0E68">
      <w:pPr>
        <w:pStyle w:val="a3"/>
        <w:numPr>
          <w:ilvl w:val="0"/>
          <w:numId w:val="54"/>
        </w:numPr>
        <w:ind w:firstLineChars="0"/>
        <w:rPr>
          <w:rFonts w:hint="eastAsia"/>
        </w:rPr>
      </w:pPr>
      <w:r>
        <w:rPr>
          <w:rFonts w:hint="eastAsia"/>
        </w:rPr>
        <w:t>对于需要随系统启动的第三方应用，检查其是否在系统启动脚本（如/</w:t>
      </w:r>
      <w:proofErr w:type="spellStart"/>
      <w:r>
        <w:rPr>
          <w:rFonts w:hint="eastAsia"/>
        </w:rPr>
        <w:t>etc</w:t>
      </w:r>
      <w:proofErr w:type="spellEnd"/>
      <w:r>
        <w:rPr>
          <w:rFonts w:hint="eastAsia"/>
        </w:rPr>
        <w:t>/</w:t>
      </w:r>
      <w:proofErr w:type="spellStart"/>
      <w:r>
        <w:rPr>
          <w:rFonts w:hint="eastAsia"/>
        </w:rPr>
        <w:t>rc.d</w:t>
      </w:r>
      <w:proofErr w:type="spellEnd"/>
      <w:r>
        <w:rPr>
          <w:rFonts w:hint="eastAsia"/>
        </w:rPr>
        <w:t>/</w:t>
      </w:r>
      <w:proofErr w:type="spellStart"/>
      <w:r>
        <w:rPr>
          <w:rFonts w:hint="eastAsia"/>
        </w:rPr>
        <w:t>rc.local</w:t>
      </w:r>
      <w:proofErr w:type="spellEnd"/>
      <w:r>
        <w:rPr>
          <w:rFonts w:hint="eastAsia"/>
        </w:rPr>
        <w:t>）中设置启动项，若缺失则手动添加启动命令至启动脚本。</w:t>
      </w:r>
    </w:p>
    <w:p w14:paraId="41A1D620" w14:textId="526F2520" w:rsidR="009F0E68" w:rsidRDefault="009F0E68">
      <w:pPr>
        <w:pStyle w:val="a3"/>
        <w:numPr>
          <w:ilvl w:val="0"/>
          <w:numId w:val="54"/>
        </w:numPr>
        <w:ind w:firstLineChars="0"/>
        <w:rPr>
          <w:rFonts w:hint="eastAsia"/>
        </w:rPr>
      </w:pPr>
      <w:r>
        <w:rPr>
          <w:rFonts w:hint="eastAsia"/>
        </w:rPr>
        <w:t>启动应用后，执行基础功能测试：例如Nginx网站需访问首页及核心业务页面，确保页面加载正常、交互功能无误；ERP系统需验证用户登录、数据查询等操作，确保应用在华为云环境中运行流畅。</w:t>
      </w:r>
    </w:p>
    <w:p w14:paraId="78A07020" w14:textId="0CF01126" w:rsidR="009F0E68" w:rsidRDefault="009F0E68">
      <w:pPr>
        <w:pStyle w:val="a3"/>
        <w:numPr>
          <w:ilvl w:val="0"/>
          <w:numId w:val="52"/>
        </w:numPr>
        <w:ind w:firstLineChars="0"/>
        <w:rPr>
          <w:rFonts w:hint="eastAsia"/>
        </w:rPr>
      </w:pPr>
      <w:r>
        <w:rPr>
          <w:rFonts w:hint="eastAsia"/>
        </w:rPr>
        <w:t>IP地址相关配置修改</w:t>
      </w:r>
    </w:p>
    <w:p w14:paraId="3DFA680C" w14:textId="2B65176F" w:rsidR="009F0E68" w:rsidRDefault="009F0E68">
      <w:pPr>
        <w:pStyle w:val="a3"/>
        <w:numPr>
          <w:ilvl w:val="0"/>
          <w:numId w:val="55"/>
        </w:numPr>
        <w:ind w:firstLineChars="0"/>
        <w:rPr>
          <w:rFonts w:hint="eastAsia"/>
        </w:rPr>
      </w:pPr>
      <w:r>
        <w:rPr>
          <w:rFonts w:hint="eastAsia"/>
        </w:rPr>
        <w:t>业务域名与公网IP配置：若业务涉及IP地址直接访问（如通过IP访问数据库），或使用域名解析服务，需根据华为云分配的公网IP地址修改相关配置：</w:t>
      </w:r>
    </w:p>
    <w:p w14:paraId="4A7667E7" w14:textId="532EFC4E" w:rsidR="009F0E68" w:rsidRDefault="009F0E68">
      <w:pPr>
        <w:pStyle w:val="a3"/>
        <w:numPr>
          <w:ilvl w:val="1"/>
          <w:numId w:val="55"/>
        </w:numPr>
        <w:ind w:firstLineChars="0"/>
        <w:rPr>
          <w:rFonts w:hint="eastAsia"/>
        </w:rPr>
      </w:pPr>
      <w:r>
        <w:rPr>
          <w:rFonts w:hint="eastAsia"/>
        </w:rPr>
        <w:t>登录域名服务提供商的管理平台，找到源服务器绑定的域名，将域名解析记录中的IP地址修改为迁移后云主机的公网IP，记录类型选择“A记录”，TTL值建议设置为10分钟以便快速生效。</w:t>
      </w:r>
    </w:p>
    <w:p w14:paraId="3B7CF710" w14:textId="42ED2B75" w:rsidR="009F0E68" w:rsidRDefault="009F0E68">
      <w:pPr>
        <w:pStyle w:val="a3"/>
        <w:numPr>
          <w:ilvl w:val="1"/>
          <w:numId w:val="55"/>
        </w:numPr>
        <w:ind w:firstLineChars="0"/>
        <w:rPr>
          <w:rFonts w:hint="eastAsia"/>
        </w:rPr>
      </w:pPr>
      <w:r>
        <w:rPr>
          <w:rFonts w:hint="eastAsia"/>
        </w:rPr>
        <w:t>若业务系统备案信息中登记的服务器IP与迁移后不符，需通过华为云备案系统提交IP变更申请，按流程完成ICP备案信息修改，避免因备案信息不一致导致业务访问异常。</w:t>
      </w:r>
    </w:p>
    <w:p w14:paraId="441EFB1A" w14:textId="3D3EA6B3" w:rsidR="009F0E68" w:rsidRDefault="009F0E68">
      <w:pPr>
        <w:pStyle w:val="a3"/>
        <w:numPr>
          <w:ilvl w:val="1"/>
          <w:numId w:val="55"/>
        </w:numPr>
        <w:ind w:firstLineChars="0"/>
        <w:rPr>
          <w:rFonts w:hint="eastAsia"/>
        </w:rPr>
      </w:pPr>
      <w:r>
        <w:rPr>
          <w:rFonts w:hint="eastAsia"/>
        </w:rPr>
        <w:lastRenderedPageBreak/>
        <w:t>对于通过公网IP直接访问的业务（如远程桌面、FTP服务），需确保华为云安全组规则已放行相关端口（如22、21），可通过ping命令或远程连接工具测试公网IP的连通性。</w:t>
      </w:r>
    </w:p>
    <w:p w14:paraId="7393E990" w14:textId="65C30D11" w:rsidR="009F0E68" w:rsidRDefault="009F0E68">
      <w:pPr>
        <w:pStyle w:val="a3"/>
        <w:numPr>
          <w:ilvl w:val="0"/>
          <w:numId w:val="55"/>
        </w:numPr>
        <w:ind w:firstLineChars="0"/>
        <w:rPr>
          <w:rFonts w:hint="eastAsia"/>
        </w:rPr>
      </w:pPr>
      <w:r>
        <w:rPr>
          <w:rFonts w:hint="eastAsia"/>
        </w:rPr>
        <w:t>私网IP地址保持与修改策略：根据迁移目标类型的不同，私网IP地址的配置方式如下：</w:t>
      </w:r>
    </w:p>
    <w:p w14:paraId="0C742058" w14:textId="6A794EE4" w:rsidR="009F0E68" w:rsidRDefault="009F0E68">
      <w:pPr>
        <w:pStyle w:val="a3"/>
        <w:numPr>
          <w:ilvl w:val="1"/>
          <w:numId w:val="55"/>
        </w:numPr>
        <w:ind w:firstLineChars="0"/>
        <w:rPr>
          <w:rFonts w:hint="eastAsia"/>
        </w:rPr>
      </w:pPr>
      <w:r>
        <w:rPr>
          <w:rFonts w:hint="eastAsia"/>
        </w:rPr>
        <w:t>目标类型为自定义镜像：通过该镜像创建云主机实例时，可在华为云控制台的网络配置中选择“保持私网IP不变”或“手动指定”：</w:t>
      </w:r>
    </w:p>
    <w:p w14:paraId="5E097A27" w14:textId="17924328" w:rsidR="009F0E68" w:rsidRDefault="009F0E68">
      <w:pPr>
        <w:pStyle w:val="a3"/>
        <w:numPr>
          <w:ilvl w:val="2"/>
          <w:numId w:val="55"/>
        </w:numPr>
        <w:ind w:firstLineChars="0"/>
        <w:rPr>
          <w:rFonts w:hint="eastAsia"/>
        </w:rPr>
      </w:pPr>
      <w:r>
        <w:rPr>
          <w:rFonts w:hint="eastAsia"/>
        </w:rPr>
        <w:t>若选择“保持不变”，需确保华为云专有网络（VPC）的IP地址段与源服务器所在网络一致，且无IP冲突。操作时在创建实例的“网络配置”步骤中，勾选“指定私网IP”并输入源服务器的私网IP，系统会自动校验IP有效性。</w:t>
      </w:r>
    </w:p>
    <w:p w14:paraId="2CA00E20" w14:textId="1BD4CC2A" w:rsidR="009F0E68" w:rsidRDefault="009F0E68">
      <w:pPr>
        <w:pStyle w:val="a3"/>
        <w:numPr>
          <w:ilvl w:val="2"/>
          <w:numId w:val="55"/>
        </w:numPr>
        <w:ind w:firstLineChars="0"/>
        <w:rPr>
          <w:rFonts w:hint="eastAsia"/>
        </w:rPr>
      </w:pPr>
      <w:r>
        <w:rPr>
          <w:rFonts w:hint="eastAsia"/>
        </w:rPr>
        <w:t>若选择“手动指定”，需根据VPC的子网掩码和网关设置新的私网IP，确保与同一VPC内的其他资源网络互通。参考华为云文档“云服务器配置私网IP”的步骤，在实例创建完成后，也可通过“网络和安全&gt;虚拟私有云”页面修改实例的私网IP。</w:t>
      </w:r>
    </w:p>
    <w:p w14:paraId="134AA0F1" w14:textId="4A883BB8" w:rsidR="009F0E68" w:rsidRDefault="009F0E68">
      <w:pPr>
        <w:pStyle w:val="a3"/>
        <w:numPr>
          <w:ilvl w:val="1"/>
          <w:numId w:val="55"/>
        </w:numPr>
        <w:ind w:firstLineChars="0"/>
        <w:rPr>
          <w:rFonts w:hint="eastAsia"/>
        </w:rPr>
      </w:pPr>
      <w:r>
        <w:rPr>
          <w:rFonts w:hint="eastAsia"/>
        </w:rPr>
        <w:t>目标类型为云服务器实例：迁移过程中若已配置“IPv4私网地址保持不变”，实例创建后会自动采用源服务器的私网IP；若需修改，可在实例运行状态下通过以下步骤操作：</w:t>
      </w:r>
    </w:p>
    <w:p w14:paraId="310D03AF" w14:textId="150AA9C5" w:rsidR="009F0E68" w:rsidRDefault="009F0E68">
      <w:pPr>
        <w:pStyle w:val="a3"/>
        <w:numPr>
          <w:ilvl w:val="2"/>
          <w:numId w:val="55"/>
        </w:numPr>
        <w:ind w:firstLineChars="0"/>
        <w:rPr>
          <w:rFonts w:hint="eastAsia"/>
        </w:rPr>
      </w:pPr>
      <w:r>
        <w:rPr>
          <w:rFonts w:hint="eastAsia"/>
        </w:rPr>
        <w:t>登录华为云控制台，进入目标实例的“网络”标签页。</w:t>
      </w:r>
    </w:p>
    <w:p w14:paraId="5B532B03" w14:textId="116CE4BC" w:rsidR="009F0E68" w:rsidRDefault="009F0E68">
      <w:pPr>
        <w:pStyle w:val="a3"/>
        <w:numPr>
          <w:ilvl w:val="2"/>
          <w:numId w:val="55"/>
        </w:numPr>
        <w:ind w:firstLineChars="0"/>
        <w:rPr>
          <w:rFonts w:hint="eastAsia"/>
        </w:rPr>
      </w:pPr>
      <w:r>
        <w:rPr>
          <w:rFonts w:hint="eastAsia"/>
        </w:rPr>
        <w:t>点击“更改私网IP”按钮，在弹出窗口中选择新的私网IP（需在VPC网段内）。</w:t>
      </w:r>
    </w:p>
    <w:p w14:paraId="20A5F526" w14:textId="389A487B" w:rsidR="009F0E68" w:rsidRDefault="009F0E68">
      <w:pPr>
        <w:pStyle w:val="a3"/>
        <w:numPr>
          <w:ilvl w:val="2"/>
          <w:numId w:val="55"/>
        </w:numPr>
        <w:ind w:firstLineChars="0"/>
        <w:rPr>
          <w:rFonts w:hint="eastAsia"/>
        </w:rPr>
      </w:pPr>
      <w:r>
        <w:rPr>
          <w:rFonts w:hint="eastAsia"/>
        </w:rPr>
        <w:t>确认修改后，系统会重启实例使IP生效，重启前需确保业务已暂停或做好容灾准备。</w:t>
      </w:r>
    </w:p>
    <w:p w14:paraId="19BA6B3A" w14:textId="1EB01069" w:rsidR="009F0E68" w:rsidRDefault="009F0E68">
      <w:pPr>
        <w:pStyle w:val="a3"/>
        <w:numPr>
          <w:ilvl w:val="1"/>
          <w:numId w:val="55"/>
        </w:numPr>
        <w:ind w:firstLineChars="0"/>
        <w:rPr>
          <w:rFonts w:hint="eastAsia"/>
        </w:rPr>
      </w:pPr>
      <w:r>
        <w:rPr>
          <w:rFonts w:hint="eastAsia"/>
        </w:rPr>
        <w:t>无论哪种目标类型，修改私网IP后均需在CentOS系统内验证网络配置：打开“网络和共享中心”，查看IP地址、子网掩码、默认网关是否正确，通过ping命令测试与同一VPC内其他资源的连通性，确保业务系统的内网通信正常。</w:t>
      </w:r>
    </w:p>
    <w:p w14:paraId="1FB0614B" w14:textId="312AA67F" w:rsidR="009F0E68" w:rsidRDefault="009F0E68">
      <w:pPr>
        <w:pStyle w:val="a3"/>
        <w:numPr>
          <w:ilvl w:val="0"/>
          <w:numId w:val="52"/>
        </w:numPr>
        <w:ind w:firstLineChars="0"/>
        <w:rPr>
          <w:rFonts w:hint="eastAsia"/>
        </w:rPr>
      </w:pPr>
      <w:r>
        <w:rPr>
          <w:rFonts w:hint="eastAsia"/>
        </w:rPr>
        <w:t>综合验证与优化：完成上述操作后，需进行至少24小时的业务稳定性观察，记录以下指标：</w:t>
      </w:r>
    </w:p>
    <w:p w14:paraId="4C915030" w14:textId="2FE98ACD" w:rsidR="009F0E68" w:rsidRDefault="009F0E68">
      <w:pPr>
        <w:pStyle w:val="a3"/>
        <w:numPr>
          <w:ilvl w:val="0"/>
          <w:numId w:val="56"/>
        </w:numPr>
        <w:ind w:firstLineChars="0"/>
        <w:rPr>
          <w:rFonts w:hint="eastAsia"/>
        </w:rPr>
      </w:pPr>
      <w:r>
        <w:rPr>
          <w:rFonts w:hint="eastAsia"/>
        </w:rPr>
        <w:t>系统资源利用率：通过top或</w:t>
      </w:r>
      <w:proofErr w:type="spellStart"/>
      <w:r>
        <w:rPr>
          <w:rFonts w:hint="eastAsia"/>
        </w:rPr>
        <w:t>htop</w:t>
      </w:r>
      <w:proofErr w:type="spellEnd"/>
      <w:r>
        <w:rPr>
          <w:rFonts w:hint="eastAsia"/>
        </w:rPr>
        <w:t>命令监控CPU、内存、磁盘IO的使用率，确保在业务高峰期资源占用不超过70%-80%，避免因资源不足导致性能瓶颈。</w:t>
      </w:r>
    </w:p>
    <w:p w14:paraId="7DBE2863" w14:textId="705C984B" w:rsidR="009F0E68" w:rsidRDefault="009F0E68">
      <w:pPr>
        <w:pStyle w:val="a3"/>
        <w:numPr>
          <w:ilvl w:val="0"/>
          <w:numId w:val="56"/>
        </w:numPr>
        <w:ind w:firstLineChars="0"/>
        <w:rPr>
          <w:rFonts w:hint="eastAsia"/>
        </w:rPr>
      </w:pPr>
      <w:r>
        <w:rPr>
          <w:rFonts w:hint="eastAsia"/>
        </w:rPr>
        <w:t>业务交易成功率：统计核心业务的交易次数与失败率，如电商平台的订单处理成功率应保持在99.9%以上。</w:t>
      </w:r>
    </w:p>
    <w:p w14:paraId="03204DD6" w14:textId="5BBA079A" w:rsidR="009F0E68" w:rsidRDefault="009F0E68">
      <w:pPr>
        <w:pStyle w:val="a3"/>
        <w:numPr>
          <w:ilvl w:val="0"/>
          <w:numId w:val="56"/>
        </w:numPr>
        <w:ind w:firstLineChars="0"/>
        <w:rPr>
          <w:rFonts w:hint="eastAsia"/>
        </w:rPr>
      </w:pPr>
      <w:r>
        <w:rPr>
          <w:rFonts w:hint="eastAsia"/>
        </w:rPr>
        <w:t>网络延迟：使用ping和</w:t>
      </w:r>
      <w:proofErr w:type="spellStart"/>
      <w:r>
        <w:rPr>
          <w:rFonts w:hint="eastAsia"/>
        </w:rPr>
        <w:t>tracert</w:t>
      </w:r>
      <w:proofErr w:type="spellEnd"/>
      <w:r>
        <w:rPr>
          <w:rFonts w:hint="eastAsia"/>
        </w:rPr>
        <w:t>命令测试内外网延迟，公网访问延迟应控制在50ms以内，内网延迟控制在10ms以内。</w:t>
      </w:r>
    </w:p>
    <w:p w14:paraId="798DC768" w14:textId="660A35DD" w:rsidR="009F0E68" w:rsidRPr="009F0E68" w:rsidRDefault="009F0E68">
      <w:pPr>
        <w:pStyle w:val="a3"/>
        <w:numPr>
          <w:ilvl w:val="0"/>
          <w:numId w:val="56"/>
        </w:numPr>
        <w:ind w:firstLineChars="0"/>
        <w:rPr>
          <w:rFonts w:hint="eastAsia"/>
        </w:rPr>
      </w:pPr>
      <w:r>
        <w:rPr>
          <w:rFonts w:hint="eastAsia"/>
        </w:rPr>
        <w:t>若发现异常（如数据库连接超时、网站加载缓慢），可参考华为云监控服务（CES）的告警信息，排查网络配置、安全组规则或应用日志，及时调整配置直至业务运行稳定。通过完整的业务验证与配置调整，确保CentOS云主机在华为云环境中实现平滑过渡，满足企业业务连续性与性能需求。</w:t>
      </w:r>
    </w:p>
    <w:p w14:paraId="5340E509" w14:textId="048FCF25" w:rsidR="00007C57" w:rsidRDefault="00007C57" w:rsidP="00007C57">
      <w:pPr>
        <w:pStyle w:val="4"/>
        <w:rPr>
          <w:rFonts w:hint="eastAsia"/>
        </w:rPr>
      </w:pPr>
      <w:r>
        <w:rPr>
          <w:rFonts w:hint="eastAsia"/>
        </w:rPr>
        <w:lastRenderedPageBreak/>
        <w:t>云主机迁移方案</w:t>
      </w:r>
      <w:r w:rsidRPr="00E31E6F">
        <w:t>（操作系统：suse15SP6）</w:t>
      </w:r>
    </w:p>
    <w:p w14:paraId="55A78E3A" w14:textId="77777777" w:rsidR="009F1367" w:rsidRPr="00007C57" w:rsidRDefault="009F1367" w:rsidP="009F1367">
      <w:pPr>
        <w:pStyle w:val="5"/>
        <w:rPr>
          <w:rFonts w:hint="eastAsia"/>
        </w:rPr>
      </w:pPr>
      <w:r w:rsidRPr="00007C57">
        <w:t>迁移准备工作</w:t>
      </w:r>
    </w:p>
    <w:p w14:paraId="25E49EB4" w14:textId="77777777" w:rsidR="009F1367" w:rsidRDefault="009F1367" w:rsidP="009F1367">
      <w:pPr>
        <w:pStyle w:val="6"/>
        <w:rPr>
          <w:rFonts w:hint="eastAsia"/>
        </w:rPr>
      </w:pPr>
      <w:r w:rsidRPr="00007C57">
        <w:t>数据备份</w:t>
      </w:r>
    </w:p>
    <w:p w14:paraId="68786717" w14:textId="6AB41951" w:rsidR="00114B06" w:rsidRDefault="00114B06" w:rsidP="00114B06">
      <w:pPr>
        <w:ind w:firstLine="420"/>
        <w:rPr>
          <w:rFonts w:hint="eastAsia"/>
        </w:rPr>
      </w:pPr>
      <w:r>
        <w:rPr>
          <w:rFonts w:hint="eastAsia"/>
        </w:rPr>
        <w:t>为确保</w:t>
      </w:r>
      <w:r>
        <w:t>SUSE15SP6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6E17BC10" w14:textId="730C2A06" w:rsidR="00114B06" w:rsidRDefault="00114B06" w:rsidP="00114B06">
      <w:pPr>
        <w:ind w:firstLine="420"/>
        <w:rPr>
          <w:rFonts w:hint="eastAsia"/>
        </w:rPr>
      </w:pPr>
      <w:r>
        <w:rPr>
          <w:rFonts w:hint="eastAsia"/>
        </w:rPr>
        <w:t>首先，针对系统盘，建议采用镜像备份方式，通过</w:t>
      </w:r>
      <w:r>
        <w:t>SUSE内置的“</w:t>
      </w:r>
      <w:proofErr w:type="spellStart"/>
      <w:r>
        <w:t>YaST</w:t>
      </w:r>
      <w:proofErr w:type="spellEnd"/>
      <w:r>
        <w:t>系统备份”工具或第三方备份软件（如</w:t>
      </w:r>
      <w:proofErr w:type="spellStart"/>
      <w:r>
        <w:t>Bacula</w:t>
      </w:r>
      <w:proofErr w:type="spellEnd"/>
      <w:r>
        <w:t>、Amanda等）创建完整的系统镜像，镜像需包含操作系统内核、驱动程序、已安装补丁及系统配置，确保迁移后可通过镜像快速恢复系统环境。对于数据盘，需根据数据类型制定差异化备份策略：若为数据库数据（如PostgreSQL数据库），应利用数据库自带的备份功能执行全量备份与增量备份，确保数据一致性；若为文件数据（如业务文档、日志文件），可通过拷贝或压缩方式存储至专用备份存储设备，或利</w:t>
      </w:r>
      <w:r>
        <w:rPr>
          <w:rFonts w:hint="eastAsia"/>
        </w:rPr>
        <w:t>用华为云提供的对象存储服务（如</w:t>
      </w:r>
      <w:r>
        <w:t>OBS）进行异地存储，避免与镜像、快照或实例存储在同一位置，降低因存储介质故障导致的备份失效风险。</w:t>
      </w:r>
    </w:p>
    <w:p w14:paraId="1F96A26F" w14:textId="77777777" w:rsidR="00114B06" w:rsidRDefault="00114B06" w:rsidP="00114B06">
      <w:pPr>
        <w:ind w:firstLine="420"/>
        <w:rPr>
          <w:rFonts w:hint="eastAsia"/>
        </w:rPr>
      </w:pPr>
      <w:r>
        <w:rPr>
          <w:rFonts w:hint="eastAsia"/>
        </w:rPr>
        <w:t>其次，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同时，备份存储位置需独立于迁移源端与目标端的云主机实例，例如将备份数据存储至华为云的专属备份存储池、本地物理存储设备或其他第三方存储介质，避免因云主机迁移过程中的配置变更、网络异常或实例故障导致备份数据不可用。</w:t>
      </w:r>
    </w:p>
    <w:p w14:paraId="53C6459F" w14:textId="70E23019" w:rsidR="009F1367" w:rsidRPr="00114B06" w:rsidRDefault="00114B06" w:rsidP="00114B06">
      <w:pPr>
        <w:ind w:firstLine="420"/>
        <w:rPr>
          <w:rFonts w:hint="eastAsia"/>
        </w:rPr>
      </w:pPr>
      <w:r>
        <w:rPr>
          <w:rFonts w:hint="eastAsia"/>
        </w:rPr>
        <w:t>此外，对于关键业务系统，建议在迁移前执行增量备份，确保迁移窗口期内的数据变化被实时捕获。例如，若迁移操作安排在夜间进行，可在当天业务结束后执行一次全量备份，随后每小时执行一次增量备份，增量备份数据需及时传输至独立存储设备，最大限度减少数据丢失风险。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5D1B204C" w14:textId="32905291" w:rsidR="009F1367" w:rsidRDefault="009F1367" w:rsidP="009F1367">
      <w:pPr>
        <w:pStyle w:val="6"/>
        <w:rPr>
          <w:rFonts w:hint="eastAsia"/>
        </w:rPr>
      </w:pPr>
      <w:r w:rsidRPr="00007C57">
        <w:t>目标实例资源</w:t>
      </w:r>
      <w:r w:rsidR="006C6F6D" w:rsidRPr="006C6F6D">
        <w:t>招标文件要求</w:t>
      </w:r>
    </w:p>
    <w:p w14:paraId="2AC4AE72" w14:textId="028C0D48" w:rsidR="00114B06" w:rsidRDefault="00114B06" w:rsidP="00114B06">
      <w:pPr>
        <w:ind w:firstLine="420"/>
        <w:rPr>
          <w:rFonts w:hint="eastAsia"/>
        </w:rPr>
      </w:pPr>
      <w:r>
        <w:rPr>
          <w:rFonts w:hint="eastAsia"/>
        </w:rPr>
        <w:t>在迁移准备工作中，目标实例的资源配置需满足数据盘与磁盘容量的特定</w:t>
      </w:r>
      <w:r w:rsidR="006C6F6D" w:rsidRPr="006C6F6D">
        <w:rPr>
          <w:rFonts w:hint="eastAsia"/>
          <w:b/>
        </w:rPr>
        <w:t>招标文件要求</w:t>
      </w:r>
      <w:r>
        <w:rPr>
          <w:rFonts w:hint="eastAsia"/>
        </w:rPr>
        <w:t>，以确保迁移过程的顺利进行及迁移后系统的正常运行。</w:t>
      </w:r>
    </w:p>
    <w:p w14:paraId="566505C8" w14:textId="232BDCC0" w:rsidR="00114B06" w:rsidRDefault="00114B06" w:rsidP="00114B06">
      <w:pPr>
        <w:ind w:firstLine="420"/>
        <w:rPr>
          <w:rFonts w:hint="eastAsia"/>
        </w:rPr>
      </w:pPr>
      <w:r>
        <w:rPr>
          <w:rFonts w:hint="eastAsia"/>
        </w:rPr>
        <w:t>对于数据盘</w:t>
      </w:r>
      <w:r w:rsidR="006C6F6D" w:rsidRPr="006C6F6D">
        <w:rPr>
          <w:rFonts w:hint="eastAsia"/>
          <w:b/>
        </w:rPr>
        <w:t>招标文件要求</w:t>
      </w:r>
      <w:r>
        <w:rPr>
          <w:rFonts w:hint="eastAsia"/>
        </w:rPr>
        <w:t>，目标实例所挂载的数据盘数量必须大于或等于迁移源的数据盘数量。这是因为迁移过程中需要将源端的数据盘数据完整迁移至目标端，若目标实例的数据盘数量不足，将导致部分数据盘无法挂载，进而造成数据丢失或迁移失败。若目标实例当前挂载的数据盘数量不满足</w:t>
      </w:r>
      <w:r w:rsidR="006C6F6D" w:rsidRPr="006C6F6D">
        <w:rPr>
          <w:rFonts w:hint="eastAsia"/>
          <w:b/>
        </w:rPr>
        <w:t>招标文件要求</w:t>
      </w:r>
      <w:r>
        <w:rPr>
          <w:rFonts w:hint="eastAsia"/>
        </w:rPr>
        <w:t>，需通过挂载更多数据盘来解决。具体的挂载数据盘操作可参考华为云官方文档中关于</w:t>
      </w:r>
      <w:r>
        <w:t>“云服务器挂载数据盘”的指导流程，文档中详细说明了在华为云控制台中如何为目标实例添加数据盘，包括选择数据盘类型、设置容量大小、关联云服务器等步骤，确保操作的规范性和可操作性。</w:t>
      </w:r>
    </w:p>
    <w:p w14:paraId="58C3158B" w14:textId="77282921" w:rsidR="00114B06" w:rsidRPr="00114B06" w:rsidRDefault="00114B06" w:rsidP="00114B06">
      <w:pPr>
        <w:ind w:firstLine="420"/>
        <w:rPr>
          <w:rFonts w:hint="eastAsia"/>
        </w:rPr>
      </w:pPr>
      <w:r>
        <w:rPr>
          <w:rFonts w:hint="eastAsia"/>
        </w:rPr>
        <w:lastRenderedPageBreak/>
        <w:t>磁盘容量</w:t>
      </w:r>
      <w:r w:rsidR="006C6F6D" w:rsidRPr="006C6F6D">
        <w:rPr>
          <w:rFonts w:hint="eastAsia"/>
          <w:b/>
        </w:rPr>
        <w:t>招标文件要求</w:t>
      </w:r>
      <w:r>
        <w:rPr>
          <w:rFonts w:hint="eastAsia"/>
        </w:rPr>
        <w:t>方面，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6C6F6D" w:rsidRPr="006C6F6D">
        <w:rPr>
          <w:rFonts w:hint="eastAsia"/>
          <w:b/>
        </w:rPr>
        <w:t>招标文件要求</w:t>
      </w:r>
      <w:r>
        <w:rPr>
          <w:rFonts w:hint="eastAsia"/>
        </w:rPr>
        <w:t>时，需对云盘进行扩容操作。扩容操作可参考华为云官方提供的</w:t>
      </w:r>
      <w:r>
        <w:t>“云硬盘扩容”指南，该指南针对不同类型的云硬盘（如普通IO、高IO、通用型SSD等）提供了详细的扩容步骤，包括在控制台中选择需要扩容的云盘、设置扩容</w:t>
      </w:r>
      <w:r>
        <w:rPr>
          <w:rFonts w:hint="eastAsia"/>
        </w:rPr>
        <w:t>后的容量、执行扩容操作等，同时还说明了扩容前后的注意事项，确保扩容过程中数据的安全性和系统的稳定性。通过严格遵循这些操作参考途径，可有效保障目标实例的资源配置满足迁移</w:t>
      </w:r>
      <w:r w:rsidR="006C6F6D" w:rsidRPr="006C6F6D">
        <w:rPr>
          <w:rFonts w:hint="eastAsia"/>
          <w:b/>
        </w:rPr>
        <w:t>招标文件要求</w:t>
      </w:r>
      <w:r>
        <w:rPr>
          <w:rFonts w:hint="eastAsia"/>
        </w:rPr>
        <w:t>，为云主机的顺利迁移奠定基础。</w:t>
      </w:r>
    </w:p>
    <w:p w14:paraId="5A3A0540" w14:textId="77777777" w:rsidR="009F1367" w:rsidRPr="00C6550E" w:rsidRDefault="009F1367" w:rsidP="009F1367">
      <w:pPr>
        <w:pStyle w:val="5"/>
        <w:rPr>
          <w:rFonts w:hint="eastAsia"/>
        </w:rPr>
      </w:pPr>
      <w:r w:rsidRPr="00C6550E">
        <w:t>迁移操作流程</w:t>
      </w:r>
    </w:p>
    <w:p w14:paraId="7EE84B60" w14:textId="2D05AEA0" w:rsidR="009F1367" w:rsidRDefault="009F1367" w:rsidP="009F1367">
      <w:pPr>
        <w:pStyle w:val="6"/>
        <w:rPr>
          <w:rFonts w:hint="eastAsia"/>
        </w:rPr>
      </w:pPr>
      <w:r w:rsidRPr="00C6550E">
        <w:t>导入迁移源</w:t>
      </w:r>
    </w:p>
    <w:p w14:paraId="4E08F549" w14:textId="67D65329" w:rsidR="00114B06" w:rsidRDefault="00114B06" w:rsidP="00114B06">
      <w:pPr>
        <w:ind w:firstLine="420"/>
        <w:rPr>
          <w:rFonts w:hint="eastAsia"/>
        </w:rPr>
      </w:pPr>
      <w:r w:rsidRPr="00114B06">
        <w:rPr>
          <w:rFonts w:hint="eastAsia"/>
        </w:rPr>
        <w:t>在迁移操作流程中，导入迁移源是实现从</w:t>
      </w:r>
      <w:r w:rsidRPr="00114B06">
        <w:t>IDC服务器、虚拟机或其他云平台云主机向华为云迁移的基础步骤，需明确迁移源定义并遵循标准化的导入方式及操作步骤。</w:t>
      </w:r>
    </w:p>
    <w:p w14:paraId="4B89B750" w14:textId="6A8BAC2D" w:rsidR="00114B06" w:rsidRPr="00114B06" w:rsidRDefault="00114B06" w:rsidP="00114B06">
      <w:pPr>
        <w:pStyle w:val="7"/>
        <w:rPr>
          <w:rFonts w:hint="eastAsia"/>
        </w:rPr>
      </w:pPr>
      <w:r w:rsidRPr="00114B06">
        <w:t>迁移源定义</w:t>
      </w:r>
    </w:p>
    <w:p w14:paraId="7D4A46CF" w14:textId="501CF329" w:rsidR="00114B06" w:rsidRDefault="00114B06" w:rsidP="00114B06">
      <w:pPr>
        <w:shd w:val="clear" w:color="auto" w:fill="F9FAFB"/>
        <w:ind w:firstLine="420"/>
        <w:rPr>
          <w:rFonts w:ascii="Segoe UI" w:hAnsi="Segoe UI" w:cs="Segoe UI"/>
        </w:rPr>
      </w:pPr>
      <w:r>
        <w:rPr>
          <w:rFonts w:ascii="Segoe UI" w:hAnsi="Segoe UI" w:cs="Segoe UI"/>
        </w:rPr>
        <w:t>迁移源是指企业准备迁移至华为云的各类计算资源，包括自建</w:t>
      </w:r>
      <w:r>
        <w:rPr>
          <w:rFonts w:ascii="Segoe UI" w:hAnsi="Segoe UI" w:cs="Segoe UI"/>
        </w:rPr>
        <w:t>IDC</w:t>
      </w:r>
      <w:r>
        <w:rPr>
          <w:rFonts w:ascii="Segoe UI" w:hAnsi="Segoe UI" w:cs="Segoe UI"/>
        </w:rPr>
        <w:t>机房中的物理服务器、虚拟化环境中的虚拟机（如</w:t>
      </w:r>
      <w:r>
        <w:rPr>
          <w:rFonts w:ascii="Segoe UI" w:hAnsi="Segoe UI" w:cs="Segoe UI"/>
        </w:rPr>
        <w:t>VMware</w:t>
      </w:r>
      <w:r>
        <w:rPr>
          <w:rFonts w:ascii="Segoe UI" w:hAnsi="Segoe UI" w:cs="Segoe UI"/>
        </w:rPr>
        <w:t>、</w:t>
      </w:r>
      <w:r>
        <w:rPr>
          <w:rFonts w:ascii="Segoe UI" w:hAnsi="Segoe UI" w:cs="Segoe UI"/>
        </w:rPr>
        <w:t>KVM</w:t>
      </w:r>
      <w:r>
        <w:rPr>
          <w:rFonts w:ascii="Segoe UI" w:hAnsi="Segoe UI" w:cs="Segoe UI"/>
        </w:rPr>
        <w:t>虚拟机），以及运行在阿里云、腾讯云等其他云平台上的云主机等。这些迁移源中通常部署了</w:t>
      </w:r>
      <w:r>
        <w:rPr>
          <w:rFonts w:ascii="Segoe UI" w:hAnsi="Segoe UI" w:cs="Segoe UI"/>
        </w:rPr>
        <w:t>SUSE15SP6</w:t>
      </w:r>
      <w:r>
        <w:rPr>
          <w:rFonts w:ascii="Segoe UI" w:hAnsi="Segoe UI" w:cs="Segoe UI"/>
        </w:rPr>
        <w:t>操作系统及企业核心业务应用，需要通过华为云迁移方案将其完整迁移至华为云环境，以实现资源弹性扩展与运维效率提升。</w:t>
      </w:r>
    </w:p>
    <w:p w14:paraId="429EE864" w14:textId="2DE2CE36" w:rsidR="00114B06" w:rsidRDefault="00114B06" w:rsidP="00114B06">
      <w:pPr>
        <w:pStyle w:val="7"/>
        <w:rPr>
          <w:rFonts w:hint="eastAsia"/>
        </w:rPr>
      </w:pPr>
      <w:r w:rsidRPr="00114B06">
        <w:rPr>
          <w:rFonts w:hint="eastAsia"/>
        </w:rPr>
        <w:t>华为云支持的导入迁移源方式及控制台操作步骤</w:t>
      </w:r>
    </w:p>
    <w:p w14:paraId="0D1CEB3F" w14:textId="77777777" w:rsidR="00114B06" w:rsidRPr="00114B06" w:rsidRDefault="00114B06" w:rsidP="00114B06">
      <w:pPr>
        <w:shd w:val="clear" w:color="auto" w:fill="F9FAFB"/>
        <w:ind w:firstLine="420"/>
        <w:rPr>
          <w:rFonts w:ascii="Segoe UI" w:hAnsi="Segoe UI" w:cs="Segoe UI"/>
        </w:rPr>
      </w:pPr>
      <w:r w:rsidRPr="00114B06">
        <w:rPr>
          <w:rFonts w:ascii="Segoe UI" w:hAnsi="Segoe UI" w:cs="Segoe UI" w:hint="eastAsia"/>
        </w:rPr>
        <w:t>华为云支持通过控制台图形化界面导入迁移源，具体步骤如下：</w:t>
      </w:r>
    </w:p>
    <w:p w14:paraId="29797D5F" w14:textId="765D9C85" w:rsidR="00114B06" w:rsidRPr="00114B06" w:rsidRDefault="00114B06" w:rsidP="00114B06">
      <w:pPr>
        <w:shd w:val="clear" w:color="auto" w:fill="F9FAFB"/>
        <w:ind w:firstLine="420"/>
        <w:rPr>
          <w:rFonts w:ascii="Segoe UI" w:hAnsi="Segoe UI" w:cs="Segoe UI"/>
        </w:rPr>
      </w:pPr>
      <w:r w:rsidRPr="00114B06">
        <w:rPr>
          <w:rFonts w:ascii="Segoe UI" w:hAnsi="Segoe UI" w:cs="Segoe UI" w:hint="eastAsia"/>
        </w:rPr>
        <w:t>首先，登录华为云管理控制台，在搜索栏输入</w:t>
      </w:r>
      <w:r w:rsidRPr="00114B06">
        <w:rPr>
          <w:rFonts w:ascii="Segoe UI" w:hAnsi="Segoe UI" w:cs="Segoe UI"/>
        </w:rPr>
        <w:t>“</w:t>
      </w:r>
      <w:r w:rsidRPr="00114B06">
        <w:rPr>
          <w:rFonts w:ascii="Segoe UI" w:hAnsi="Segoe UI" w:cs="Segoe UI"/>
        </w:rPr>
        <w:t>迁移</w:t>
      </w:r>
      <w:r w:rsidRPr="00114B06">
        <w:rPr>
          <w:rFonts w:ascii="Segoe UI" w:hAnsi="Segoe UI" w:cs="Segoe UI"/>
        </w:rPr>
        <w:t>”</w:t>
      </w:r>
      <w:r w:rsidRPr="00114B06">
        <w:rPr>
          <w:rFonts w:ascii="Segoe UI" w:hAnsi="Segoe UI" w:cs="Segoe UI"/>
        </w:rPr>
        <w:t>并进入</w:t>
      </w:r>
      <w:r w:rsidRPr="00114B06">
        <w:rPr>
          <w:rFonts w:ascii="Segoe UI" w:hAnsi="Segoe UI" w:cs="Segoe UI"/>
        </w:rPr>
        <w:t>“</w:t>
      </w:r>
      <w:r w:rsidRPr="00114B06">
        <w:rPr>
          <w:rFonts w:ascii="Segoe UI" w:hAnsi="Segoe UI" w:cs="Segoe UI"/>
        </w:rPr>
        <w:t>应用迁移服务</w:t>
      </w:r>
      <w:r w:rsidRPr="00114B06">
        <w:rPr>
          <w:rFonts w:ascii="Segoe UI" w:hAnsi="Segoe UI" w:cs="Segoe UI"/>
        </w:rPr>
        <w:t>”</w:t>
      </w:r>
      <w:r w:rsidRPr="00114B06">
        <w:rPr>
          <w:rFonts w:ascii="Segoe UI" w:hAnsi="Segoe UI" w:cs="Segoe UI"/>
        </w:rPr>
        <w:t>页面。在迁移源管理模块中，点击</w:t>
      </w:r>
      <w:r w:rsidRPr="00114B06">
        <w:rPr>
          <w:rFonts w:ascii="Segoe UI" w:hAnsi="Segoe UI" w:cs="Segoe UI"/>
        </w:rPr>
        <w:t>“</w:t>
      </w:r>
      <w:r w:rsidRPr="00114B06">
        <w:rPr>
          <w:rFonts w:ascii="Segoe UI" w:hAnsi="Segoe UI" w:cs="Segoe UI"/>
        </w:rPr>
        <w:t>导入迁移源</w:t>
      </w:r>
      <w:r w:rsidRPr="00114B06">
        <w:rPr>
          <w:rFonts w:ascii="Segoe UI" w:hAnsi="Segoe UI" w:cs="Segoe UI"/>
        </w:rPr>
        <w:t>”</w:t>
      </w:r>
      <w:r w:rsidRPr="00114B06">
        <w:rPr>
          <w:rFonts w:ascii="Segoe UI" w:hAnsi="Segoe UI" w:cs="Segoe UI"/>
        </w:rPr>
        <w:t>按钮，进入导入配置界面。此时需逐项配置参数：选择合适的工作组（若无可新建），根据迁移源实际类型（如</w:t>
      </w:r>
      <w:r w:rsidRPr="00114B06">
        <w:rPr>
          <w:rFonts w:ascii="Segoe UI" w:hAnsi="Segoe UI" w:cs="Segoe UI"/>
        </w:rPr>
        <w:t>IDC</w:t>
      </w:r>
      <w:r w:rsidRPr="00114B06">
        <w:rPr>
          <w:rFonts w:ascii="Segoe UI" w:hAnsi="Segoe UI" w:cs="Segoe UI"/>
        </w:rPr>
        <w:t>物理服务器、其他云平台虚拟机等）选择</w:t>
      </w:r>
      <w:r w:rsidRPr="00114B06">
        <w:rPr>
          <w:rFonts w:ascii="Segoe UI" w:hAnsi="Segoe UI" w:cs="Segoe UI"/>
        </w:rPr>
        <w:t>“</w:t>
      </w:r>
      <w:r w:rsidRPr="00114B06">
        <w:rPr>
          <w:rFonts w:ascii="Segoe UI" w:hAnsi="Segoe UI" w:cs="Segoe UI"/>
        </w:rPr>
        <w:t>迁移源类型</w:t>
      </w:r>
      <w:r w:rsidRPr="00114B06">
        <w:rPr>
          <w:rFonts w:ascii="Segoe UI" w:hAnsi="Segoe UI" w:cs="Segoe UI"/>
        </w:rPr>
        <w:t>”</w:t>
      </w:r>
      <w:r w:rsidRPr="00114B06">
        <w:rPr>
          <w:rFonts w:ascii="Segoe UI" w:hAnsi="Segoe UI" w:cs="Segoe UI"/>
        </w:rPr>
        <w:t>，导入方式默认选择</w:t>
      </w:r>
      <w:r w:rsidRPr="00114B06">
        <w:rPr>
          <w:rFonts w:ascii="Segoe UI" w:hAnsi="Segoe UI" w:cs="Segoe UI"/>
        </w:rPr>
        <w:t>“</w:t>
      </w:r>
      <w:r w:rsidRPr="00114B06">
        <w:rPr>
          <w:rFonts w:ascii="Segoe UI" w:hAnsi="Segoe UI" w:cs="Segoe UI"/>
        </w:rPr>
        <w:t>自动发现</w:t>
      </w:r>
      <w:r w:rsidRPr="00114B06">
        <w:rPr>
          <w:rFonts w:ascii="Segoe UI" w:hAnsi="Segoe UI" w:cs="Segoe UI"/>
        </w:rPr>
        <w:t>”</w:t>
      </w:r>
      <w:r w:rsidRPr="00114B06">
        <w:rPr>
          <w:rFonts w:ascii="Segoe UI" w:hAnsi="Segoe UI" w:cs="Segoe UI"/>
        </w:rPr>
        <w:t>或</w:t>
      </w:r>
      <w:r w:rsidRPr="00114B06">
        <w:rPr>
          <w:rFonts w:ascii="Segoe UI" w:hAnsi="Segoe UI" w:cs="Segoe UI"/>
        </w:rPr>
        <w:t>“</w:t>
      </w:r>
      <w:r w:rsidRPr="00114B06">
        <w:rPr>
          <w:rFonts w:ascii="Segoe UI" w:hAnsi="Segoe UI" w:cs="Segoe UI"/>
        </w:rPr>
        <w:t>手动录入</w:t>
      </w:r>
      <w:r w:rsidRPr="00114B06">
        <w:rPr>
          <w:rFonts w:ascii="Segoe UI" w:hAnsi="Segoe UI" w:cs="Segoe UI"/>
        </w:rPr>
        <w:t>”</w:t>
      </w:r>
      <w:r w:rsidRPr="00114B06">
        <w:rPr>
          <w:rFonts w:ascii="Segoe UI" w:hAnsi="Segoe UI" w:cs="Segoe UI"/>
        </w:rPr>
        <w:t>，根据企业迁移需求设置激活数额度（即允许同时导入的迁移源数量），以及有效期（通常建议设置为</w:t>
      </w:r>
      <w:r w:rsidRPr="00114B06">
        <w:rPr>
          <w:rFonts w:ascii="Segoe UI" w:hAnsi="Segoe UI" w:cs="Segoe UI"/>
        </w:rPr>
        <w:t>30</w:t>
      </w:r>
      <w:r w:rsidRPr="00114B06">
        <w:rPr>
          <w:rFonts w:ascii="Segoe UI" w:hAnsi="Segoe UI" w:cs="Segoe UI"/>
        </w:rPr>
        <w:t>天，确保迁移操作有充足时间窗口）。配置完成后，点击</w:t>
      </w:r>
      <w:r w:rsidRPr="00114B06">
        <w:rPr>
          <w:rFonts w:ascii="Segoe UI" w:hAnsi="Segoe UI" w:cs="Segoe UI"/>
        </w:rPr>
        <w:t>“</w:t>
      </w:r>
      <w:r w:rsidRPr="00114B06">
        <w:rPr>
          <w:rFonts w:ascii="Segoe UI" w:hAnsi="Segoe UI" w:cs="Segoe UI"/>
        </w:rPr>
        <w:t>生成激活码</w:t>
      </w:r>
      <w:r w:rsidRPr="00114B06">
        <w:rPr>
          <w:rFonts w:ascii="Segoe UI" w:hAnsi="Segoe UI" w:cs="Segoe UI"/>
        </w:rPr>
        <w:t>”</w:t>
      </w:r>
      <w:r w:rsidRPr="00114B06">
        <w:rPr>
          <w:rFonts w:ascii="Segoe UI" w:hAnsi="Segoe UI" w:cs="Segoe UI"/>
        </w:rPr>
        <w:t>按钮，系统</w:t>
      </w:r>
      <w:r w:rsidRPr="00114B06">
        <w:rPr>
          <w:rFonts w:ascii="Segoe UI" w:hAnsi="Segoe UI" w:cs="Segoe UI" w:hint="eastAsia"/>
        </w:rPr>
        <w:t>将自动生成包含激活码的命令行语句，点击</w:t>
      </w:r>
      <w:r w:rsidRPr="00114B06">
        <w:rPr>
          <w:rFonts w:ascii="Segoe UI" w:hAnsi="Segoe UI" w:cs="Segoe UI"/>
        </w:rPr>
        <w:t>“</w:t>
      </w:r>
      <w:r w:rsidRPr="00114B06">
        <w:rPr>
          <w:rFonts w:ascii="Segoe UI" w:hAnsi="Segoe UI" w:cs="Segoe UI"/>
        </w:rPr>
        <w:t>复制命令</w:t>
      </w:r>
      <w:r w:rsidRPr="00114B06">
        <w:rPr>
          <w:rFonts w:ascii="Segoe UI" w:hAnsi="Segoe UI" w:cs="Segoe UI"/>
        </w:rPr>
        <w:t>”</w:t>
      </w:r>
      <w:r w:rsidRPr="00114B06">
        <w:rPr>
          <w:rFonts w:ascii="Segoe UI" w:hAnsi="Segoe UI" w:cs="Segoe UI"/>
        </w:rPr>
        <w:t>按钮保存该命令，用于后续在源服务器执行导入操作。</w:t>
      </w:r>
    </w:p>
    <w:p w14:paraId="34CB62CE" w14:textId="77777777" w:rsidR="00114B06" w:rsidRPr="006B7F75" w:rsidRDefault="00114B06">
      <w:pPr>
        <w:pStyle w:val="a3"/>
        <w:numPr>
          <w:ilvl w:val="0"/>
          <w:numId w:val="58"/>
        </w:numPr>
        <w:shd w:val="clear" w:color="auto" w:fill="F9FAFB"/>
        <w:ind w:firstLineChars="0"/>
        <w:rPr>
          <w:rFonts w:ascii="Segoe UI" w:hAnsi="Segoe UI" w:cs="Segoe UI"/>
        </w:rPr>
      </w:pPr>
      <w:r w:rsidRPr="006B7F75">
        <w:rPr>
          <w:rFonts w:ascii="Segoe UI" w:hAnsi="Segoe UI" w:cs="Segoe UI" w:hint="eastAsia"/>
        </w:rPr>
        <w:t>在源服务器执行导入操作</w:t>
      </w:r>
    </w:p>
    <w:p w14:paraId="799A42A3" w14:textId="32329E34" w:rsidR="00114B06" w:rsidRDefault="00114B06" w:rsidP="00114B06">
      <w:pPr>
        <w:shd w:val="clear" w:color="auto" w:fill="F9FAFB"/>
        <w:ind w:firstLine="420"/>
        <w:rPr>
          <w:rFonts w:ascii="Segoe UI" w:hAnsi="Segoe UI" w:cs="Segoe UI"/>
        </w:rPr>
      </w:pPr>
      <w:r w:rsidRPr="00114B06">
        <w:rPr>
          <w:rFonts w:ascii="Segoe UI" w:hAnsi="Segoe UI" w:cs="Segoe UI" w:hint="eastAsia"/>
        </w:rPr>
        <w:t>通过</w:t>
      </w:r>
      <w:r w:rsidRPr="00114B06">
        <w:rPr>
          <w:rFonts w:ascii="Segoe UI" w:hAnsi="Segoe UI" w:cs="Segoe UI"/>
        </w:rPr>
        <w:t>SSH</w:t>
      </w:r>
      <w:r w:rsidRPr="00114B06">
        <w:rPr>
          <w:rFonts w:ascii="Segoe UI" w:hAnsi="Segoe UI" w:cs="Segoe UI"/>
        </w:rPr>
        <w:t>方式登录</w:t>
      </w:r>
      <w:r w:rsidRPr="00114B06">
        <w:rPr>
          <w:rFonts w:ascii="Segoe UI" w:hAnsi="Segoe UI" w:cs="Segoe UI"/>
        </w:rPr>
        <w:t>SUSE</w:t>
      </w:r>
      <w:r w:rsidRPr="00114B06">
        <w:rPr>
          <w:rFonts w:ascii="Segoe UI" w:hAnsi="Segoe UI" w:cs="Segoe UI"/>
        </w:rPr>
        <w:t>源服务器，确保以</w:t>
      </w:r>
      <w:r w:rsidRPr="00114B06">
        <w:rPr>
          <w:rFonts w:ascii="Segoe UI" w:hAnsi="Segoe UI" w:cs="Segoe UI"/>
        </w:rPr>
        <w:t>root</w:t>
      </w:r>
      <w:r w:rsidRPr="00114B06">
        <w:rPr>
          <w:rFonts w:ascii="Segoe UI" w:hAnsi="Segoe UI" w:cs="Segoe UI"/>
        </w:rPr>
        <w:t>账号登录系统。在终端中输入以下命令，打开命令行窗口。将从控制台复制的激活码命令粘贴至命令行中，按回车键执行。导入过程中系统会自动安装华为云迁移代理并完成注册。成功导入后，命令行将显示</w:t>
      </w:r>
      <w:r w:rsidRPr="00114B06">
        <w:rPr>
          <w:rFonts w:ascii="Segoe UI" w:hAnsi="Segoe UI" w:cs="Segoe UI"/>
        </w:rPr>
        <w:t>“Successfullyregisteredmigrationsource,agentstatus:online,sourceID:[</w:t>
      </w:r>
      <w:r w:rsidRPr="00114B06">
        <w:rPr>
          <w:rFonts w:ascii="Segoe UI" w:hAnsi="Segoe UI" w:cs="Segoe UI"/>
        </w:rPr>
        <w:t>具体</w:t>
      </w:r>
      <w:r w:rsidRPr="00114B06">
        <w:rPr>
          <w:rFonts w:ascii="Segoe UI" w:hAnsi="Segoe UI" w:cs="Segoe UI"/>
        </w:rPr>
        <w:t>ID]”</w:t>
      </w:r>
      <w:r w:rsidRPr="00114B06">
        <w:rPr>
          <w:rFonts w:ascii="Segoe UI" w:hAnsi="Segoe UI" w:cs="Segoe UI"/>
        </w:rPr>
        <w:t>的提示信息，同时任务栏右下角会出现华为云迁移代理的运行图标，表明</w:t>
      </w:r>
      <w:r w:rsidRPr="00114B06">
        <w:rPr>
          <w:rFonts w:ascii="Segoe UI" w:hAnsi="Segoe UI" w:cs="Segoe UI"/>
        </w:rPr>
        <w:t>SUSE</w:t>
      </w:r>
      <w:r w:rsidRPr="00114B06">
        <w:rPr>
          <w:rFonts w:ascii="Segoe UI" w:hAnsi="Segoe UI" w:cs="Segoe UI"/>
        </w:rPr>
        <w:t>源服务器已成功接入华</w:t>
      </w:r>
      <w:r w:rsidRPr="00114B06">
        <w:rPr>
          <w:rFonts w:ascii="Segoe UI" w:hAnsi="Segoe UI" w:cs="Segoe UI" w:hint="eastAsia"/>
        </w:rPr>
        <w:t>为云迁移平台。</w:t>
      </w:r>
    </w:p>
    <w:p w14:paraId="279FDB69" w14:textId="77777777" w:rsidR="006B7F75" w:rsidRPr="006B7F75" w:rsidRDefault="006B7F75">
      <w:pPr>
        <w:numPr>
          <w:ilvl w:val="0"/>
          <w:numId w:val="57"/>
        </w:numPr>
        <w:shd w:val="clear" w:color="auto" w:fill="F9FAFB"/>
        <w:rPr>
          <w:rFonts w:ascii="Segoe UI" w:hAnsi="Segoe UI" w:cs="Segoe UI"/>
        </w:rPr>
      </w:pPr>
      <w:proofErr w:type="spellStart"/>
      <w:r w:rsidRPr="006B7F75">
        <w:rPr>
          <w:rFonts w:ascii="Segoe UI" w:hAnsi="Segoe UI" w:cs="Segoe UI"/>
        </w:rPr>
        <w:t>wget</w:t>
      </w:r>
      <w:proofErr w:type="spellEnd"/>
    </w:p>
    <w:p w14:paraId="3AB11E17" w14:textId="17BFD2AC" w:rsidR="006B7F75" w:rsidRPr="006B7F75" w:rsidRDefault="006B7F75">
      <w:pPr>
        <w:numPr>
          <w:ilvl w:val="0"/>
          <w:numId w:val="57"/>
        </w:numPr>
        <w:shd w:val="clear" w:color="auto" w:fill="F9FAFB"/>
        <w:rPr>
          <w:rFonts w:ascii="Segoe UI" w:hAnsi="Segoe UI" w:cs="Segoe UI"/>
        </w:rPr>
      </w:pPr>
      <w:r w:rsidRPr="006B7F75">
        <w:rPr>
          <w:rFonts w:ascii="Segoe UI" w:hAnsi="Segoe UI" w:cs="Segoe UI"/>
        </w:rPr>
        <w:lastRenderedPageBreak/>
        <w:t>https://p2v-tools.oss-cn-hangzhou.aliyuncs.com/smc/run_smc_client.sh-O./run_smc_client.sh&amp;&amp;bash./run_smc_client.sh--accesstokenid=at-bp19bsnkkif5--accesstokencode=dybNpkCaofKUPg2J8C</w:t>
      </w:r>
    </w:p>
    <w:p w14:paraId="4593F596" w14:textId="77777777" w:rsidR="00114B06" w:rsidRPr="00114B06" w:rsidRDefault="00114B06" w:rsidP="00114B06">
      <w:pPr>
        <w:shd w:val="clear" w:color="auto" w:fill="F9FAFB"/>
        <w:ind w:firstLine="420"/>
        <w:rPr>
          <w:rFonts w:ascii="Segoe UI" w:hAnsi="Segoe UI" w:cs="Segoe UI"/>
        </w:rPr>
      </w:pPr>
    </w:p>
    <w:p w14:paraId="58415FF8" w14:textId="77777777" w:rsidR="00114B06" w:rsidRPr="00114B06" w:rsidRDefault="00114B06">
      <w:pPr>
        <w:pStyle w:val="a3"/>
        <w:numPr>
          <w:ilvl w:val="0"/>
          <w:numId w:val="58"/>
        </w:numPr>
        <w:shd w:val="clear" w:color="auto" w:fill="F9FAFB"/>
        <w:ind w:firstLineChars="0"/>
        <w:rPr>
          <w:rFonts w:ascii="Segoe UI" w:hAnsi="Segoe UI" w:cs="Segoe UI"/>
        </w:rPr>
      </w:pPr>
      <w:r w:rsidRPr="00114B06">
        <w:rPr>
          <w:rFonts w:ascii="Segoe UI" w:hAnsi="Segoe UI" w:cs="Segoe UI" w:hint="eastAsia"/>
        </w:rPr>
        <w:t>查看迁移源状态</w:t>
      </w:r>
    </w:p>
    <w:p w14:paraId="710DB8B1" w14:textId="45A546E5" w:rsidR="00114B06" w:rsidRPr="00114B06" w:rsidRDefault="00114B06" w:rsidP="00114B06">
      <w:pPr>
        <w:shd w:val="clear" w:color="auto" w:fill="F9FAFB"/>
        <w:ind w:firstLine="420"/>
        <w:rPr>
          <w:rFonts w:ascii="Segoe UI" w:hAnsi="Segoe UI" w:cs="Segoe UI"/>
        </w:rPr>
      </w:pPr>
      <w:r w:rsidRPr="00114B06">
        <w:rPr>
          <w:rFonts w:ascii="Segoe UI" w:hAnsi="Segoe UI" w:cs="Segoe UI" w:hint="eastAsia"/>
        </w:rPr>
        <w:t>完成源服务器导入操作后，返回华为云管理控制台的迁移源管理页面，刷新页面即可查看迁移源状态。若迁移源状态显示为</w:t>
      </w:r>
      <w:r w:rsidRPr="00114B06">
        <w:rPr>
          <w:rFonts w:ascii="Segoe UI" w:hAnsi="Segoe UI" w:cs="Segoe UI"/>
        </w:rPr>
        <w:t>“</w:t>
      </w:r>
      <w:r w:rsidRPr="00114B06">
        <w:rPr>
          <w:rFonts w:ascii="Segoe UI" w:hAnsi="Segoe UI" w:cs="Segoe UI"/>
        </w:rPr>
        <w:t>在线</w:t>
      </w:r>
      <w:r w:rsidRPr="00114B06">
        <w:rPr>
          <w:rFonts w:ascii="Segoe UI" w:hAnsi="Segoe UI" w:cs="Segoe UI"/>
        </w:rPr>
        <w:t>”</w:t>
      </w:r>
      <w:r w:rsidRPr="00114B06">
        <w:rPr>
          <w:rFonts w:ascii="Segoe UI" w:hAnsi="Segoe UI" w:cs="Segoe UI"/>
        </w:rPr>
        <w:t>，且代理状态为</w:t>
      </w:r>
      <w:r w:rsidRPr="00114B06">
        <w:rPr>
          <w:rFonts w:ascii="Segoe UI" w:hAnsi="Segoe UI" w:cs="Segoe UI"/>
        </w:rPr>
        <w:t>“</w:t>
      </w:r>
      <w:r w:rsidRPr="00114B06">
        <w:rPr>
          <w:rFonts w:ascii="Segoe UI" w:hAnsi="Segoe UI" w:cs="Segoe UI"/>
        </w:rPr>
        <w:t>运行中</w:t>
      </w:r>
      <w:r w:rsidRPr="00114B06">
        <w:rPr>
          <w:rFonts w:ascii="Segoe UI" w:hAnsi="Segoe UI" w:cs="Segoe UI"/>
        </w:rPr>
        <w:t>”</w:t>
      </w:r>
      <w:r w:rsidRPr="00114B06">
        <w:rPr>
          <w:rFonts w:ascii="Segoe UI" w:hAnsi="Segoe UI" w:cs="Segoe UI"/>
        </w:rPr>
        <w:t>，则表示导入成功，可继续进行后续的迁移任务；若状态显示为</w:t>
      </w:r>
      <w:r w:rsidRPr="00114B06">
        <w:rPr>
          <w:rFonts w:ascii="Segoe UI" w:hAnsi="Segoe UI" w:cs="Segoe UI"/>
        </w:rPr>
        <w:t>“</w:t>
      </w:r>
      <w:r w:rsidRPr="00114B06">
        <w:rPr>
          <w:rFonts w:ascii="Segoe UI" w:hAnsi="Segoe UI" w:cs="Segoe UI"/>
        </w:rPr>
        <w:t>离线</w:t>
      </w:r>
      <w:r w:rsidRPr="00114B06">
        <w:rPr>
          <w:rFonts w:ascii="Segoe UI" w:hAnsi="Segoe UI" w:cs="Segoe UI"/>
        </w:rPr>
        <w:t>”“</w:t>
      </w:r>
      <w:r w:rsidRPr="00114B06">
        <w:rPr>
          <w:rFonts w:ascii="Segoe UI" w:hAnsi="Segoe UI" w:cs="Segoe UI"/>
        </w:rPr>
        <w:t>注册失败</w:t>
      </w:r>
      <w:r w:rsidRPr="00114B06">
        <w:rPr>
          <w:rFonts w:ascii="Segoe UI" w:hAnsi="Segoe UI" w:cs="Segoe UI"/>
        </w:rPr>
        <w:t>”</w:t>
      </w:r>
      <w:r w:rsidRPr="00114B06">
        <w:rPr>
          <w:rFonts w:ascii="Segoe UI" w:hAnsi="Segoe UI" w:cs="Segoe UI"/>
        </w:rPr>
        <w:t>或</w:t>
      </w:r>
      <w:r w:rsidRPr="00114B06">
        <w:rPr>
          <w:rFonts w:ascii="Segoe UI" w:hAnsi="Segoe UI" w:cs="Segoe UI"/>
        </w:rPr>
        <w:t>“</w:t>
      </w:r>
      <w:r w:rsidRPr="00114B06">
        <w:rPr>
          <w:rFonts w:ascii="Segoe UI" w:hAnsi="Segoe UI" w:cs="Segoe UI"/>
        </w:rPr>
        <w:t>代理异常</w:t>
      </w:r>
      <w:r w:rsidRPr="00114B06">
        <w:rPr>
          <w:rFonts w:ascii="Segoe UI" w:hAnsi="Segoe UI" w:cs="Segoe UI"/>
        </w:rPr>
        <w:t>”</w:t>
      </w:r>
      <w:r w:rsidRPr="00114B06">
        <w:rPr>
          <w:rFonts w:ascii="Segoe UI" w:hAnsi="Segoe UI" w:cs="Segoe UI"/>
        </w:rPr>
        <w:t>，则需参考控制台提示的错误代码（如网络连接失败、权限不足、激活码过期等），检查源服务器的网络连通性、防火墙设置、管理员权限是否正常，或重新生成激活码后再次执行导入操作，直至迁移源状态显示为正常在线。通过严格遵循上述导入流程，可确保</w:t>
      </w:r>
      <w:r w:rsidRPr="00114B06">
        <w:rPr>
          <w:rFonts w:ascii="Segoe UI" w:hAnsi="Segoe UI" w:cs="Segoe UI"/>
        </w:rPr>
        <w:t>SUSE15SP6</w:t>
      </w:r>
      <w:r w:rsidRPr="00114B06">
        <w:rPr>
          <w:rFonts w:ascii="Segoe UI" w:hAnsi="Segoe UI" w:cs="Segoe UI"/>
        </w:rPr>
        <w:t>类云主机的迁移源</w:t>
      </w:r>
      <w:r w:rsidRPr="00114B06">
        <w:rPr>
          <w:rFonts w:ascii="Segoe UI" w:hAnsi="Segoe UI" w:cs="Segoe UI" w:hint="eastAsia"/>
        </w:rPr>
        <w:t>顺利接入华为云迁移系统，为后续的系统迁移和数据同步奠定基础。</w:t>
      </w:r>
    </w:p>
    <w:p w14:paraId="57DC5F1E" w14:textId="29C5DCEB" w:rsidR="009F1367" w:rsidRDefault="009F1367" w:rsidP="009F1367">
      <w:pPr>
        <w:pStyle w:val="6"/>
        <w:rPr>
          <w:rFonts w:hint="eastAsia"/>
        </w:rPr>
      </w:pPr>
      <w:r w:rsidRPr="00007C57">
        <w:t>迁移配置</w:t>
      </w:r>
    </w:p>
    <w:p w14:paraId="26B8DEDE" w14:textId="529E52F8" w:rsidR="006B7F75" w:rsidRDefault="006B7F75" w:rsidP="006B7F75">
      <w:pPr>
        <w:ind w:firstLine="420"/>
        <w:rPr>
          <w:rFonts w:hint="eastAsia"/>
        </w:rPr>
      </w:pPr>
      <w:r w:rsidRPr="006B7F75">
        <w:rPr>
          <w:rFonts w:hint="eastAsia"/>
        </w:rPr>
        <w:t>在完成迁移源导入后，需在华为云控制台进行详细的迁移配置，以确保</w:t>
      </w:r>
      <w:r w:rsidRPr="006B7F75">
        <w:t>SUSE15SP6云主机能够安全、高效地迁移至华为云。迁移配置涵盖基本参数、磁盘分区、高级参数等多层级设置，需按标准化流程逐项完成。</w:t>
      </w:r>
    </w:p>
    <w:p w14:paraId="42907D07" w14:textId="107AA428" w:rsidR="006B7F75" w:rsidRDefault="006B7F75" w:rsidP="006B7F75">
      <w:pPr>
        <w:pStyle w:val="7"/>
        <w:rPr>
          <w:rFonts w:hint="eastAsia"/>
        </w:rPr>
      </w:pPr>
      <w:r>
        <w:rPr>
          <w:rFonts w:hint="eastAsia"/>
        </w:rPr>
        <w:t>开始迁移与基本参数配置</w:t>
      </w:r>
    </w:p>
    <w:p w14:paraId="3C1953E1" w14:textId="419CE90C" w:rsidR="006B7F75" w:rsidRDefault="006B7F75" w:rsidP="006B7F75">
      <w:pPr>
        <w:ind w:firstLine="420"/>
        <w:rPr>
          <w:rFonts w:hint="eastAsia"/>
        </w:rPr>
      </w:pPr>
      <w:r>
        <w:rPr>
          <w:rFonts w:hint="eastAsia"/>
        </w:rPr>
        <w:t>在华为云控制台的迁移源列表中，找到目标</w:t>
      </w:r>
      <w:r>
        <w:t>SUSE迁移源，点击操作列的“开始迁移”按钮，进入迁移配置页面。首先需配置基本参数：</w:t>
      </w:r>
    </w:p>
    <w:p w14:paraId="32B3AC84" w14:textId="5A9CC929" w:rsidR="006B7F75" w:rsidRDefault="006B7F75">
      <w:pPr>
        <w:pStyle w:val="a3"/>
        <w:numPr>
          <w:ilvl w:val="0"/>
          <w:numId w:val="59"/>
        </w:numPr>
        <w:ind w:firstLineChars="0"/>
        <w:rPr>
          <w:rFonts w:hint="eastAsia"/>
        </w:rPr>
      </w:pPr>
      <w:r>
        <w:rPr>
          <w:rFonts w:hint="eastAsia"/>
        </w:rPr>
        <w:t>任务名称：可自定义设置迁移任务的名称，建议包含源服务器</w:t>
      </w:r>
      <w:r>
        <w:t>IP、业务系统名称等信息（如“SUSE-15SP6-WebServer-迁移任务”），以便于后续管理和识别。</w:t>
      </w:r>
    </w:p>
    <w:p w14:paraId="31EE0C43" w14:textId="510CB71A" w:rsidR="006B7F75" w:rsidRDefault="006B7F75">
      <w:pPr>
        <w:pStyle w:val="a3"/>
        <w:numPr>
          <w:ilvl w:val="0"/>
          <w:numId w:val="59"/>
        </w:numPr>
        <w:ind w:firstLineChars="0"/>
        <w:rPr>
          <w:rFonts w:hint="eastAsia"/>
        </w:rPr>
      </w:pPr>
      <w:r>
        <w:rPr>
          <w:rFonts w:hint="eastAsia"/>
        </w:rPr>
        <w:t>任务描述：输入迁移任务的详细说明，例如</w:t>
      </w:r>
      <w:r>
        <w:t>“将IDC机房的SUSE15SP6Web服务器迁移至华为云上海四区”，明确迁移目的和范围。</w:t>
      </w:r>
    </w:p>
    <w:p w14:paraId="145924AF" w14:textId="73D4F9FA" w:rsidR="006B7F75" w:rsidRDefault="006B7F75">
      <w:pPr>
        <w:pStyle w:val="a3"/>
        <w:numPr>
          <w:ilvl w:val="0"/>
          <w:numId w:val="59"/>
        </w:numPr>
        <w:ind w:firstLineChars="0"/>
        <w:rPr>
          <w:rFonts w:hint="eastAsia"/>
        </w:rPr>
      </w:pPr>
      <w:r>
        <w:rPr>
          <w:rFonts w:hint="eastAsia"/>
        </w:rPr>
        <w:t>目标类型（必填）：可选择将源服务器转换成华为云自定义镜像、云服务器实例等，需指定目标地域（如</w:t>
      </w:r>
      <w:r>
        <w:t>“中国-上海-四”），并设置镜像名称（如“SUSE15SP6_WebServer_Mirror”），地域选择需考虑业务访问延迟和容灾需求。</w:t>
      </w:r>
    </w:p>
    <w:p w14:paraId="3AE105D9" w14:textId="77777777" w:rsidR="006B7F75" w:rsidRDefault="006B7F75">
      <w:pPr>
        <w:pStyle w:val="a3"/>
        <w:numPr>
          <w:ilvl w:val="0"/>
          <w:numId w:val="59"/>
        </w:numPr>
        <w:ind w:firstLineChars="0"/>
        <w:rPr>
          <w:rFonts w:hint="eastAsia"/>
        </w:rPr>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65AA191E" w14:textId="70194857" w:rsidR="006B7F75" w:rsidRDefault="006B7F75">
      <w:pPr>
        <w:pStyle w:val="a3"/>
        <w:numPr>
          <w:ilvl w:val="0"/>
          <w:numId w:val="59"/>
        </w:numPr>
        <w:ind w:firstLineChars="0"/>
        <w:rPr>
          <w:rFonts w:hint="eastAsia"/>
        </w:rPr>
      </w:pPr>
      <w:r>
        <w:rPr>
          <w:rFonts w:hint="eastAsia"/>
        </w:rPr>
        <w:t>执行方式：若开启迁移演练，执行方式默认选择</w:t>
      </w:r>
      <w:r>
        <w:t>“先演练后迁移”；若已完成演练或无需演练，可选择“直接迁移”，需确保源服务器状态稳定。</w:t>
      </w:r>
    </w:p>
    <w:p w14:paraId="49927215" w14:textId="45C6F504" w:rsidR="006B7F75" w:rsidRDefault="006B7F75">
      <w:pPr>
        <w:pStyle w:val="a3"/>
        <w:numPr>
          <w:ilvl w:val="0"/>
          <w:numId w:val="59"/>
        </w:numPr>
        <w:ind w:firstLineChars="0"/>
        <w:rPr>
          <w:rFonts w:hint="eastAsia"/>
        </w:rPr>
      </w:pPr>
      <w:r>
        <w:rPr>
          <w:rFonts w:hint="eastAsia"/>
        </w:rPr>
        <w:t>自动增量同步：默认开启，可配置同步重复频率（如每</w:t>
      </w:r>
      <w:r>
        <w:t>15分钟一次）和最大镜像保留数（建议设置为3-5个），确保迁移窗口期内的增量数据被持续同步，减少最终迁移的停机时间。若关闭该功能，系统将在首次同步后仅执行一次性迁移，适用于数据变化极小的场景。</w:t>
      </w:r>
    </w:p>
    <w:p w14:paraId="122F75D6" w14:textId="147B9A19" w:rsidR="006B7F75" w:rsidRDefault="006B7F75">
      <w:pPr>
        <w:pStyle w:val="a3"/>
        <w:numPr>
          <w:ilvl w:val="0"/>
          <w:numId w:val="59"/>
        </w:numPr>
        <w:ind w:firstLineChars="0"/>
        <w:rPr>
          <w:rFonts w:hint="eastAsia"/>
        </w:rPr>
      </w:pPr>
      <w:r>
        <w:rPr>
          <w:rFonts w:hint="eastAsia"/>
        </w:rPr>
        <w:t>启用迁移模板：当存在重复迁移需求时，可启用已保存的迁移模板（如针对</w:t>
      </w:r>
      <w:r>
        <w:t>SUSE15SP6数据库服务器的标准化模板），模板中预设了磁盘配置、网络参数等，可直接复用以提升配置效率。</w:t>
      </w:r>
    </w:p>
    <w:p w14:paraId="41C83CED" w14:textId="6985B33D" w:rsidR="006B7F75" w:rsidRDefault="006B7F75" w:rsidP="006B7F75">
      <w:pPr>
        <w:pStyle w:val="7"/>
        <w:rPr>
          <w:rFonts w:hint="eastAsia"/>
        </w:rPr>
      </w:pPr>
      <w:r>
        <w:rPr>
          <w:rFonts w:hint="eastAsia"/>
        </w:rPr>
        <w:lastRenderedPageBreak/>
        <w:t>磁盘分区结构调整</w:t>
      </w:r>
    </w:p>
    <w:p w14:paraId="39D6340D" w14:textId="255497E9" w:rsidR="006B7F75" w:rsidRDefault="006B7F75" w:rsidP="006B7F75">
      <w:pPr>
        <w:ind w:firstLine="420"/>
        <w:rPr>
          <w:rFonts w:hint="eastAsia"/>
        </w:rPr>
      </w:pPr>
      <w:r>
        <w:rPr>
          <w:rFonts w:hint="eastAsia"/>
        </w:rPr>
        <w:t>根据源服务器的磁盘使用情况，选择是否开启</w:t>
      </w:r>
      <w:r>
        <w:t>“调整磁盘分区结构”功能：若源服务器的磁盘分区需适配华为云的存储架构（如将多个小分区合并为大分区），可开启该功能并自定义配置分区大小、位置顺序等。例如，将源服务器的/root（系统盘）和/data（数据盘）在目标端调整为/root100GB、/data500GB，以优化存储利用率。该功能默认关闭，建议在迁移前通过磁盘工具对源服务器进行碎片整理和分区规划。</w:t>
      </w:r>
    </w:p>
    <w:p w14:paraId="6997BC66" w14:textId="03C2D3E3" w:rsidR="006B7F75" w:rsidRDefault="006B7F75" w:rsidP="006B7F75">
      <w:pPr>
        <w:pStyle w:val="7"/>
        <w:rPr>
          <w:rFonts w:hint="eastAsia"/>
        </w:rPr>
      </w:pPr>
      <w:r>
        <w:rPr>
          <w:rFonts w:hint="eastAsia"/>
        </w:rPr>
        <w:t>高级参数配置（条件必选）</w:t>
      </w:r>
    </w:p>
    <w:p w14:paraId="7D23818C" w14:textId="77777777" w:rsidR="006B7F75" w:rsidRDefault="006B7F75">
      <w:pPr>
        <w:pStyle w:val="a3"/>
        <w:numPr>
          <w:ilvl w:val="0"/>
          <w:numId w:val="60"/>
        </w:numPr>
        <w:ind w:firstLineChars="0"/>
        <w:rPr>
          <w:rFonts w:hint="eastAsia"/>
        </w:rPr>
      </w:pPr>
      <w:r>
        <w:rPr>
          <w:rFonts w:hint="eastAsia"/>
        </w:rPr>
        <w:t>网络与传输配置</w:t>
      </w:r>
    </w:p>
    <w:p w14:paraId="562DD8A9" w14:textId="3B07DF9A" w:rsidR="006B7F75" w:rsidRDefault="006B7F75">
      <w:pPr>
        <w:pStyle w:val="a3"/>
        <w:numPr>
          <w:ilvl w:val="1"/>
          <w:numId w:val="60"/>
        </w:numPr>
        <w:ind w:firstLineChars="0"/>
        <w:rPr>
          <w:rFonts w:hint="eastAsia"/>
        </w:rPr>
      </w:pPr>
      <w:r>
        <w:rPr>
          <w:rFonts w:hint="eastAsia"/>
        </w:rPr>
        <w:t>网络模式：默认采用</w:t>
      </w:r>
      <w:r>
        <w:t>“公网传输”模式，若源服务器与华为云之间存在专线或VPN连接，可选择“私网传输”以提升传输稳定性。系统会自动创建中转实例用于数据中转，也可手动指定专有网络（VPC）和交换机（</w:t>
      </w:r>
      <w:proofErr w:type="spellStart"/>
      <w:r>
        <w:t>vSwitch</w:t>
      </w:r>
      <w:proofErr w:type="spellEnd"/>
      <w:r>
        <w:t>），确保网络连通性。</w:t>
      </w:r>
    </w:p>
    <w:p w14:paraId="37DDAE87" w14:textId="2258784F" w:rsidR="006B7F75" w:rsidRDefault="006B7F75">
      <w:pPr>
        <w:pStyle w:val="a3"/>
        <w:numPr>
          <w:ilvl w:val="1"/>
          <w:numId w:val="60"/>
        </w:numPr>
        <w:ind w:firstLineChars="0"/>
        <w:rPr>
          <w:rFonts w:hint="eastAsia"/>
        </w:rPr>
      </w:pPr>
      <w:r>
        <w:t>IPv4私网地址：当目标类型为云服务器实例时，需配置IPv4私网地址，可选择“保持不变”（需确保华为云VPC内无IP冲突）或“手动指定”，手动指定时需符合VPC的IP地址段规划。</w:t>
      </w:r>
    </w:p>
    <w:p w14:paraId="4E7D306F" w14:textId="69EC2E79" w:rsidR="006B7F75" w:rsidRDefault="006B7F75">
      <w:pPr>
        <w:pStyle w:val="a3"/>
        <w:numPr>
          <w:ilvl w:val="1"/>
          <w:numId w:val="60"/>
        </w:numPr>
        <w:ind w:firstLineChars="0"/>
        <w:rPr>
          <w:rFonts w:hint="eastAsia"/>
        </w:rPr>
      </w:pPr>
      <w:r>
        <w:rPr>
          <w:rFonts w:hint="eastAsia"/>
        </w:rPr>
        <w:t>传输限速：单位为</w:t>
      </w:r>
      <w:r>
        <w:t>Mbps，默认不限制传输速度，若源服务器所在网络带宽有限，可设置限速（如500Mbps），避免迁移过程中占用过多带宽影响其他业务。</w:t>
      </w:r>
    </w:p>
    <w:p w14:paraId="0A951EAB" w14:textId="5C05BEB8" w:rsidR="006B7F75" w:rsidRDefault="006B7F75">
      <w:pPr>
        <w:pStyle w:val="a3"/>
        <w:numPr>
          <w:ilvl w:val="1"/>
          <w:numId w:val="60"/>
        </w:numPr>
        <w:ind w:firstLineChars="0"/>
        <w:rPr>
          <w:rFonts w:hint="eastAsia"/>
        </w:rPr>
      </w:pPr>
      <w:r>
        <w:rPr>
          <w:rFonts w:hint="eastAsia"/>
        </w:rPr>
        <w:t>压缩率：迁移数据压缩级别可选</w:t>
      </w:r>
      <w:r>
        <w:t>1-9（1为低压缩高速度，9为高压缩低速度），默认值为5。在带宽充足的环境下建议保持默认，若带宽受限可提高压缩率以减少数据传输量，但会增加CPU开销。</w:t>
      </w:r>
    </w:p>
    <w:p w14:paraId="2FE407F4" w14:textId="77777777" w:rsidR="006B7F75" w:rsidRDefault="006B7F75">
      <w:pPr>
        <w:pStyle w:val="a3"/>
        <w:numPr>
          <w:ilvl w:val="0"/>
          <w:numId w:val="60"/>
        </w:numPr>
        <w:ind w:firstLineChars="0"/>
        <w:rPr>
          <w:rFonts w:hint="eastAsia"/>
        </w:rPr>
      </w:pPr>
      <w:r>
        <w:rPr>
          <w:rFonts w:hint="eastAsia"/>
        </w:rPr>
        <w:t>安全性与合规性配置</w:t>
      </w:r>
    </w:p>
    <w:p w14:paraId="5A11EE23" w14:textId="63726DBC" w:rsidR="006B7F75" w:rsidRDefault="006B7F75">
      <w:pPr>
        <w:pStyle w:val="a3"/>
        <w:numPr>
          <w:ilvl w:val="1"/>
          <w:numId w:val="60"/>
        </w:numPr>
        <w:ind w:firstLineChars="0"/>
        <w:rPr>
          <w:rFonts w:hint="eastAsia"/>
        </w:rPr>
      </w:pPr>
      <w:r>
        <w:t>Checksum验证：默认开启，通过哈希算法验证传输数据的完整性，确保迁移过程中数据无损坏或丢失，开启后会增加少量传输耗时，但可显著提升数据可靠性。</w:t>
      </w:r>
    </w:p>
    <w:p w14:paraId="7CE98E07" w14:textId="76C57E7D" w:rsidR="006B7F75" w:rsidRDefault="006B7F75">
      <w:pPr>
        <w:pStyle w:val="a3"/>
        <w:numPr>
          <w:ilvl w:val="1"/>
          <w:numId w:val="60"/>
        </w:numPr>
        <w:ind w:firstLineChars="0"/>
        <w:rPr>
          <w:rFonts w:hint="eastAsia"/>
        </w:rPr>
      </w:pPr>
      <w:r>
        <w:rPr>
          <w:rFonts w:hint="eastAsia"/>
        </w:rPr>
        <w:t>开启</w:t>
      </w:r>
      <w:r>
        <w:t>SSL加密传输：默认开启，对迁移数据进行端到端加密，防止传输过程中数据被窃取或篡改，适用于包含敏感信息（如用户数据、财务数据）的迁移场景。</w:t>
      </w:r>
    </w:p>
    <w:p w14:paraId="26FA902A" w14:textId="5EEDFC90" w:rsidR="006B7F75" w:rsidRDefault="006B7F75">
      <w:pPr>
        <w:pStyle w:val="a3"/>
        <w:numPr>
          <w:ilvl w:val="1"/>
          <w:numId w:val="60"/>
        </w:numPr>
        <w:ind w:firstLineChars="0"/>
        <w:rPr>
          <w:rFonts w:hint="eastAsia"/>
        </w:rPr>
      </w:pPr>
      <w:r>
        <w:rPr>
          <w:rFonts w:hint="eastAsia"/>
        </w:rPr>
        <w:t>许可证类型：可选择</w:t>
      </w:r>
      <w:r>
        <w:t>“华为云”（使用华为云提供的SUSE15SP6许可证）或“自带许可”（BYOL，需确保许可证合规且支持迁移至华为云），选择自带许可时需上传许可证文件并完成合规性验证。</w:t>
      </w:r>
    </w:p>
    <w:p w14:paraId="75796B34" w14:textId="77777777" w:rsidR="006B7F75" w:rsidRDefault="006B7F75">
      <w:pPr>
        <w:pStyle w:val="a3"/>
        <w:numPr>
          <w:ilvl w:val="0"/>
          <w:numId w:val="60"/>
        </w:numPr>
        <w:ind w:firstLineChars="0"/>
        <w:rPr>
          <w:rFonts w:hint="eastAsia"/>
        </w:rPr>
      </w:pPr>
      <w:r>
        <w:rPr>
          <w:rFonts w:hint="eastAsia"/>
        </w:rPr>
        <w:t>辅助功能配置</w:t>
      </w:r>
    </w:p>
    <w:p w14:paraId="4E12A2D3" w14:textId="15BDAC9F" w:rsidR="006B7F75" w:rsidRDefault="006B7F75">
      <w:pPr>
        <w:pStyle w:val="a3"/>
        <w:numPr>
          <w:ilvl w:val="1"/>
          <w:numId w:val="60"/>
        </w:numPr>
        <w:ind w:firstLineChars="0"/>
        <w:rPr>
          <w:rFonts w:hint="eastAsia"/>
        </w:rPr>
      </w:pPr>
      <w:r>
        <w:rPr>
          <w:rFonts w:hint="eastAsia"/>
        </w:rPr>
        <w:t>镜像检测：启用后系统会在迁移完成后自动检测镜像的启动性和兼容性，生成检测报告（如驱动缺失、服务异常等），适用于对迁移质量</w:t>
      </w:r>
      <w:r w:rsidR="006C6F6D" w:rsidRPr="006C6F6D">
        <w:rPr>
          <w:rFonts w:hint="eastAsia"/>
          <w:b/>
        </w:rPr>
        <w:t>招标文件要求</w:t>
      </w:r>
      <w:r>
        <w:rPr>
          <w:rFonts w:hint="eastAsia"/>
        </w:rPr>
        <w:t>较高的核心业务系统，可参考报告进行后续优化。</w:t>
      </w:r>
    </w:p>
    <w:p w14:paraId="3BFD5916" w14:textId="25A03F1F" w:rsidR="006B7F75" w:rsidRDefault="006B7F75">
      <w:pPr>
        <w:pStyle w:val="a3"/>
        <w:numPr>
          <w:ilvl w:val="1"/>
          <w:numId w:val="60"/>
        </w:numPr>
        <w:ind w:firstLineChars="0"/>
        <w:rPr>
          <w:rFonts w:hint="eastAsia"/>
        </w:rPr>
      </w:pPr>
      <w:r>
        <w:rPr>
          <w:rFonts w:hint="eastAsia"/>
        </w:rPr>
        <w:t>标签：可为迁移任务绑定标签（如</w:t>
      </w:r>
      <w:r>
        <w:t>“业务线=财务系统”“环境=生产”），最多绑定10个标签，便于按业务维度管理迁移任务和资源。</w:t>
      </w:r>
    </w:p>
    <w:p w14:paraId="014F7212" w14:textId="0FA25691" w:rsidR="006B7F75" w:rsidRDefault="006B7F75">
      <w:pPr>
        <w:pStyle w:val="a3"/>
        <w:numPr>
          <w:ilvl w:val="1"/>
          <w:numId w:val="60"/>
        </w:numPr>
        <w:ind w:firstLineChars="0"/>
        <w:rPr>
          <w:rFonts w:hint="eastAsia"/>
        </w:rPr>
      </w:pPr>
      <w:r>
        <w:rPr>
          <w:rFonts w:hint="eastAsia"/>
        </w:rPr>
        <w:t>中转实例规格：当选择私网传输模式时需配置中转实例规格，建议选择与源服务器配置相近的规格（如</w:t>
      </w:r>
      <w:r>
        <w:t>c6.large.2），确保中转效率，重要注意事项：中转实例需预留足够的存储容量以缓存迁移数据。</w:t>
      </w:r>
    </w:p>
    <w:p w14:paraId="5FD7BE2E" w14:textId="7CDD4D18" w:rsidR="006B7F75" w:rsidRDefault="006B7F75">
      <w:pPr>
        <w:pStyle w:val="a3"/>
        <w:numPr>
          <w:ilvl w:val="1"/>
          <w:numId w:val="60"/>
        </w:numPr>
        <w:ind w:firstLineChars="0"/>
        <w:rPr>
          <w:rFonts w:hint="eastAsia"/>
        </w:rPr>
      </w:pPr>
      <w:r>
        <w:rPr>
          <w:rFonts w:hint="eastAsia"/>
        </w:rPr>
        <w:t>上报诊断日志：默认开启，系统会将迁移过程中的诊断日志上报至华为云日志服务（</w:t>
      </w:r>
      <w:r>
        <w:t>LTS），日志保存7天，便于在迁移失败时定位问题（如网络中断、权限</w:t>
      </w:r>
      <w:r>
        <w:lastRenderedPageBreak/>
        <w:t>错误），可在LTS控制台查询具体日志内容。</w:t>
      </w:r>
    </w:p>
    <w:p w14:paraId="72A7D9E7" w14:textId="36F6A57F" w:rsidR="006B7F75" w:rsidRDefault="006B7F75" w:rsidP="006B7F75">
      <w:pPr>
        <w:pStyle w:val="7"/>
        <w:rPr>
          <w:rFonts w:hint="eastAsia"/>
        </w:rPr>
      </w:pPr>
      <w:r>
        <w:rPr>
          <w:rFonts w:hint="eastAsia"/>
        </w:rPr>
        <w:t>确认迁移与状态查看</w:t>
      </w:r>
    </w:p>
    <w:p w14:paraId="2C5F6D81" w14:textId="59032340" w:rsidR="006B7F75" w:rsidRDefault="006B7F75" w:rsidP="006B7F75">
      <w:pPr>
        <w:ind w:firstLine="420"/>
        <w:rPr>
          <w:rFonts w:hint="eastAsia"/>
        </w:rPr>
      </w:pPr>
      <w:r>
        <w:rPr>
          <w:rFonts w:hint="eastAsia"/>
        </w:rPr>
        <w:t>完成所有参数配置后，仔细阅读迁移提示（如</w:t>
      </w:r>
      <w:r>
        <w:t>“迁移期间源服务器网络需保持连通”“请确保目标地域资源充足”），点击“确认迁移”按钮启动迁移任务。在服务器迁移页面可查看实时迁移状态，包括数据传输进度、剩余时间、已同步数据量等。迁移耗时受数据量大小、网络带宽、压缩率等因素影响，例如1TB数据在1Gbps带宽下采用默认压缩率通常需要约2-3小时完成首次同步，后续增量同步时间随数据变化量递减。</w:t>
      </w:r>
    </w:p>
    <w:p w14:paraId="5543CD6A" w14:textId="4D620F97" w:rsidR="006B7F75" w:rsidRDefault="006B7F75" w:rsidP="006B7F75">
      <w:pPr>
        <w:ind w:firstLine="420"/>
        <w:rPr>
          <w:rFonts w:hint="eastAsia"/>
        </w:rPr>
      </w:pPr>
      <w:r>
        <w:rPr>
          <w:rFonts w:hint="eastAsia"/>
        </w:rPr>
        <w:t>通过以上完整的迁移配置流程，可确保</w:t>
      </w:r>
      <w:r>
        <w:t>SUSE15SP6云主机在迁移过程中满足业务连续性、数据完整性和安全性</w:t>
      </w:r>
      <w:r w:rsidR="006C6F6D" w:rsidRPr="006C6F6D">
        <w:rPr>
          <w:b/>
        </w:rPr>
        <w:t>招标文件要求</w:t>
      </w:r>
      <w:r>
        <w:t>，最终在华为云环境中实现稳定运行。</w:t>
      </w:r>
    </w:p>
    <w:p w14:paraId="5BE5D44E" w14:textId="77777777" w:rsidR="00114B06" w:rsidRPr="00007C57" w:rsidRDefault="00114B06" w:rsidP="00114B06">
      <w:pPr>
        <w:pStyle w:val="5"/>
        <w:rPr>
          <w:rFonts w:hint="eastAsia"/>
        </w:rPr>
      </w:pPr>
      <w:r w:rsidRPr="00007C57">
        <w:t>迁移结果验证</w:t>
      </w:r>
    </w:p>
    <w:p w14:paraId="71D6266C" w14:textId="610675F4" w:rsidR="00114B06" w:rsidRDefault="00114B06" w:rsidP="00114B06">
      <w:pPr>
        <w:pStyle w:val="6"/>
        <w:rPr>
          <w:rFonts w:hint="eastAsia"/>
        </w:rPr>
      </w:pPr>
      <w:r w:rsidRPr="00007C57">
        <w:t>迁移成功判断</w:t>
      </w:r>
    </w:p>
    <w:p w14:paraId="0002520C" w14:textId="749AC9ED" w:rsidR="006B7F75" w:rsidRDefault="006B7F75" w:rsidP="006B7F75">
      <w:pPr>
        <w:ind w:firstLine="420"/>
        <w:rPr>
          <w:rFonts w:hint="eastAsia"/>
        </w:rPr>
      </w:pPr>
      <w:r>
        <w:rPr>
          <w:rFonts w:hint="eastAsia"/>
        </w:rPr>
        <w:t>在华为云迁移方案中，迁移成功的判断需结合迁移任务的实时状态、目标资源的可用性及业务功能的完整性，形成多层级的验证体系。当迁移实时状态显示为</w:t>
      </w:r>
      <w:r>
        <w:t>“已完成”时，仅作为迁移成功的初步判断依据，还需进一步从以下维度完成全面验证，确保SUSE15SP6云主机在华为云环境中正常运行。</w:t>
      </w:r>
    </w:p>
    <w:p w14:paraId="74123A06" w14:textId="61792D48" w:rsidR="006B7F75" w:rsidRDefault="006B7F75" w:rsidP="006B7F75">
      <w:pPr>
        <w:ind w:firstLine="420"/>
        <w:rPr>
          <w:rFonts w:hint="eastAsia"/>
        </w:rPr>
      </w:pPr>
      <w:r>
        <w:rPr>
          <w:rFonts w:hint="eastAsia"/>
        </w:rPr>
        <w:t>首先，以华为云控制台的迁移任务状态为基础判断标准。在服务器迁移页面，若迁移任务的实时状态栏明确显示</w:t>
      </w:r>
      <w:r>
        <w:t>“已完成”，且进度条显示100%，同时无任何错误提示（如“数据传输失败”“镜像创建异常”），则表明迁移任务已按流程执行完毕。此时需同步查看“迁移详情”中的关键指标：数据传输总耗时应与预估时间基本吻合（受网络带宽、数据量影响可能存在一定误差），增量同步次数需符合预设频率（如每15分钟一次），且最终同步的增量数据量应与源端变更量一致，避免因增量同步失败导致的数据丢失。</w:t>
      </w:r>
    </w:p>
    <w:p w14:paraId="7A48E3B3" w14:textId="4D99725F" w:rsidR="006B7F75" w:rsidRDefault="006B7F75" w:rsidP="006B7F75">
      <w:pPr>
        <w:ind w:firstLine="420"/>
        <w:rPr>
          <w:rFonts w:hint="eastAsia"/>
        </w:rPr>
      </w:pPr>
      <w:r>
        <w:rPr>
          <w:rFonts w:hint="eastAsia"/>
        </w:rPr>
        <w:t>其次，验证目标资源的创建与配置准确性。若迁移目标类型为自定义镜像，需在华为云</w:t>
      </w:r>
      <w:r>
        <w:t>“镜像服务”控制台查看镜像状态，确保镜像状态为“正常”，且镜像大小与源服务器磁盘实际使用容量一致（考虑到磁盘格式化和文件系统开销，允许存在5%-10%的误差）。点击镜像详情，检查操作系统类型显示为“SUSE15SP6”，镜像文件完整性校验值（如MD5/SHA256）与源服务器备份镜像的校验值一致，确保镜像无损坏或篡改。若目标类型为云服务器实例，需在“云服务器”控制台确认实例状态为“运行中”，实例规格（vCPU</w:t>
      </w:r>
      <w:r>
        <w:rPr>
          <w:rFonts w:hint="eastAsia"/>
        </w:rPr>
        <w:t>、内存）与迁移配置一致，数据盘挂载数量及容量满足迁移源</w:t>
      </w:r>
      <w:r w:rsidR="006C6F6D" w:rsidRPr="006C6F6D">
        <w:rPr>
          <w:rFonts w:hint="eastAsia"/>
          <w:b/>
        </w:rPr>
        <w:t>招标文件要求</w:t>
      </w:r>
      <w:r>
        <w:rPr>
          <w:rFonts w:hint="eastAsia"/>
        </w:rPr>
        <w:t>（目标实例数据盘数量≥源端，容量≥源端实际使用量），且磁盘分区结构与迁移配置中的调整方案一致（如</w:t>
      </w:r>
      <w:r>
        <w:t>/root100GB、/data500GB）。</w:t>
      </w:r>
    </w:p>
    <w:p w14:paraId="59544AD4" w14:textId="6F2B4400" w:rsidR="006B7F75" w:rsidRDefault="006B7F75" w:rsidP="006B7F75">
      <w:pPr>
        <w:ind w:firstLine="420"/>
        <w:rPr>
          <w:rFonts w:hint="eastAsia"/>
        </w:rPr>
      </w:pPr>
      <w:r>
        <w:rPr>
          <w:rFonts w:hint="eastAsia"/>
        </w:rPr>
        <w:t>再者，进行操作系统与驱动的兼容性验证。通过</w:t>
      </w:r>
      <w:r>
        <w:t>SSH连接至迁移后的SUSE云主机，确认操作系统启动正常，无启动项缺失等异常。系统应显示正常的SUSE登录界面，若采用“自带许可”模式，需检查许可证有效性；若使用华为云许可证，需确保许可证已正确绑定。同时，查看硬件驱动是否完整安装，特别是网卡、存储控制器等关键驱动需与华为云虚拟化环境兼容，必要时可从华为云官网下载最新的SUSE驱动包进行更新，确保硬件性能充分释放。</w:t>
      </w:r>
    </w:p>
    <w:p w14:paraId="11C78A26" w14:textId="2D837569" w:rsidR="006B7F75" w:rsidRDefault="006B7F75" w:rsidP="006B7F75">
      <w:pPr>
        <w:ind w:firstLine="420"/>
        <w:rPr>
          <w:rFonts w:hint="eastAsia"/>
        </w:rPr>
      </w:pPr>
      <w:r>
        <w:rPr>
          <w:rFonts w:hint="eastAsia"/>
        </w:rPr>
        <w:t>此外，需验证业务应用的功能完整性。对于部署在</w:t>
      </w:r>
      <w:r>
        <w:t>SUSE上的核心业务应用（如PostgreSQL数据库、Nginx服务），逐一启动应用服务并执行功能测试：PostgreSQL需验证数据库连接、数据查询及事务处理能力，可通过还原迁移后的数据库备份并执行简单查询语句验证数据完整性；Nginx服务需访问前端页面，测试用户登录、数据提交等核心功能，确</w:t>
      </w:r>
      <w:r>
        <w:lastRenderedPageBreak/>
        <w:t>保应用在华为云环境中运行正常。对于有状态的应用（如正在处理中的业务流程），需检查迁移前后的状态一致性，避免因迁移导致业务中断或数据不一致。</w:t>
      </w:r>
    </w:p>
    <w:p w14:paraId="2F0B9332" w14:textId="74642D3B" w:rsidR="006B7F75" w:rsidRDefault="006B7F75" w:rsidP="006B7F75">
      <w:pPr>
        <w:ind w:firstLine="420"/>
        <w:rPr>
          <w:rFonts w:hint="eastAsia"/>
        </w:rPr>
      </w:pPr>
      <w:r>
        <w:rPr>
          <w:rFonts w:hint="eastAsia"/>
        </w:rPr>
        <w:t>最后，完成网络连通性与</w:t>
      </w:r>
      <w:r>
        <w:t>IP配置验证。确认迁移后的云主机可通过华为云内网（VPC）与其他资源正常通信，若配置了公网IP，需测试公网访问能力（如通过公网IP远程连接云主机）。对于迁移过程中选择“保持IPv4私网地址不变”的场景，需验证云主机的内网IP与源服务器一致且无冲突；若手动指定IP，需确认IP地址在VPC网段内且已正确配置路由表。同时，检查SUSE防火墙规则（如</w:t>
      </w:r>
      <w:proofErr w:type="spellStart"/>
      <w:r>
        <w:t>firewalld</w:t>
      </w:r>
      <w:proofErr w:type="spellEnd"/>
      <w:r>
        <w:t>）是否已按业务需求配置，避免因防火墙设置导致的网络访问异常。</w:t>
      </w:r>
    </w:p>
    <w:p w14:paraId="4FE7F2F9" w14:textId="2C43F682" w:rsidR="006B7F75" w:rsidRPr="006B7F75" w:rsidRDefault="006B7F75" w:rsidP="006B7F75">
      <w:pPr>
        <w:ind w:firstLine="420"/>
        <w:rPr>
          <w:rFonts w:hint="eastAsia"/>
        </w:rPr>
      </w:pPr>
      <w:r>
        <w:rPr>
          <w:rFonts w:hint="eastAsia"/>
        </w:rPr>
        <w:t>通过以上从迁移状态、目标资源、系统驱动、业务应用到网络配置的多层级验证，方可最终判定</w:t>
      </w:r>
      <w:r>
        <w:t>SUSE15SP6云主机迁移成功。若在任一环节发现异常（如镜像启动失败、应用功能异常），需参考华为云迁移日志（可在LTS控制台查询）定位问题原因，必要时重新执行迁移任务或联系技术支持进行故障排查，确保迁移结果满足业务连续性</w:t>
      </w:r>
      <w:r w:rsidR="006C6F6D" w:rsidRPr="006C6F6D">
        <w:rPr>
          <w:b/>
        </w:rPr>
        <w:t>招标文件要求</w:t>
      </w:r>
      <w:r>
        <w:t>。</w:t>
      </w:r>
    </w:p>
    <w:p w14:paraId="38AAEDB1" w14:textId="02466B39" w:rsidR="00114B06" w:rsidRDefault="00114B06" w:rsidP="00114B06">
      <w:pPr>
        <w:pStyle w:val="6"/>
        <w:rPr>
          <w:rFonts w:hint="eastAsia"/>
        </w:rPr>
      </w:pPr>
      <w:r w:rsidRPr="00007C57">
        <w:t>查看迁移交付物</w:t>
      </w:r>
    </w:p>
    <w:p w14:paraId="3BC8F792" w14:textId="38D11715" w:rsidR="006B7F75" w:rsidRDefault="006B7F75" w:rsidP="006B7F75">
      <w:pPr>
        <w:ind w:firstLine="420"/>
        <w:rPr>
          <w:rFonts w:hint="eastAsia"/>
        </w:rPr>
      </w:pPr>
      <w:r>
        <w:rPr>
          <w:rFonts w:hint="eastAsia"/>
        </w:rPr>
        <w:t>当迁移目标类型选择为云主机镜像且迁移任务显示</w:t>
      </w:r>
      <w:r>
        <w:t>“已完成”后，需通过华为云控制台查看生成的自定义镜像及相关交付物，确保镜像质量与迁移结果符合预期。迁移交付物的验证涵盖镜像基本信息、检测报告、完整性校验等多个维度，具体操作与判断标准如下：</w:t>
      </w:r>
    </w:p>
    <w:p w14:paraId="27CE6073" w14:textId="2CFA71E9" w:rsidR="006B7F75" w:rsidRDefault="006B7F75" w:rsidP="006B7F75">
      <w:pPr>
        <w:ind w:firstLine="420"/>
        <w:rPr>
          <w:rFonts w:hint="eastAsia"/>
        </w:rPr>
      </w:pPr>
      <w:r>
        <w:rPr>
          <w:rFonts w:hint="eastAsia"/>
        </w:rPr>
        <w:t>首先，在华为云管理控制台搜索并进入</w:t>
      </w:r>
      <w:r>
        <w:t>“镜像服务”页面，在自定义镜像列表中找到迁移生成的镜像（可通过镜像名称、创建时间或迁移任务名称快速定位）。点击镜像名称进入详情页，查看镜像的基本信息：镜像状态需显示为“正常”，若状态为“创建中”或“异常”，则需等待或排查问题；操作系统类型应正确显示为“SUSE15SP6”，镜像格式为华为云支持的qcow2或raw；镜像大小需与源服务器的磁盘实际使用容量匹配，考虑到文件系统开销，允许存在5%-10%的误差。</w:t>
      </w:r>
    </w:p>
    <w:p w14:paraId="3356EF66" w14:textId="3F36E610" w:rsidR="006B7F75" w:rsidRDefault="006B7F75" w:rsidP="006B7F75">
      <w:pPr>
        <w:ind w:firstLine="420"/>
        <w:rPr>
          <w:rFonts w:hint="eastAsia"/>
        </w:rPr>
      </w:pPr>
      <w:r>
        <w:rPr>
          <w:rFonts w:hint="eastAsia"/>
        </w:rPr>
        <w:t>其次，查看镜像检测报告（若迁移配置中启用了</w:t>
      </w:r>
      <w:r>
        <w:t>“镜像检测”功能）。在镜像详情页的“检测信息”标签页中，系统会自动生成检测报告，内容包括：</w:t>
      </w:r>
    </w:p>
    <w:p w14:paraId="292AEACE" w14:textId="786AE065" w:rsidR="006B7F75" w:rsidRDefault="006B7F75">
      <w:pPr>
        <w:pStyle w:val="a3"/>
        <w:numPr>
          <w:ilvl w:val="0"/>
          <w:numId w:val="61"/>
        </w:numPr>
        <w:ind w:firstLineChars="0"/>
        <w:rPr>
          <w:rFonts w:hint="eastAsia"/>
        </w:rPr>
      </w:pPr>
      <w:r>
        <w:rPr>
          <w:rFonts w:hint="eastAsia"/>
        </w:rPr>
        <w:t>启动性检测：验证镜像能否在华为云虚拟化环境中正常启动，报告显示</w:t>
      </w:r>
      <w:r>
        <w:t>“启动成功”且无报错日志；</w:t>
      </w:r>
    </w:p>
    <w:p w14:paraId="6E7EB700" w14:textId="3441C26D" w:rsidR="006B7F75" w:rsidRDefault="006B7F75">
      <w:pPr>
        <w:pStyle w:val="a3"/>
        <w:numPr>
          <w:ilvl w:val="0"/>
          <w:numId w:val="61"/>
        </w:numPr>
        <w:ind w:firstLineChars="0"/>
        <w:rPr>
          <w:rFonts w:hint="eastAsia"/>
        </w:rPr>
      </w:pPr>
      <w:r>
        <w:rPr>
          <w:rFonts w:hint="eastAsia"/>
        </w:rPr>
        <w:t>驱动兼容性：列出镜像中已安装的驱动程序，重点检查网卡、存储控制器等关键驱动是否为华为云推荐版本，若存在</w:t>
      </w:r>
      <w:r>
        <w:t>“未知设备”或驱动版本过低，需手动更新；</w:t>
      </w:r>
    </w:p>
    <w:p w14:paraId="0E3F76DC" w14:textId="4CA61F2D" w:rsidR="006B7F75" w:rsidRDefault="006B7F75">
      <w:pPr>
        <w:pStyle w:val="a3"/>
        <w:numPr>
          <w:ilvl w:val="0"/>
          <w:numId w:val="61"/>
        </w:numPr>
        <w:ind w:firstLineChars="0"/>
        <w:rPr>
          <w:rFonts w:hint="eastAsia"/>
        </w:rPr>
      </w:pPr>
      <w:r>
        <w:rPr>
          <w:rFonts w:hint="eastAsia"/>
        </w:rPr>
        <w:t>服务状态：检测</w:t>
      </w:r>
      <w:r>
        <w:t>SUSE系统服务（如</w:t>
      </w:r>
      <w:proofErr w:type="spellStart"/>
      <w:r>
        <w:t>sshd</w:t>
      </w:r>
      <w:proofErr w:type="spellEnd"/>
      <w:r>
        <w:t>、</w:t>
      </w:r>
      <w:proofErr w:type="spellStart"/>
      <w:r>
        <w:t>postgresql</w:t>
      </w:r>
      <w:proofErr w:type="spellEnd"/>
      <w:r>
        <w:t>）是否正常启动，无“禁用”或“启动失败”的服务；</w:t>
      </w:r>
    </w:p>
    <w:p w14:paraId="33BF9324" w14:textId="61EFA66E" w:rsidR="006B7F75" w:rsidRDefault="006B7F75">
      <w:pPr>
        <w:pStyle w:val="a3"/>
        <w:numPr>
          <w:ilvl w:val="0"/>
          <w:numId w:val="61"/>
        </w:numPr>
        <w:ind w:firstLineChars="0"/>
        <w:rPr>
          <w:rFonts w:hint="eastAsia"/>
        </w:rPr>
      </w:pPr>
      <w:r>
        <w:rPr>
          <w:rFonts w:hint="eastAsia"/>
        </w:rPr>
        <w:t>磁盘分区：确认镜像中的磁盘分区结构与迁移配置一致，分区格式为</w:t>
      </w:r>
      <w:r>
        <w:t>ext4或</w:t>
      </w:r>
      <w:proofErr w:type="spellStart"/>
      <w:r>
        <w:t>xfs</w:t>
      </w:r>
      <w:proofErr w:type="spellEnd"/>
      <w:r>
        <w:t>且文件系统无错误。</w:t>
      </w:r>
    </w:p>
    <w:p w14:paraId="577C8EEA" w14:textId="77777777" w:rsidR="006B7F75" w:rsidRDefault="006B7F75" w:rsidP="006B7F75">
      <w:pPr>
        <w:ind w:firstLine="420"/>
        <w:rPr>
          <w:rFonts w:hint="eastAsia"/>
        </w:rPr>
      </w:pPr>
      <w:r>
        <w:rPr>
          <w:rFonts w:hint="eastAsia"/>
        </w:rPr>
        <w:t>若检测报告中存在警告（如非关键驱动缺失），需根据提示进行修复；若出现错误（如系统无法启动），则需重新执行迁移任务并检查源服务器状态。</w:t>
      </w:r>
    </w:p>
    <w:p w14:paraId="608381BF" w14:textId="27CED452" w:rsidR="006B7F75" w:rsidRDefault="006B7F75" w:rsidP="006B7F75">
      <w:pPr>
        <w:ind w:firstLine="420"/>
        <w:rPr>
          <w:rFonts w:hint="eastAsia"/>
        </w:rPr>
      </w:pPr>
      <w:r>
        <w:rPr>
          <w:rFonts w:hint="eastAsia"/>
        </w:rPr>
        <w:t>再者，验证镜像的完整性与一致性。在镜像详情页中，获取镜像的</w:t>
      </w:r>
      <w:r>
        <w:t>MD5或SHA256校验值，并与源服务器迁移前的备份镜像校验值对比，两者需完全一致，确保迁移过程中数据未被篡改或丢失。若源服务器未保存备份镜像校验值，可通过华为云控制台下载镜像文件至本地，使用哈希计算工具重新计算校验值进行验证。</w:t>
      </w:r>
    </w:p>
    <w:p w14:paraId="301554F4" w14:textId="07581038" w:rsidR="006B7F75" w:rsidRDefault="006B7F75" w:rsidP="006B7F75">
      <w:pPr>
        <w:ind w:firstLine="420"/>
        <w:rPr>
          <w:rFonts w:hint="eastAsia"/>
        </w:rPr>
      </w:pPr>
      <w:r>
        <w:rPr>
          <w:rFonts w:hint="eastAsia"/>
        </w:rPr>
        <w:t>此外，对于启用了</w:t>
      </w:r>
      <w:r>
        <w:t>“自动增量同步”功能的迁移任务，需确认镜像是否包含最新的增量数据。在迁移任务详情中，查看最后一次增量同步的时间与源服务器的业务变更时间是否一致，例如源服务器在迁移完成前1小时有数据更新，镜像的创建时间应晚于该更新时间，且增量同步次数与预设频率相符，避免因增量同步未完成导致镜像数据过时。</w:t>
      </w:r>
    </w:p>
    <w:p w14:paraId="3D68E2F1" w14:textId="4AE69874" w:rsidR="006B7F75" w:rsidRDefault="006B7F75" w:rsidP="006B7F75">
      <w:pPr>
        <w:ind w:firstLine="420"/>
        <w:rPr>
          <w:rFonts w:hint="eastAsia"/>
        </w:rPr>
      </w:pPr>
      <w:r>
        <w:rPr>
          <w:rFonts w:hint="eastAsia"/>
        </w:rPr>
        <w:lastRenderedPageBreak/>
        <w:t>最后，若迁移配置中选择了</w:t>
      </w:r>
      <w:r>
        <w:t>“生成报告”选项（默认开启），可在迁移任务详情页下载完整的迁移交付报告。报告内容包括：</w:t>
      </w:r>
    </w:p>
    <w:p w14:paraId="7BD70A45" w14:textId="77777777" w:rsidR="006B7F75" w:rsidRDefault="006B7F75">
      <w:pPr>
        <w:pStyle w:val="a3"/>
        <w:numPr>
          <w:ilvl w:val="0"/>
          <w:numId w:val="62"/>
        </w:numPr>
        <w:ind w:firstLineChars="0"/>
        <w:rPr>
          <w:rFonts w:hint="eastAsia"/>
        </w:rPr>
      </w:pPr>
      <w:r>
        <w:rPr>
          <w:rFonts w:hint="eastAsia"/>
        </w:rPr>
        <w:t>迁移概览：源服务器信息、目标镜像配置、迁移耗时、数据传输量；</w:t>
      </w:r>
    </w:p>
    <w:p w14:paraId="03B1E74A" w14:textId="77777777" w:rsidR="006B7F75" w:rsidRDefault="006B7F75">
      <w:pPr>
        <w:pStyle w:val="a3"/>
        <w:numPr>
          <w:ilvl w:val="0"/>
          <w:numId w:val="62"/>
        </w:numPr>
        <w:ind w:firstLineChars="0"/>
        <w:rPr>
          <w:rFonts w:hint="eastAsia"/>
        </w:rPr>
      </w:pPr>
      <w:r>
        <w:rPr>
          <w:rFonts w:hint="eastAsia"/>
        </w:rPr>
        <w:t>技术指标：增量同步次数、压缩率、传输带宽利用率；</w:t>
      </w:r>
    </w:p>
    <w:p w14:paraId="5B02BCDA" w14:textId="77777777" w:rsidR="006B7F75" w:rsidRDefault="006B7F75">
      <w:pPr>
        <w:pStyle w:val="a3"/>
        <w:numPr>
          <w:ilvl w:val="0"/>
          <w:numId w:val="62"/>
        </w:numPr>
        <w:ind w:firstLineChars="0"/>
        <w:rPr>
          <w:rFonts w:hint="eastAsia"/>
        </w:rPr>
      </w:pPr>
      <w:r>
        <w:rPr>
          <w:rFonts w:hint="eastAsia"/>
        </w:rPr>
        <w:t>验证结果：镜像检测结论、业务应用测试记录；</w:t>
      </w:r>
    </w:p>
    <w:p w14:paraId="1313CF2A" w14:textId="77777777" w:rsidR="006B7F75" w:rsidRDefault="006B7F75">
      <w:pPr>
        <w:pStyle w:val="a3"/>
        <w:numPr>
          <w:ilvl w:val="0"/>
          <w:numId w:val="62"/>
        </w:numPr>
        <w:ind w:firstLineChars="0"/>
        <w:rPr>
          <w:rFonts w:hint="eastAsia"/>
        </w:rPr>
      </w:pPr>
      <w:r>
        <w:rPr>
          <w:rFonts w:hint="eastAsia"/>
        </w:rPr>
        <w:t>注意事项：镜像使用建议、后续优化方向（如驱动更新、磁盘整理）。</w:t>
      </w:r>
    </w:p>
    <w:p w14:paraId="628C2D4A" w14:textId="79FF3B2C" w:rsidR="006B7F75" w:rsidRPr="006B7F75" w:rsidRDefault="006B7F75" w:rsidP="006B7F75">
      <w:pPr>
        <w:ind w:firstLine="420"/>
        <w:rPr>
          <w:rFonts w:hint="eastAsia"/>
        </w:rPr>
      </w:pPr>
      <w:r>
        <w:rPr>
          <w:rFonts w:hint="eastAsia"/>
        </w:rPr>
        <w:t>通过以上步骤对迁移交付物进行全面验证，确保生成的华为云自定义镜像可用于创建新的云主机实例或进一步分发。若发现镜像存在问题（如检测失败、数据不完整），需参考报告中的错误定位信息，排查迁移配置或源服务器环境，并重新执行迁移任务，直至交付物满足业务需求。</w:t>
      </w:r>
    </w:p>
    <w:p w14:paraId="16A15CFB" w14:textId="77777777" w:rsidR="00114B06" w:rsidRDefault="00114B06" w:rsidP="00114B06">
      <w:pPr>
        <w:pStyle w:val="6"/>
        <w:rPr>
          <w:rFonts w:hint="eastAsia"/>
        </w:rPr>
      </w:pPr>
      <w:r w:rsidRPr="00007C57">
        <w:t>业务验证与配置调整</w:t>
      </w:r>
    </w:p>
    <w:p w14:paraId="2F649262" w14:textId="785007A8" w:rsidR="006B7F75" w:rsidRDefault="006B7F75" w:rsidP="006B7F75">
      <w:pPr>
        <w:ind w:firstLine="420"/>
        <w:rPr>
          <w:rFonts w:hint="eastAsia"/>
        </w:rPr>
      </w:pPr>
      <w:r>
        <w:rPr>
          <w:rFonts w:hint="eastAsia"/>
        </w:rPr>
        <w:t>在确认迁移生成的华为云自定义镜像或云主机实例状态正常后，需进一步对业务功能进行全面验证，并根据华为云环境特性调整相关配置，确保迁移后的</w:t>
      </w:r>
      <w:r>
        <w:t>SUSE15SP6云主机能稳定承载业务运行。该环节涵盖数据校验、应用启动、IP地址配置等核心内容，具体操作流程如下：</w:t>
      </w:r>
    </w:p>
    <w:p w14:paraId="405098FC" w14:textId="6C3AE9B2" w:rsidR="006B7F75" w:rsidRDefault="006B7F75" w:rsidP="006B7F75">
      <w:pPr>
        <w:pStyle w:val="7"/>
        <w:rPr>
          <w:rFonts w:hint="eastAsia"/>
        </w:rPr>
      </w:pPr>
      <w:r>
        <w:t>数据校验</w:t>
      </w:r>
    </w:p>
    <w:p w14:paraId="6F09DE26" w14:textId="3142A295" w:rsidR="006B7F75" w:rsidRDefault="006B7F75" w:rsidP="006B7F75">
      <w:pPr>
        <w:ind w:firstLine="420"/>
        <w:rPr>
          <w:rFonts w:hint="eastAsia"/>
        </w:rPr>
      </w:pPr>
      <w:r>
        <w:rPr>
          <w:rFonts w:hint="eastAsia"/>
        </w:rPr>
        <w:t>通过多维度数据校验机制，验证迁移后的数据与源端的一致性。对于数据库数据（如</w:t>
      </w:r>
      <w:r>
        <w:t>PostgreSQL），可通过以下方式验证：</w:t>
      </w:r>
    </w:p>
    <w:p w14:paraId="689C5981" w14:textId="56935F48" w:rsidR="006B7F75" w:rsidRDefault="006B7F75">
      <w:pPr>
        <w:pStyle w:val="a3"/>
        <w:numPr>
          <w:ilvl w:val="0"/>
          <w:numId w:val="63"/>
        </w:numPr>
        <w:ind w:firstLineChars="0"/>
        <w:rPr>
          <w:rFonts w:hint="eastAsia"/>
        </w:rPr>
      </w:pPr>
      <w:r>
        <w:rPr>
          <w:rFonts w:hint="eastAsia"/>
        </w:rPr>
        <w:t>连接迁移后的</w:t>
      </w:r>
      <w:r>
        <w:t>PostgreSQL实例，对比源端与目标端的数据库列表、表结构及数据量，执行SELECTCOUNT(*)语句验证关键表的数据行数是否一致；</w:t>
      </w:r>
    </w:p>
    <w:p w14:paraId="512293E3" w14:textId="1C46FCA6" w:rsidR="006B7F75" w:rsidRDefault="006B7F75">
      <w:pPr>
        <w:pStyle w:val="a3"/>
        <w:numPr>
          <w:ilvl w:val="0"/>
          <w:numId w:val="63"/>
        </w:numPr>
        <w:ind w:firstLineChars="0"/>
        <w:rPr>
          <w:rFonts w:hint="eastAsia"/>
        </w:rPr>
      </w:pPr>
      <w:r>
        <w:rPr>
          <w:rFonts w:hint="eastAsia"/>
        </w:rPr>
        <w:t>对重要业务数据进行抽样对比，可通过导出</w:t>
      </w:r>
      <w:r>
        <w:t>CSV文件或使用数据库对比工具自动比对，确保无数据丢失或篡改；</w:t>
      </w:r>
    </w:p>
    <w:p w14:paraId="36904621" w14:textId="77777777" w:rsidR="006B7F75" w:rsidRDefault="006B7F75" w:rsidP="006B7F75">
      <w:pPr>
        <w:ind w:firstLine="420"/>
        <w:rPr>
          <w:rFonts w:hint="eastAsia"/>
        </w:rPr>
      </w:pPr>
      <w:r>
        <w:rPr>
          <w:rFonts w:hint="eastAsia"/>
        </w:rPr>
        <w:t>对于文件数据（如业务文档、日志文件），需检查迁移后的数据盘目录结构是否与源端一致，重点验证高频访问或关键业务文件的完整性：</w:t>
      </w:r>
    </w:p>
    <w:p w14:paraId="57DF3196" w14:textId="77777777" w:rsidR="006B7F75" w:rsidRDefault="006B7F75">
      <w:pPr>
        <w:pStyle w:val="a3"/>
        <w:numPr>
          <w:ilvl w:val="0"/>
          <w:numId w:val="64"/>
        </w:numPr>
        <w:ind w:firstLineChars="0"/>
        <w:rPr>
          <w:rFonts w:hint="eastAsia"/>
        </w:rPr>
      </w:pPr>
      <w:r>
        <w:rPr>
          <w:rFonts w:hint="eastAsia"/>
        </w:rPr>
        <w:t>在文件系统中逐层比对源服务器与迁移后云主机的数据目录，确认文件夹结构、文件数量一致；</w:t>
      </w:r>
    </w:p>
    <w:p w14:paraId="287E19EA" w14:textId="2CE0BC84" w:rsidR="006B7F75" w:rsidRDefault="006B7F75">
      <w:pPr>
        <w:pStyle w:val="a3"/>
        <w:numPr>
          <w:ilvl w:val="0"/>
          <w:numId w:val="64"/>
        </w:numPr>
        <w:ind w:firstLineChars="0"/>
        <w:rPr>
          <w:rFonts w:hint="eastAsia"/>
        </w:rPr>
      </w:pPr>
      <w:r>
        <w:rPr>
          <w:rFonts w:hint="eastAsia"/>
        </w:rPr>
        <w:t>随机选取</w:t>
      </w:r>
      <w:r>
        <w:t>10%-20%的关键文件，查看创建时间、修改时间及文件大小是否与源端一致；</w:t>
      </w:r>
    </w:p>
    <w:p w14:paraId="08B4F85C" w14:textId="77777777" w:rsidR="006B7F75" w:rsidRDefault="006B7F75">
      <w:pPr>
        <w:pStyle w:val="a3"/>
        <w:numPr>
          <w:ilvl w:val="0"/>
          <w:numId w:val="64"/>
        </w:numPr>
        <w:ind w:firstLineChars="0"/>
        <w:rPr>
          <w:rFonts w:hint="eastAsia"/>
        </w:rPr>
      </w:pPr>
      <w:r>
        <w:rPr>
          <w:rFonts w:hint="eastAsia"/>
        </w:rPr>
        <w:t>对业务文件打开并验证内容完整性，确保文件可正常读取且无损坏。</w:t>
      </w:r>
    </w:p>
    <w:p w14:paraId="21A88670" w14:textId="4416473F" w:rsidR="006B7F75" w:rsidRDefault="006B7F75" w:rsidP="006B7F75">
      <w:pPr>
        <w:pStyle w:val="7"/>
        <w:rPr>
          <w:rFonts w:hint="eastAsia"/>
        </w:rPr>
      </w:pPr>
      <w:r>
        <w:t>应用和服务启动</w:t>
      </w:r>
    </w:p>
    <w:p w14:paraId="593A462F" w14:textId="77777777" w:rsidR="006B7F75" w:rsidRDefault="006B7F75" w:rsidP="006B7F75">
      <w:pPr>
        <w:ind w:firstLine="420"/>
        <w:rPr>
          <w:rFonts w:hint="eastAsia"/>
        </w:rPr>
      </w:pPr>
      <w:r>
        <w:rPr>
          <w:rFonts w:hint="eastAsia"/>
        </w:rPr>
        <w:t>若迁移前源服务器中的应用或服务未设置自启动，迁移至华为云后需手动启动并配置启动策略：</w:t>
      </w:r>
    </w:p>
    <w:p w14:paraId="2BA36E90" w14:textId="6FAF6EAF" w:rsidR="006B7F75" w:rsidRDefault="006B7F75">
      <w:pPr>
        <w:pStyle w:val="a3"/>
        <w:numPr>
          <w:ilvl w:val="0"/>
          <w:numId w:val="65"/>
        </w:numPr>
        <w:ind w:firstLineChars="0"/>
        <w:rPr>
          <w:rFonts w:hint="eastAsia"/>
        </w:rPr>
      </w:pPr>
      <w:r>
        <w:rPr>
          <w:rFonts w:hint="eastAsia"/>
        </w:rPr>
        <w:t>登录迁移后的</w:t>
      </w:r>
      <w:r>
        <w:t>SUSE云主机，通过“</w:t>
      </w:r>
      <w:proofErr w:type="spellStart"/>
      <w:r>
        <w:t>systemctl</w:t>
      </w:r>
      <w:proofErr w:type="spellEnd"/>
      <w:r>
        <w:t>”命令查看所有服务状态，对业务相关服务检查是否设置为“自动”启动类型，若为“手动”或“禁用”，修改启动类型并启动服务；</w:t>
      </w:r>
    </w:p>
    <w:p w14:paraId="37D55CF6" w14:textId="77777777" w:rsidR="006B7F75" w:rsidRDefault="006B7F75">
      <w:pPr>
        <w:pStyle w:val="a3"/>
        <w:numPr>
          <w:ilvl w:val="0"/>
          <w:numId w:val="65"/>
        </w:numPr>
        <w:ind w:firstLineChars="0"/>
        <w:rPr>
          <w:rFonts w:hint="eastAsia"/>
        </w:rPr>
      </w:pPr>
      <w:r>
        <w:rPr>
          <w:rFonts w:hint="eastAsia"/>
        </w:rPr>
        <w:t>对于需要随系统启动的第三方应用，检查其是否在启动目录中或通过系统服务配置，若缺失则手动添加；</w:t>
      </w:r>
    </w:p>
    <w:p w14:paraId="0F5C0A42" w14:textId="1273E156" w:rsidR="006B7F75" w:rsidRDefault="006B7F75">
      <w:pPr>
        <w:pStyle w:val="a3"/>
        <w:numPr>
          <w:ilvl w:val="0"/>
          <w:numId w:val="65"/>
        </w:numPr>
        <w:ind w:firstLineChars="0"/>
        <w:rPr>
          <w:rFonts w:hint="eastAsia"/>
        </w:rPr>
      </w:pPr>
      <w:r>
        <w:rPr>
          <w:rFonts w:hint="eastAsia"/>
        </w:rPr>
        <w:t>启动应用后，执行基础功能测试：例如</w:t>
      </w:r>
      <w:r>
        <w:t>Nginx服务需访问首页及核心业务页面，确</w:t>
      </w:r>
      <w:r>
        <w:lastRenderedPageBreak/>
        <w:t>保页面加载正常、交互功能无误；ERP系统需验证用户登录、数据查询等操作，确保应用在华为云环境中运行流畅。</w:t>
      </w:r>
    </w:p>
    <w:p w14:paraId="590244FD" w14:textId="02986A0D" w:rsidR="006B7F75" w:rsidRDefault="006B7F75" w:rsidP="006B7F75">
      <w:pPr>
        <w:pStyle w:val="7"/>
        <w:rPr>
          <w:rFonts w:hint="eastAsia"/>
        </w:rPr>
      </w:pPr>
      <w:r>
        <w:t>IP地址相关配置修改</w:t>
      </w:r>
    </w:p>
    <w:p w14:paraId="471D94E5" w14:textId="417C63C3" w:rsidR="006B7F75" w:rsidRDefault="006B7F75">
      <w:pPr>
        <w:pStyle w:val="a3"/>
        <w:numPr>
          <w:ilvl w:val="0"/>
          <w:numId w:val="66"/>
        </w:numPr>
        <w:ind w:firstLineChars="0"/>
        <w:rPr>
          <w:rFonts w:hint="eastAsia"/>
        </w:rPr>
      </w:pPr>
      <w:r>
        <w:t>业务域名与公网IP配置</w:t>
      </w:r>
    </w:p>
    <w:p w14:paraId="54E6001D" w14:textId="09FC917F" w:rsidR="006B7F75" w:rsidRDefault="006B7F75" w:rsidP="006B7F75">
      <w:pPr>
        <w:ind w:firstLine="420"/>
        <w:rPr>
          <w:rFonts w:hint="eastAsia"/>
        </w:rPr>
      </w:pPr>
      <w:r>
        <w:rPr>
          <w:rFonts w:hint="eastAsia"/>
        </w:rPr>
        <w:t>若业务涉及</w:t>
      </w:r>
      <w:r>
        <w:t>IP地址直接访问，或使用域名解析服务，需根据华为云分配的公网IP地址修改相关配置：</w:t>
      </w:r>
    </w:p>
    <w:p w14:paraId="169F3A18" w14:textId="740F6F20" w:rsidR="006B7F75" w:rsidRDefault="006B7F75">
      <w:pPr>
        <w:pStyle w:val="a3"/>
        <w:numPr>
          <w:ilvl w:val="0"/>
          <w:numId w:val="67"/>
        </w:numPr>
        <w:ind w:firstLineChars="0"/>
        <w:rPr>
          <w:rFonts w:hint="eastAsia"/>
        </w:rPr>
      </w:pPr>
      <w:r>
        <w:rPr>
          <w:rFonts w:hint="eastAsia"/>
        </w:rPr>
        <w:t>登录域名服务提供商的管理平台，找到源服务器绑定的域名，将域名解析记录中的</w:t>
      </w:r>
      <w:r>
        <w:t>IP地址修改为迁移后云主机的公网IP，记录类型选择“A记录”，TTL值建议设置为10分钟以便快速生效；</w:t>
      </w:r>
    </w:p>
    <w:p w14:paraId="75847139" w14:textId="404A8098" w:rsidR="006B7F75" w:rsidRDefault="006B7F75">
      <w:pPr>
        <w:pStyle w:val="a3"/>
        <w:numPr>
          <w:ilvl w:val="0"/>
          <w:numId w:val="67"/>
        </w:numPr>
        <w:ind w:firstLineChars="0"/>
        <w:rPr>
          <w:rFonts w:hint="eastAsia"/>
        </w:rPr>
      </w:pPr>
      <w:r>
        <w:rPr>
          <w:rFonts w:hint="eastAsia"/>
        </w:rPr>
        <w:t>若业务系统备案信息中登记的服务器</w:t>
      </w:r>
      <w:r>
        <w:t>IP与迁移后不符，需通过华为云备案系统提交IP变更申请，按流程完成ICP备案信息修改，避免因备案信息不一致导致业务访问异常；</w:t>
      </w:r>
    </w:p>
    <w:p w14:paraId="74F894FC" w14:textId="6688EE48" w:rsidR="006B7F75" w:rsidRDefault="006B7F75">
      <w:pPr>
        <w:pStyle w:val="a3"/>
        <w:numPr>
          <w:ilvl w:val="0"/>
          <w:numId w:val="67"/>
        </w:numPr>
        <w:ind w:firstLineChars="0"/>
        <w:rPr>
          <w:rFonts w:hint="eastAsia"/>
        </w:rPr>
      </w:pPr>
      <w:r>
        <w:rPr>
          <w:rFonts w:hint="eastAsia"/>
        </w:rPr>
        <w:t>对于通过公网</w:t>
      </w:r>
      <w:r>
        <w:t>IP直接访问的业务，需确保华为云安全组规则已放行相关端口，可通过ping命令或远程连接工具测试公网IP的连通性。</w:t>
      </w:r>
    </w:p>
    <w:p w14:paraId="7F787C5B" w14:textId="221427B7" w:rsidR="006B7F75" w:rsidRDefault="006B7F75">
      <w:pPr>
        <w:pStyle w:val="a3"/>
        <w:numPr>
          <w:ilvl w:val="0"/>
          <w:numId w:val="66"/>
        </w:numPr>
        <w:ind w:firstLineChars="0"/>
        <w:rPr>
          <w:rFonts w:hint="eastAsia"/>
        </w:rPr>
      </w:pPr>
      <w:r>
        <w:t>私网IP地址保持与修改策略</w:t>
      </w:r>
    </w:p>
    <w:p w14:paraId="4C47B627" w14:textId="29444772" w:rsidR="006B7F75" w:rsidRDefault="006B7F75" w:rsidP="006B7F75">
      <w:pPr>
        <w:ind w:firstLine="420"/>
        <w:rPr>
          <w:rFonts w:hint="eastAsia"/>
        </w:rPr>
      </w:pPr>
      <w:r>
        <w:rPr>
          <w:rFonts w:hint="eastAsia"/>
        </w:rPr>
        <w:t>根据迁移目标类型的不同，私网</w:t>
      </w:r>
      <w:r>
        <w:t>IP地址的配置方式如下：</w:t>
      </w:r>
    </w:p>
    <w:p w14:paraId="7623E330" w14:textId="52560567" w:rsidR="006B7F75" w:rsidRDefault="006B7F75">
      <w:pPr>
        <w:pStyle w:val="a3"/>
        <w:numPr>
          <w:ilvl w:val="0"/>
          <w:numId w:val="68"/>
        </w:numPr>
        <w:ind w:firstLineChars="0"/>
        <w:rPr>
          <w:rFonts w:hint="eastAsia"/>
        </w:rPr>
      </w:pPr>
      <w:r>
        <w:rPr>
          <w:rFonts w:hint="eastAsia"/>
        </w:rPr>
        <w:t>目标类型为自定义镜像：通过该镜像创建云主机实例时，可在华为云控制台的网络配置中选择</w:t>
      </w:r>
      <w:r>
        <w:t>“保持私网IP不变”或“手动指定”：</w:t>
      </w:r>
    </w:p>
    <w:p w14:paraId="59CF8D4A" w14:textId="13676C72" w:rsidR="006B7F75" w:rsidRDefault="006B7F75">
      <w:pPr>
        <w:pStyle w:val="a3"/>
        <w:numPr>
          <w:ilvl w:val="1"/>
          <w:numId w:val="68"/>
        </w:numPr>
        <w:ind w:firstLineChars="0"/>
        <w:rPr>
          <w:rFonts w:hint="eastAsia"/>
        </w:rPr>
      </w:pPr>
      <w:r>
        <w:rPr>
          <w:rFonts w:hint="eastAsia"/>
        </w:rPr>
        <w:t>若选择</w:t>
      </w:r>
      <w:r>
        <w:t>“保持不变”，需确保华为云专有网络（VPC）的IP地址段与源服务器所在网络一致，且无IP冲突。操作时在创建实例的“网络配置”步骤中，勾选“指定私网IP”并输入源服务器的私网IP，系统会自动校验IP有效性；</w:t>
      </w:r>
    </w:p>
    <w:p w14:paraId="0A6C3C9B" w14:textId="5591C781" w:rsidR="006B7F75" w:rsidRDefault="006B7F75">
      <w:pPr>
        <w:pStyle w:val="a3"/>
        <w:numPr>
          <w:ilvl w:val="1"/>
          <w:numId w:val="68"/>
        </w:numPr>
        <w:ind w:firstLineChars="0"/>
        <w:rPr>
          <w:rFonts w:hint="eastAsia"/>
        </w:rPr>
      </w:pPr>
      <w:r>
        <w:rPr>
          <w:rFonts w:hint="eastAsia"/>
        </w:rPr>
        <w:t>若选择</w:t>
      </w:r>
      <w:r>
        <w:t>“手动指定”，需根据VPC的子网掩码和网关设置新的私网IP，确保与同一VPC内的其他资源网络互通。</w:t>
      </w:r>
    </w:p>
    <w:p w14:paraId="755DCF49" w14:textId="3D656595" w:rsidR="006B7F75" w:rsidRDefault="006B7F75">
      <w:pPr>
        <w:pStyle w:val="a3"/>
        <w:numPr>
          <w:ilvl w:val="0"/>
          <w:numId w:val="68"/>
        </w:numPr>
        <w:ind w:firstLineChars="0"/>
        <w:rPr>
          <w:rFonts w:hint="eastAsia"/>
        </w:rPr>
      </w:pPr>
      <w:r>
        <w:rPr>
          <w:rFonts w:hint="eastAsia"/>
        </w:rPr>
        <w:t>目标类型为云服务器实例：迁移过程中若已配置</w:t>
      </w:r>
      <w:r>
        <w:t>“IPv4私网地址保持不变”，实例创建后会自动采用源服务器的私网IP；若需修改，可在实例运行状态下通过以下步骤操作：</w:t>
      </w:r>
    </w:p>
    <w:p w14:paraId="2AE62094" w14:textId="18481F20" w:rsidR="006B7F75" w:rsidRDefault="006B7F75">
      <w:pPr>
        <w:pStyle w:val="a3"/>
        <w:numPr>
          <w:ilvl w:val="1"/>
          <w:numId w:val="68"/>
        </w:numPr>
        <w:ind w:firstLineChars="0"/>
        <w:rPr>
          <w:rFonts w:hint="eastAsia"/>
        </w:rPr>
      </w:pPr>
      <w:r>
        <w:rPr>
          <w:rFonts w:hint="eastAsia"/>
        </w:rPr>
        <w:t>登录华为云控制台，进入目标实例的</w:t>
      </w:r>
      <w:r>
        <w:t>“网络”标签页；</w:t>
      </w:r>
    </w:p>
    <w:p w14:paraId="597C8762" w14:textId="11C836E0" w:rsidR="006B7F75" w:rsidRDefault="006B7F75">
      <w:pPr>
        <w:pStyle w:val="a3"/>
        <w:numPr>
          <w:ilvl w:val="1"/>
          <w:numId w:val="68"/>
        </w:numPr>
        <w:ind w:firstLineChars="0"/>
        <w:rPr>
          <w:rFonts w:hint="eastAsia"/>
        </w:rPr>
      </w:pPr>
      <w:r>
        <w:rPr>
          <w:rFonts w:hint="eastAsia"/>
        </w:rPr>
        <w:t>点击</w:t>
      </w:r>
      <w:r>
        <w:t>“更改私网IP”按钮，在弹出窗口中选择新的私网IP（需在VPC网段内）；</w:t>
      </w:r>
    </w:p>
    <w:p w14:paraId="1962AE98" w14:textId="6BCAF858" w:rsidR="006B7F75" w:rsidRDefault="006B7F75">
      <w:pPr>
        <w:pStyle w:val="a3"/>
        <w:numPr>
          <w:ilvl w:val="1"/>
          <w:numId w:val="68"/>
        </w:numPr>
        <w:ind w:firstLineChars="0"/>
        <w:rPr>
          <w:rFonts w:hint="eastAsia"/>
        </w:rPr>
      </w:pPr>
      <w:r>
        <w:rPr>
          <w:rFonts w:hint="eastAsia"/>
        </w:rPr>
        <w:t>确认修改后，系统会重启实例使</w:t>
      </w:r>
      <w:r>
        <w:t>IP生效，重启前需确保业务已暂停或做好容灾准备。</w:t>
      </w:r>
    </w:p>
    <w:p w14:paraId="79D0B796" w14:textId="1FB807AF" w:rsidR="006B7F75" w:rsidRDefault="006B7F75" w:rsidP="006B7F75">
      <w:pPr>
        <w:ind w:firstLine="420"/>
        <w:rPr>
          <w:rFonts w:hint="eastAsia"/>
        </w:rPr>
      </w:pPr>
      <w:r>
        <w:rPr>
          <w:rFonts w:hint="eastAsia"/>
        </w:rPr>
        <w:t>无论哪种目标类型，修改私网</w:t>
      </w:r>
      <w:r>
        <w:t>IP后均需在SUSE系统内验证网络配置：查看网络配置文件中的IP地址、子网掩码、默认网关是否正确，通过ping命令测试与同一VPC内其他资源的连通性，确保业务系统的内网通信正常。</w:t>
      </w:r>
    </w:p>
    <w:p w14:paraId="571FE270" w14:textId="177C7952" w:rsidR="006B7F75" w:rsidRDefault="006B7F75" w:rsidP="006B7F75">
      <w:pPr>
        <w:pStyle w:val="7"/>
        <w:rPr>
          <w:rFonts w:hint="eastAsia"/>
        </w:rPr>
      </w:pPr>
      <w:r>
        <w:t>综合验证与优化</w:t>
      </w:r>
    </w:p>
    <w:p w14:paraId="7D3EC0B8" w14:textId="3FB85D7C" w:rsidR="006B7F75" w:rsidRDefault="006B7F75" w:rsidP="006B7F75">
      <w:pPr>
        <w:ind w:firstLine="420"/>
        <w:rPr>
          <w:rFonts w:hint="eastAsia"/>
        </w:rPr>
      </w:pPr>
      <w:r>
        <w:rPr>
          <w:rFonts w:hint="eastAsia"/>
        </w:rPr>
        <w:t>完成上述操作后，需进行至少</w:t>
      </w:r>
      <w:r>
        <w:t>24小时的业务稳定性观察，记录以下指标：</w:t>
      </w:r>
    </w:p>
    <w:p w14:paraId="6B745178" w14:textId="3675BD00" w:rsidR="006B7F75" w:rsidRDefault="006B7F75">
      <w:pPr>
        <w:pStyle w:val="a3"/>
        <w:numPr>
          <w:ilvl w:val="0"/>
          <w:numId w:val="69"/>
        </w:numPr>
        <w:ind w:firstLineChars="0"/>
        <w:rPr>
          <w:rFonts w:hint="eastAsia"/>
        </w:rPr>
      </w:pPr>
      <w:r>
        <w:rPr>
          <w:rFonts w:hint="eastAsia"/>
        </w:rPr>
        <w:t>系统资源利用率：通过</w:t>
      </w:r>
      <w:r>
        <w:t>top命令监控CPU、内存、磁盘IO的使用率，确保在业务高峰期资源占用不超过70%-80%，避免因资源不足导致性能瓶颈；</w:t>
      </w:r>
    </w:p>
    <w:p w14:paraId="686667E5" w14:textId="77777777" w:rsidR="006B7F75" w:rsidRDefault="006B7F75">
      <w:pPr>
        <w:pStyle w:val="a3"/>
        <w:numPr>
          <w:ilvl w:val="0"/>
          <w:numId w:val="69"/>
        </w:numPr>
        <w:ind w:firstLineChars="0"/>
        <w:rPr>
          <w:rFonts w:hint="eastAsia"/>
        </w:rPr>
      </w:pPr>
      <w:r>
        <w:rPr>
          <w:rFonts w:hint="eastAsia"/>
        </w:rPr>
        <w:t>业务交易成功率：统计核心业务的交易次数与失败率，确保业务正常运行；</w:t>
      </w:r>
    </w:p>
    <w:p w14:paraId="3BACAD69" w14:textId="432BAE5A" w:rsidR="006B7F75" w:rsidRDefault="006B7F75">
      <w:pPr>
        <w:pStyle w:val="a3"/>
        <w:numPr>
          <w:ilvl w:val="0"/>
          <w:numId w:val="69"/>
        </w:numPr>
        <w:ind w:firstLineChars="0"/>
        <w:rPr>
          <w:rFonts w:hint="eastAsia"/>
        </w:rPr>
      </w:pPr>
      <w:r>
        <w:rPr>
          <w:rFonts w:hint="eastAsia"/>
        </w:rPr>
        <w:t>网络延迟：使用</w:t>
      </w:r>
      <w:r>
        <w:t>ping和</w:t>
      </w:r>
      <w:proofErr w:type="spellStart"/>
      <w:r>
        <w:t>tracert</w:t>
      </w:r>
      <w:proofErr w:type="spellEnd"/>
      <w:r>
        <w:t>命令测试内外网延迟，公网访问延迟应控制在50ms以内，内网延迟控制在10ms以内。</w:t>
      </w:r>
    </w:p>
    <w:p w14:paraId="6A855A3A" w14:textId="2B21367A" w:rsidR="006B7F75" w:rsidRDefault="006B7F75" w:rsidP="006B7F75">
      <w:pPr>
        <w:ind w:firstLine="420"/>
        <w:rPr>
          <w:rFonts w:hint="eastAsia"/>
        </w:rPr>
      </w:pPr>
      <w:r>
        <w:rPr>
          <w:rFonts w:hint="eastAsia"/>
        </w:rPr>
        <w:lastRenderedPageBreak/>
        <w:t>若发现异常，可参考华为云监控服务（</w:t>
      </w:r>
      <w:r>
        <w:t>CES）的告警信息，排查网络配置、安全组规则或应用日志，及时调整配置直至业务运行稳定。通过完整的业务验证与配置调整，确保SUSE云主机在华为云环境中实现平滑过渡，满足企业业务连续性与性能需求。</w:t>
      </w:r>
    </w:p>
    <w:p w14:paraId="18E34F0B" w14:textId="21721C8A" w:rsidR="006B7F75" w:rsidRDefault="006B7F75" w:rsidP="006B7F75">
      <w:pPr>
        <w:pStyle w:val="7"/>
        <w:rPr>
          <w:rFonts w:hint="eastAsia"/>
        </w:rPr>
      </w:pPr>
      <w:r>
        <w:t>补丁升级验证</w:t>
      </w:r>
    </w:p>
    <w:p w14:paraId="635C2905" w14:textId="77777777" w:rsidR="006B7F75" w:rsidRDefault="006B7F75" w:rsidP="006B7F75">
      <w:pPr>
        <w:ind w:firstLine="420"/>
        <w:rPr>
          <w:rFonts w:hint="eastAsia"/>
        </w:rPr>
      </w:pPr>
      <w:r>
        <w:rPr>
          <w:rFonts w:hint="eastAsia"/>
        </w:rPr>
        <w:t>为确保迁移后的系统可正常进行补丁升级，需进行以下验证：</w:t>
      </w:r>
    </w:p>
    <w:p w14:paraId="619E7E5B" w14:textId="1C7334FE" w:rsidR="006B7F75" w:rsidRDefault="006B7F75">
      <w:pPr>
        <w:pStyle w:val="a3"/>
        <w:numPr>
          <w:ilvl w:val="0"/>
          <w:numId w:val="70"/>
        </w:numPr>
        <w:ind w:firstLineChars="0"/>
        <w:rPr>
          <w:rFonts w:hint="eastAsia"/>
        </w:rPr>
      </w:pPr>
      <w:r>
        <w:rPr>
          <w:rFonts w:hint="eastAsia"/>
        </w:rPr>
        <w:t>登录迁移后的</w:t>
      </w:r>
      <w:r>
        <w:t>SUSE云主机，使用</w:t>
      </w:r>
      <w:proofErr w:type="spellStart"/>
      <w:r>
        <w:t>zypper</w:t>
      </w:r>
      <w:proofErr w:type="spellEnd"/>
      <w:r>
        <w:t>命令执行系统更新，验证是否可正常获取并安装补丁；</w:t>
      </w:r>
    </w:p>
    <w:p w14:paraId="18624539" w14:textId="77777777" w:rsidR="006B7F75" w:rsidRDefault="006B7F75">
      <w:pPr>
        <w:pStyle w:val="a3"/>
        <w:numPr>
          <w:ilvl w:val="0"/>
          <w:numId w:val="70"/>
        </w:numPr>
        <w:ind w:firstLineChars="0"/>
        <w:rPr>
          <w:rFonts w:hint="eastAsia"/>
        </w:rPr>
      </w:pPr>
      <w:r>
        <w:rPr>
          <w:rFonts w:hint="eastAsia"/>
        </w:rPr>
        <w:t>检查补丁安装过程中是否出现错误，如依赖关系问题、权限问题等；</w:t>
      </w:r>
    </w:p>
    <w:p w14:paraId="2C6A9A17" w14:textId="0D065F39" w:rsidR="009F1367" w:rsidRPr="006B7F75" w:rsidRDefault="006B7F75">
      <w:pPr>
        <w:pStyle w:val="a3"/>
        <w:numPr>
          <w:ilvl w:val="0"/>
          <w:numId w:val="70"/>
        </w:numPr>
        <w:ind w:firstLineChars="0"/>
        <w:rPr>
          <w:rFonts w:hint="eastAsia"/>
        </w:rPr>
      </w:pPr>
      <w:r>
        <w:rPr>
          <w:rFonts w:hint="eastAsia"/>
        </w:rPr>
        <w:t>补丁安装完成后，重启系统并验证业务应用是否正常运行，确保补丁升级不影响业务功能。</w:t>
      </w:r>
    </w:p>
    <w:p w14:paraId="146876EE" w14:textId="77777777" w:rsidR="009F1367" w:rsidRDefault="009F1367" w:rsidP="009F1367">
      <w:pPr>
        <w:pStyle w:val="4"/>
        <w:rPr>
          <w:rFonts w:hint="eastAsia"/>
        </w:rPr>
      </w:pPr>
      <w:r>
        <w:rPr>
          <w:rFonts w:hint="eastAsia"/>
        </w:rPr>
        <w:t>云主机迁移方案</w:t>
      </w:r>
      <w:r w:rsidRPr="002603A6">
        <w:t>（操作系统：redhat6.10/8.9）</w:t>
      </w:r>
    </w:p>
    <w:p w14:paraId="2B78FBBC" w14:textId="77777777" w:rsidR="00114B06" w:rsidRPr="00007C57" w:rsidRDefault="00114B06" w:rsidP="00114B06">
      <w:pPr>
        <w:pStyle w:val="5"/>
        <w:rPr>
          <w:rFonts w:hint="eastAsia"/>
        </w:rPr>
      </w:pPr>
      <w:r w:rsidRPr="00007C57">
        <w:t>迁移准备工作</w:t>
      </w:r>
    </w:p>
    <w:p w14:paraId="5B5E2D58" w14:textId="6E2C5B9A" w:rsidR="00114B06" w:rsidRDefault="00114B06" w:rsidP="00114B06">
      <w:pPr>
        <w:pStyle w:val="6"/>
        <w:rPr>
          <w:rFonts w:hint="eastAsia"/>
        </w:rPr>
      </w:pPr>
      <w:r w:rsidRPr="00007C57">
        <w:t>数据备份</w:t>
      </w:r>
    </w:p>
    <w:p w14:paraId="22269F60" w14:textId="48261083" w:rsidR="00332E2A" w:rsidRDefault="00332E2A" w:rsidP="00332E2A">
      <w:pPr>
        <w:ind w:firstLine="420"/>
        <w:rPr>
          <w:rFonts w:hint="eastAsia"/>
        </w:rPr>
      </w:pPr>
      <w:r>
        <w:rPr>
          <w:rFonts w:hint="eastAsia"/>
        </w:rPr>
        <w:t>为确保</w:t>
      </w:r>
      <w:r>
        <w:t>RedHat6.10/8.9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3EBCD96D" w14:textId="39C65668" w:rsidR="00332E2A" w:rsidRDefault="00332E2A">
      <w:pPr>
        <w:pStyle w:val="a3"/>
        <w:numPr>
          <w:ilvl w:val="0"/>
          <w:numId w:val="71"/>
        </w:numPr>
        <w:ind w:firstLineChars="0"/>
        <w:rPr>
          <w:rFonts w:hint="eastAsia"/>
        </w:rPr>
      </w:pPr>
      <w:r>
        <w:rPr>
          <w:rFonts w:hint="eastAsia"/>
        </w:rPr>
        <w:t>系统盘备份：建议采用镜像备份方式，通过</w:t>
      </w:r>
      <w:r>
        <w:t>RedHat内置的“dd”命令或第三方备份工具（如</w:t>
      </w:r>
      <w:proofErr w:type="spellStart"/>
      <w:r>
        <w:t>Clonezilla</w:t>
      </w:r>
      <w:proofErr w:type="spellEnd"/>
      <w:r>
        <w:t>、LVM快照）创建完整的系统镜像。对于使用LVM管理的系统盘，可通过LVM快照功能生成一致性镜像，确保包含操作系统内核、驱动程序、已安装软件包及系统配置。执行示例：</w:t>
      </w:r>
      <w:proofErr w:type="spellStart"/>
      <w:r>
        <w:t>ddif</w:t>
      </w:r>
      <w:proofErr w:type="spellEnd"/>
      <w:r>
        <w:t>=/dev/</w:t>
      </w:r>
      <w:proofErr w:type="spellStart"/>
      <w:r>
        <w:t>sdaof</w:t>
      </w:r>
      <w:proofErr w:type="spellEnd"/>
      <w:r>
        <w:t>=/backup/</w:t>
      </w:r>
      <w:proofErr w:type="spellStart"/>
      <w:r>
        <w:t>redhat_system.imgbs</w:t>
      </w:r>
      <w:proofErr w:type="spellEnd"/>
      <w:r>
        <w:t>=4M，或利用LVM快照：lvcreate-L10G-s-nsnap_lv/dev/vg0/root。</w:t>
      </w:r>
    </w:p>
    <w:p w14:paraId="6DEE033C" w14:textId="77777777" w:rsidR="00332E2A" w:rsidRDefault="00332E2A">
      <w:pPr>
        <w:pStyle w:val="a3"/>
        <w:numPr>
          <w:ilvl w:val="0"/>
          <w:numId w:val="71"/>
        </w:numPr>
        <w:ind w:firstLineChars="0"/>
        <w:rPr>
          <w:rFonts w:hint="eastAsia"/>
        </w:rPr>
      </w:pPr>
      <w:r>
        <w:rPr>
          <w:rFonts w:hint="eastAsia"/>
        </w:rPr>
        <w:t>数据盘备份：根据数据类型制定差异化备份策略：</w:t>
      </w:r>
    </w:p>
    <w:p w14:paraId="5EFF106D" w14:textId="6C927F31" w:rsidR="00332E2A" w:rsidRDefault="00332E2A">
      <w:pPr>
        <w:pStyle w:val="a3"/>
        <w:numPr>
          <w:ilvl w:val="1"/>
          <w:numId w:val="71"/>
        </w:numPr>
        <w:ind w:firstLineChars="0"/>
        <w:rPr>
          <w:rFonts w:hint="eastAsia"/>
        </w:rPr>
      </w:pPr>
      <w:r>
        <w:rPr>
          <w:rFonts w:hint="eastAsia"/>
        </w:rPr>
        <w:t>数据库数据（如</w:t>
      </w:r>
      <w:r>
        <w:t>MySQL、PostgreSQL）：利用数据库自带的备份功能执行全量备份与增量备份，确保数据一致性。例如MySQL可使用</w:t>
      </w:r>
      <w:proofErr w:type="spellStart"/>
      <w:r>
        <w:t>mysqldump</w:t>
      </w:r>
      <w:proofErr w:type="spellEnd"/>
      <w:r>
        <w:t>-</w:t>
      </w:r>
      <w:proofErr w:type="spellStart"/>
      <w:r>
        <w:t>uroot</w:t>
      </w:r>
      <w:proofErr w:type="spellEnd"/>
      <w:r>
        <w:t>-p--all-databases&gt;</w:t>
      </w:r>
      <w:proofErr w:type="spellStart"/>
      <w:r>
        <w:t>full_backup.sql</w:t>
      </w:r>
      <w:proofErr w:type="spellEnd"/>
      <w:r>
        <w:t>，配合二进制日志实现增量恢复。</w:t>
      </w:r>
    </w:p>
    <w:p w14:paraId="7A261AB5" w14:textId="7687710C" w:rsidR="00332E2A" w:rsidRDefault="00332E2A">
      <w:pPr>
        <w:pStyle w:val="a3"/>
        <w:numPr>
          <w:ilvl w:val="1"/>
          <w:numId w:val="71"/>
        </w:numPr>
        <w:ind w:firstLineChars="0"/>
        <w:rPr>
          <w:rFonts w:hint="eastAsia"/>
        </w:rPr>
      </w:pPr>
      <w:r>
        <w:rPr>
          <w:rFonts w:hint="eastAsia"/>
        </w:rPr>
        <w:t>文件数据（如业务文档、日志文件）：通过拷贝或压缩方式存储至专用备份存储设备，或利用华为云对象存储服务（</w:t>
      </w:r>
      <w:r>
        <w:t>OBS）进行异地存储。可使用tar-czvfdata_backup.tar.gz/data/apps命令压缩打包，通过</w:t>
      </w:r>
      <w:proofErr w:type="spellStart"/>
      <w:r>
        <w:t>obsutil</w:t>
      </w:r>
      <w:proofErr w:type="spellEnd"/>
      <w:r>
        <w:t>工具上传至OBS桶。</w:t>
      </w:r>
    </w:p>
    <w:p w14:paraId="36C31450" w14:textId="22DB8E49" w:rsidR="00332E2A" w:rsidRPr="00332E2A" w:rsidRDefault="00332E2A">
      <w:pPr>
        <w:pStyle w:val="a3"/>
        <w:numPr>
          <w:ilvl w:val="0"/>
          <w:numId w:val="71"/>
        </w:numPr>
        <w:ind w:firstLineChars="0"/>
        <w:rPr>
          <w:rFonts w:hint="eastAsia"/>
        </w:rPr>
      </w:pPr>
      <w:r>
        <w:rPr>
          <w:rFonts w:hint="eastAsia"/>
        </w:rPr>
        <w:t>备份验证与存储：完成备份后，需在测试环境中尝试恢复数据，检查系统镜像能否正常启动、数据库备份能否成功还原、文件数据能否完整读取。备份存储位置需独立于迁移源端与目标端的云主机实例，例如存储至华为云专属备份存储池、本地物理存储设备或其他第三方存储介质。对于关键业务系统，建议在迁移前执行增量备份，确保迁移窗口期内的数据变化被实时捕获，备份完成后记录备份时间、内容及</w:t>
      </w:r>
      <w:r>
        <w:rPr>
          <w:rFonts w:hint="eastAsia"/>
        </w:rPr>
        <w:lastRenderedPageBreak/>
        <w:t>存储位置，形成完整备份清单。</w:t>
      </w:r>
    </w:p>
    <w:p w14:paraId="278917BA" w14:textId="4EB0C045" w:rsidR="00114B06" w:rsidRDefault="00114B06" w:rsidP="00114B06">
      <w:pPr>
        <w:pStyle w:val="6"/>
        <w:rPr>
          <w:rFonts w:hint="eastAsia"/>
        </w:rPr>
      </w:pPr>
      <w:r w:rsidRPr="00007C57">
        <w:t>目标实例资源</w:t>
      </w:r>
      <w:r w:rsidR="006C6F6D" w:rsidRPr="006C6F6D">
        <w:t>招标文件要求</w:t>
      </w:r>
    </w:p>
    <w:p w14:paraId="3B4E7535" w14:textId="699C0D74" w:rsidR="00332E2A" w:rsidRDefault="00332E2A" w:rsidP="00332E2A">
      <w:pPr>
        <w:ind w:firstLine="420"/>
        <w:rPr>
          <w:rFonts w:hint="eastAsia"/>
        </w:rPr>
      </w:pPr>
      <w:r>
        <w:rPr>
          <w:rFonts w:hint="eastAsia"/>
        </w:rPr>
        <w:t>在迁移准备工作中，目标实例的资源配置需满足数据盘与磁盘容量的特定</w:t>
      </w:r>
      <w:r w:rsidR="006C6F6D" w:rsidRPr="006C6F6D">
        <w:rPr>
          <w:rFonts w:hint="eastAsia"/>
          <w:b/>
        </w:rPr>
        <w:t>招标文件要求</w:t>
      </w:r>
      <w:r>
        <w:rPr>
          <w:rFonts w:hint="eastAsia"/>
        </w:rPr>
        <w:t>，以确保迁移过程的顺利进行及迁移后系统的正常运行。</w:t>
      </w:r>
    </w:p>
    <w:p w14:paraId="4BF3358A" w14:textId="7D2256FE" w:rsidR="00332E2A" w:rsidRDefault="00332E2A">
      <w:pPr>
        <w:pStyle w:val="a3"/>
        <w:numPr>
          <w:ilvl w:val="0"/>
          <w:numId w:val="72"/>
        </w:numPr>
        <w:ind w:firstLineChars="0"/>
        <w:rPr>
          <w:rFonts w:hint="eastAsia"/>
        </w:rPr>
      </w:pPr>
      <w:r>
        <w:rPr>
          <w:rFonts w:hint="eastAsia"/>
        </w:rPr>
        <w:t>数据盘</w:t>
      </w:r>
      <w:r w:rsidR="006C6F6D" w:rsidRPr="006C6F6D">
        <w:rPr>
          <w:rFonts w:hint="eastAsia"/>
          <w:b/>
        </w:rPr>
        <w:t>招标文件要求</w:t>
      </w:r>
      <w:r>
        <w:rPr>
          <w:rFonts w:hint="eastAsia"/>
        </w:rPr>
        <w:t>：目标实例所挂载的数据盘数量必须大于或等于迁移源的数据盘数量。若目标实例当前挂载的数据盘数量不满足</w:t>
      </w:r>
      <w:r w:rsidR="006C6F6D" w:rsidRPr="006C6F6D">
        <w:rPr>
          <w:rFonts w:hint="eastAsia"/>
          <w:b/>
        </w:rPr>
        <w:t>招标文件要求</w:t>
      </w:r>
      <w:r>
        <w:rPr>
          <w:rFonts w:hint="eastAsia"/>
        </w:rPr>
        <w:t>，需通过华为云控制台挂载更多数据盘。具体操作可参考华为云官方文档中关于</w:t>
      </w:r>
      <w:r>
        <w:t>“云服务器挂载数据盘”的指导流程，确保操作规范性。</w:t>
      </w:r>
    </w:p>
    <w:p w14:paraId="402B4D0F" w14:textId="49ECDD98" w:rsidR="00332E2A" w:rsidRPr="00332E2A" w:rsidRDefault="00332E2A">
      <w:pPr>
        <w:pStyle w:val="a3"/>
        <w:numPr>
          <w:ilvl w:val="0"/>
          <w:numId w:val="72"/>
        </w:numPr>
        <w:ind w:firstLineChars="0"/>
        <w:rPr>
          <w:rFonts w:hint="eastAsia"/>
        </w:rPr>
      </w:pPr>
      <w:r>
        <w:rPr>
          <w:rFonts w:hint="eastAsia"/>
        </w:rPr>
        <w:t>磁盘容量</w:t>
      </w:r>
      <w:r w:rsidR="006C6F6D" w:rsidRPr="006C6F6D">
        <w:rPr>
          <w:rFonts w:hint="eastAsia"/>
          <w:b/>
        </w:rPr>
        <w:t>招标文件要求</w:t>
      </w:r>
      <w:r>
        <w:rPr>
          <w:rFonts w:hint="eastAsia"/>
        </w:rPr>
        <w:t>：目标实例的系统盘和数据盘容量建议大于或等于迁移源的对应磁盘容量。若因特殊情况需要对磁盘进行缩容，必须保证目标磁盘容量至少大于或等于源磁盘的实际使用容量。当目标磁盘容量不满足</w:t>
      </w:r>
      <w:r w:rsidR="006C6F6D" w:rsidRPr="006C6F6D">
        <w:rPr>
          <w:rFonts w:hint="eastAsia"/>
          <w:b/>
        </w:rPr>
        <w:t>招标文件要求</w:t>
      </w:r>
      <w:r>
        <w:rPr>
          <w:rFonts w:hint="eastAsia"/>
        </w:rPr>
        <w:t>时，需对云盘进行扩容操作，参考华为云官方提供的</w:t>
      </w:r>
      <w:r>
        <w:t>“云硬盘扩容”指南，针对不同类型的云硬盘（如普通IO、高IO、通用型SSD等）执行扩容步骤，确保扩容过程中数据安全与系统稳定。</w:t>
      </w:r>
    </w:p>
    <w:p w14:paraId="51600832" w14:textId="77777777" w:rsidR="00114B06" w:rsidRPr="00C6550E" w:rsidRDefault="00114B06" w:rsidP="00114B06">
      <w:pPr>
        <w:pStyle w:val="5"/>
        <w:rPr>
          <w:rFonts w:hint="eastAsia"/>
        </w:rPr>
      </w:pPr>
      <w:r w:rsidRPr="00C6550E">
        <w:t>迁移操作流程</w:t>
      </w:r>
    </w:p>
    <w:p w14:paraId="6C2746E5" w14:textId="01C35084" w:rsidR="00114B06" w:rsidRDefault="00114B06" w:rsidP="00114B06">
      <w:pPr>
        <w:pStyle w:val="6"/>
        <w:rPr>
          <w:rFonts w:hint="eastAsia"/>
        </w:rPr>
      </w:pPr>
      <w:r w:rsidRPr="00C6550E">
        <w:t>导入迁移源</w:t>
      </w:r>
    </w:p>
    <w:p w14:paraId="6261E54D" w14:textId="0CBDF562" w:rsidR="00332E2A" w:rsidRDefault="00332E2A" w:rsidP="00332E2A">
      <w:pPr>
        <w:pStyle w:val="7"/>
        <w:rPr>
          <w:rFonts w:hint="eastAsia"/>
        </w:rPr>
      </w:pPr>
      <w:r>
        <w:t>迁移源定义</w:t>
      </w:r>
    </w:p>
    <w:p w14:paraId="60A69C4E" w14:textId="449C0DBD" w:rsidR="00332E2A" w:rsidRDefault="00332E2A" w:rsidP="00332E2A">
      <w:pPr>
        <w:ind w:firstLine="420"/>
        <w:rPr>
          <w:rFonts w:hint="eastAsia"/>
        </w:rPr>
      </w:pPr>
      <w:r>
        <w:rPr>
          <w:rFonts w:hint="eastAsia"/>
        </w:rPr>
        <w:t>迁移源是指企业准备迁移至华为云的各类计算资源，包括自建</w:t>
      </w:r>
      <w:r>
        <w:t>IDC机房中的物理服务器、虚拟化环境中的虚拟机（如VMware、KVM虚拟机），以及运行在阿里云、腾讯云等其他云平台上的云主机等。这些迁移源中通常部署了RedHat6.10/8.9操作系统及企业核心业务应用，需要通过华为云迁移方案将其完整迁移至华为云环境，以实现资源弹性扩展与运维效率提升。</w:t>
      </w:r>
    </w:p>
    <w:p w14:paraId="72C7344D" w14:textId="00CA0195" w:rsidR="00332E2A" w:rsidRDefault="00332E2A" w:rsidP="00332E2A">
      <w:pPr>
        <w:pStyle w:val="7"/>
        <w:rPr>
          <w:rFonts w:hint="eastAsia"/>
        </w:rPr>
      </w:pPr>
      <w:r>
        <w:t>华为云支持的导入迁移源方式及控制台操作步骤</w:t>
      </w:r>
    </w:p>
    <w:p w14:paraId="5F2E5140" w14:textId="77777777" w:rsidR="00332E2A" w:rsidRDefault="00332E2A" w:rsidP="00332E2A">
      <w:pPr>
        <w:ind w:firstLine="420"/>
        <w:rPr>
          <w:rFonts w:hint="eastAsia"/>
        </w:rPr>
      </w:pPr>
      <w:r>
        <w:rPr>
          <w:rFonts w:hint="eastAsia"/>
        </w:rPr>
        <w:t>华为云支持通过控制台图形化界面导入迁移源，具体步骤如下：</w:t>
      </w:r>
    </w:p>
    <w:p w14:paraId="0EEFF804" w14:textId="36D5D0FB" w:rsidR="00332E2A" w:rsidRDefault="00332E2A">
      <w:pPr>
        <w:pStyle w:val="a3"/>
        <w:numPr>
          <w:ilvl w:val="0"/>
          <w:numId w:val="73"/>
        </w:numPr>
        <w:ind w:firstLineChars="0"/>
        <w:rPr>
          <w:rFonts w:hint="eastAsia"/>
        </w:rPr>
      </w:pPr>
      <w:r>
        <w:rPr>
          <w:rFonts w:hint="eastAsia"/>
        </w:rPr>
        <w:t>登录华为云管理控制台，在搜索栏输入</w:t>
      </w:r>
      <w:r>
        <w:t>“迁移”并进入“应用迁移服务”页面。</w:t>
      </w:r>
    </w:p>
    <w:p w14:paraId="270A7D48" w14:textId="11DC4A19" w:rsidR="00332E2A" w:rsidRDefault="00332E2A">
      <w:pPr>
        <w:pStyle w:val="a3"/>
        <w:numPr>
          <w:ilvl w:val="0"/>
          <w:numId w:val="73"/>
        </w:numPr>
        <w:ind w:firstLineChars="0"/>
        <w:rPr>
          <w:rFonts w:hint="eastAsia"/>
        </w:rPr>
      </w:pPr>
      <w:r>
        <w:rPr>
          <w:rFonts w:hint="eastAsia"/>
        </w:rPr>
        <w:t>在迁移源管理模块中，点击</w:t>
      </w:r>
      <w:r>
        <w:t>“导入迁移源”按钮，进入导入配置界面。</w:t>
      </w:r>
    </w:p>
    <w:p w14:paraId="5875061A" w14:textId="6958C734" w:rsidR="00332E2A" w:rsidRDefault="00332E2A">
      <w:pPr>
        <w:pStyle w:val="a3"/>
        <w:numPr>
          <w:ilvl w:val="0"/>
          <w:numId w:val="73"/>
        </w:numPr>
        <w:ind w:firstLineChars="0"/>
        <w:rPr>
          <w:rFonts w:hint="eastAsia"/>
        </w:rPr>
      </w:pPr>
      <w:r>
        <w:rPr>
          <w:rFonts w:hint="eastAsia"/>
        </w:rPr>
        <w:t>逐项配置参数：选择合适的工作组（若无可新建），根据迁移源实际类型（如</w:t>
      </w:r>
      <w:r>
        <w:t>IDC物理服务器、其他云平台虚拟机等）选择“迁移源类型”，导入方式选择“命令行导入”，根据企业迁移需求设置激活数额度（即允许同时导入的迁移源数量），以及有效期（通常建议设置为30天）。</w:t>
      </w:r>
    </w:p>
    <w:p w14:paraId="1C77F036" w14:textId="088D931D" w:rsidR="00332E2A" w:rsidRDefault="00332E2A">
      <w:pPr>
        <w:pStyle w:val="a3"/>
        <w:numPr>
          <w:ilvl w:val="0"/>
          <w:numId w:val="73"/>
        </w:numPr>
        <w:ind w:firstLineChars="0"/>
        <w:rPr>
          <w:rFonts w:hint="eastAsia"/>
        </w:rPr>
      </w:pPr>
      <w:r>
        <w:rPr>
          <w:rFonts w:hint="eastAsia"/>
        </w:rPr>
        <w:t>配置完成后，点击</w:t>
      </w:r>
      <w:r>
        <w:t>“生成激活码”按钮，系统将自动生成包含激活码的Shell命令行语句，点击“复制命令”按钮保存该命令，用于后续在源服务器执行导入操作。</w:t>
      </w:r>
    </w:p>
    <w:p w14:paraId="4046F626" w14:textId="77777777" w:rsidR="00332E2A" w:rsidRDefault="00332E2A" w:rsidP="00332E2A">
      <w:pPr>
        <w:pStyle w:val="7"/>
        <w:rPr>
          <w:rFonts w:hint="eastAsia"/>
        </w:rPr>
      </w:pPr>
      <w:r>
        <w:rPr>
          <w:rFonts w:hint="eastAsia"/>
        </w:rPr>
        <w:lastRenderedPageBreak/>
        <w:t>在源服务器执行导入操作</w:t>
      </w:r>
    </w:p>
    <w:p w14:paraId="7D5DE1EC" w14:textId="79DA9A00" w:rsidR="00332E2A" w:rsidRDefault="00332E2A" w:rsidP="00332E2A">
      <w:pPr>
        <w:ind w:firstLine="420"/>
        <w:rPr>
          <w:rFonts w:hint="eastAsia"/>
        </w:rPr>
      </w:pPr>
      <w:r>
        <w:rPr>
          <w:rFonts w:hint="eastAsia"/>
        </w:rPr>
        <w:t>通过</w:t>
      </w:r>
      <w:r>
        <w:t>SSH方式登录RedHat源服务器，确保以root账号登录系统：</w:t>
      </w:r>
    </w:p>
    <w:p w14:paraId="15B11DF0" w14:textId="77777777" w:rsidR="00332E2A" w:rsidRDefault="00332E2A">
      <w:pPr>
        <w:pStyle w:val="a3"/>
        <w:numPr>
          <w:ilvl w:val="0"/>
          <w:numId w:val="74"/>
        </w:numPr>
        <w:ind w:firstLineChars="0"/>
        <w:rPr>
          <w:rFonts w:hint="eastAsia"/>
        </w:rPr>
      </w:pPr>
      <w:r>
        <w:rPr>
          <w:rFonts w:hint="eastAsia"/>
        </w:rPr>
        <w:t>打开终端窗口，将从控制台复制的激活码命令粘贴至命令行中，按回车键执行。导入过程中系统会自动安装华为云迁移代理并完成注册。</w:t>
      </w:r>
    </w:p>
    <w:p w14:paraId="46D635C3" w14:textId="59EEEC92" w:rsidR="00332E2A" w:rsidRDefault="00332E2A">
      <w:pPr>
        <w:pStyle w:val="a3"/>
        <w:numPr>
          <w:ilvl w:val="0"/>
          <w:numId w:val="74"/>
        </w:numPr>
        <w:ind w:firstLineChars="0"/>
        <w:rPr>
          <w:rFonts w:hint="eastAsia"/>
        </w:rPr>
      </w:pPr>
      <w:r>
        <w:rPr>
          <w:rFonts w:hint="eastAsia"/>
        </w:rPr>
        <w:t>成功导入后，命令行将显示</w:t>
      </w:r>
      <w:r>
        <w:t>“Successfullyregisteredmigrationsource,agentstatus:online,sourceID:[具体ID]”的提示信息，同时可通过</w:t>
      </w:r>
      <w:proofErr w:type="spellStart"/>
      <w:r>
        <w:t>ps-ef|grephuawei_migration_agent</w:t>
      </w:r>
      <w:proofErr w:type="spellEnd"/>
      <w:r>
        <w:t>命令查看代理进程运行状态，表明RedHat源服务器已成功接入华为云迁移平台。</w:t>
      </w:r>
    </w:p>
    <w:p w14:paraId="22D94ED0" w14:textId="77777777" w:rsidR="00332E2A" w:rsidRDefault="00332E2A" w:rsidP="00332E2A">
      <w:pPr>
        <w:pStyle w:val="7"/>
        <w:rPr>
          <w:rFonts w:hint="eastAsia"/>
        </w:rPr>
      </w:pPr>
      <w:r>
        <w:rPr>
          <w:rFonts w:hint="eastAsia"/>
        </w:rPr>
        <w:t>查看迁移源状态</w:t>
      </w:r>
    </w:p>
    <w:p w14:paraId="3CF486A2" w14:textId="244814DF" w:rsidR="00332E2A" w:rsidRPr="00332E2A" w:rsidRDefault="00332E2A" w:rsidP="00332E2A">
      <w:pPr>
        <w:ind w:firstLine="420"/>
        <w:rPr>
          <w:rFonts w:hint="eastAsia"/>
        </w:rPr>
      </w:pPr>
      <w:r>
        <w:rPr>
          <w:rFonts w:hint="eastAsia"/>
        </w:rPr>
        <w:t>完成源服务器导入操作后，返回华为云管理控制台的迁移源管理页面，刷新页面查看迁移源状态。若迁移源状态显示为</w:t>
      </w:r>
      <w:r>
        <w:t>“在线”，且代理状态为“运行中”，则表示导入成功，可继续进行后续的迁移任务；若状态显示为“离线”“注册失败”或“代理异常”，则需参考控制台提示的错误代码，检查源服务器的网络连通性、防火墙设置（确保22端口开放）、root权限是否正常，或重新生成激活码后再次执行导入操作，直至迁移源状态显示为正常在线。</w:t>
      </w:r>
    </w:p>
    <w:p w14:paraId="39D7AC23" w14:textId="36E6E708" w:rsidR="00114B06" w:rsidRDefault="00114B06" w:rsidP="00114B06">
      <w:pPr>
        <w:pStyle w:val="6"/>
        <w:rPr>
          <w:rFonts w:hint="eastAsia"/>
        </w:rPr>
      </w:pPr>
      <w:r w:rsidRPr="00007C57">
        <w:t>迁移配置</w:t>
      </w:r>
    </w:p>
    <w:p w14:paraId="2AD0C580" w14:textId="02466C66" w:rsidR="00332E2A" w:rsidRDefault="00332E2A" w:rsidP="00332E2A">
      <w:pPr>
        <w:ind w:firstLine="420"/>
        <w:rPr>
          <w:rFonts w:hint="eastAsia"/>
        </w:rPr>
      </w:pPr>
      <w:r>
        <w:rPr>
          <w:rFonts w:hint="eastAsia"/>
        </w:rPr>
        <w:t>在完成迁移源导入后，需在华为云控制台进行详细的迁移配置，以确保</w:t>
      </w:r>
      <w:r>
        <w:t>RedHat6.10/8.9云主机能够安全、高效地迁移至华为云。迁移配置涵盖基本参数、磁盘分区、高级参数等多层级设置，需按标准化流程逐项完成。</w:t>
      </w:r>
    </w:p>
    <w:p w14:paraId="26358B7B" w14:textId="7059E0A9" w:rsidR="00332E2A" w:rsidRDefault="00332E2A" w:rsidP="00332E2A">
      <w:pPr>
        <w:pStyle w:val="7"/>
        <w:rPr>
          <w:rFonts w:hint="eastAsia"/>
        </w:rPr>
      </w:pPr>
      <w:r>
        <w:rPr>
          <w:rFonts w:hint="eastAsia"/>
        </w:rPr>
        <w:t>开始迁移与基本参数配置</w:t>
      </w:r>
    </w:p>
    <w:p w14:paraId="6F34A833" w14:textId="762C26FF" w:rsidR="00332E2A" w:rsidRDefault="00332E2A" w:rsidP="00332E2A">
      <w:pPr>
        <w:ind w:firstLine="420"/>
        <w:rPr>
          <w:rFonts w:hint="eastAsia"/>
        </w:rPr>
      </w:pPr>
      <w:r>
        <w:rPr>
          <w:rFonts w:hint="eastAsia"/>
        </w:rPr>
        <w:t>在华为云控制台的迁移源列表中，找到目标</w:t>
      </w:r>
      <w:r>
        <w:t>RedHat迁移源，点击操作列的“开始迁移”按钮，进入迁移配置页面。首先配置基本参数：</w:t>
      </w:r>
    </w:p>
    <w:p w14:paraId="5225A769" w14:textId="3FB0DC48" w:rsidR="00332E2A" w:rsidRDefault="00332E2A">
      <w:pPr>
        <w:pStyle w:val="a3"/>
        <w:numPr>
          <w:ilvl w:val="0"/>
          <w:numId w:val="75"/>
        </w:numPr>
        <w:ind w:firstLineChars="0"/>
        <w:rPr>
          <w:rFonts w:hint="eastAsia"/>
        </w:rPr>
      </w:pPr>
      <w:r>
        <w:rPr>
          <w:rFonts w:hint="eastAsia"/>
        </w:rPr>
        <w:t>任务名称：自定义设置迁移任务的名称，建议包含源服务器</w:t>
      </w:r>
      <w:r>
        <w:t>IP、业务系统名称等信息（如“RedHat-8.9-WebServer-迁移任务”），以便后续管理和识别。</w:t>
      </w:r>
    </w:p>
    <w:p w14:paraId="09943CCB" w14:textId="797FA1FF" w:rsidR="00332E2A" w:rsidRDefault="00332E2A">
      <w:pPr>
        <w:pStyle w:val="a3"/>
        <w:numPr>
          <w:ilvl w:val="0"/>
          <w:numId w:val="75"/>
        </w:numPr>
        <w:ind w:firstLineChars="0"/>
        <w:rPr>
          <w:rFonts w:hint="eastAsia"/>
        </w:rPr>
      </w:pPr>
      <w:r>
        <w:rPr>
          <w:rFonts w:hint="eastAsia"/>
        </w:rPr>
        <w:t>任务描述：输入迁移任务的详细说明，例如</w:t>
      </w:r>
      <w:r>
        <w:t>“将IDC机房的RedHat8.9Web服务器迁移至华为云上海四区”，明确迁移目的和范围。</w:t>
      </w:r>
    </w:p>
    <w:p w14:paraId="16ECDC77" w14:textId="79230BC5" w:rsidR="00332E2A" w:rsidRDefault="00332E2A">
      <w:pPr>
        <w:pStyle w:val="a3"/>
        <w:numPr>
          <w:ilvl w:val="0"/>
          <w:numId w:val="75"/>
        </w:numPr>
        <w:ind w:firstLineChars="0"/>
        <w:rPr>
          <w:rFonts w:hint="eastAsia"/>
        </w:rPr>
      </w:pPr>
      <w:r>
        <w:rPr>
          <w:rFonts w:hint="eastAsia"/>
        </w:rPr>
        <w:t>目标类型（必填）：选择将源服务器转换成华为云自定义镜像或云服务器实例，指定目标地域（如</w:t>
      </w:r>
      <w:r>
        <w:t>“中国-上海-四”），并设置镜像名称（如“RedHat8.9_WebServer_Mirror”），地域选择需考虑业务访问延迟和容灾需求。</w:t>
      </w:r>
    </w:p>
    <w:p w14:paraId="17D274DC" w14:textId="77777777" w:rsidR="00332E2A" w:rsidRDefault="00332E2A">
      <w:pPr>
        <w:pStyle w:val="a3"/>
        <w:numPr>
          <w:ilvl w:val="0"/>
          <w:numId w:val="75"/>
        </w:numPr>
        <w:ind w:firstLineChars="0"/>
        <w:rPr>
          <w:rFonts w:hint="eastAsia"/>
        </w:rPr>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7FD9D52A" w14:textId="78A45AD4" w:rsidR="00332E2A" w:rsidRDefault="00332E2A">
      <w:pPr>
        <w:pStyle w:val="a3"/>
        <w:numPr>
          <w:ilvl w:val="0"/>
          <w:numId w:val="75"/>
        </w:numPr>
        <w:ind w:firstLineChars="0"/>
        <w:rPr>
          <w:rFonts w:hint="eastAsia"/>
        </w:rPr>
      </w:pPr>
      <w:r>
        <w:rPr>
          <w:rFonts w:hint="eastAsia"/>
        </w:rPr>
        <w:t>执行方式：若开启迁移演练，执行方式默认选择</w:t>
      </w:r>
      <w:r>
        <w:t>“先演练后迁移”；若已完成演练或无需演练，可选择“直接迁移”，需确保源服务器状态稳定。</w:t>
      </w:r>
    </w:p>
    <w:p w14:paraId="62D3A3C4" w14:textId="2676D9C3" w:rsidR="00332E2A" w:rsidRDefault="00332E2A">
      <w:pPr>
        <w:pStyle w:val="a3"/>
        <w:numPr>
          <w:ilvl w:val="0"/>
          <w:numId w:val="75"/>
        </w:numPr>
        <w:ind w:firstLineChars="0"/>
        <w:rPr>
          <w:rFonts w:hint="eastAsia"/>
        </w:rPr>
      </w:pPr>
      <w:r>
        <w:rPr>
          <w:rFonts w:hint="eastAsia"/>
        </w:rPr>
        <w:t>自动增量同步：默认开启，可配置同步重复频率（如每</w:t>
      </w:r>
      <w:r>
        <w:t>15分钟一次）和最大镜像保留数（建议设置为3-5个），确保迁移窗口期内的增量数据被持续同步，减少最终迁移的停机时间。若关闭该功能，系统将在首次同步后仅执行一次性迁移，适用于数据变化极小的场景。</w:t>
      </w:r>
    </w:p>
    <w:p w14:paraId="6C3E8B9D" w14:textId="5F18F750" w:rsidR="00332E2A" w:rsidRDefault="00332E2A">
      <w:pPr>
        <w:pStyle w:val="a3"/>
        <w:numPr>
          <w:ilvl w:val="0"/>
          <w:numId w:val="75"/>
        </w:numPr>
        <w:ind w:firstLineChars="0"/>
        <w:rPr>
          <w:rFonts w:hint="eastAsia"/>
        </w:rPr>
      </w:pPr>
      <w:r>
        <w:rPr>
          <w:rFonts w:hint="eastAsia"/>
        </w:rPr>
        <w:lastRenderedPageBreak/>
        <w:t>启用迁移模板：当存在重复迁移需求时，可启用已保存的迁移模板（如针对</w:t>
      </w:r>
      <w:r>
        <w:t>RedHat8.9数据库服务器的标准化模板），模板中预设了磁盘配置、网络参数等，可直接复用以提升配置效率。</w:t>
      </w:r>
    </w:p>
    <w:p w14:paraId="367EF814" w14:textId="5B63752F" w:rsidR="00332E2A" w:rsidRDefault="00332E2A" w:rsidP="00332E2A">
      <w:pPr>
        <w:pStyle w:val="7"/>
        <w:rPr>
          <w:rFonts w:hint="eastAsia"/>
        </w:rPr>
      </w:pPr>
      <w:r>
        <w:rPr>
          <w:rFonts w:hint="eastAsia"/>
        </w:rPr>
        <w:t>磁盘分区结构调整</w:t>
      </w:r>
    </w:p>
    <w:p w14:paraId="3FFFDC6D" w14:textId="09212C3A" w:rsidR="00332E2A" w:rsidRDefault="00332E2A" w:rsidP="00332E2A">
      <w:pPr>
        <w:ind w:firstLine="420"/>
        <w:rPr>
          <w:rFonts w:hint="eastAsia"/>
        </w:rPr>
      </w:pPr>
      <w:r>
        <w:rPr>
          <w:rFonts w:hint="eastAsia"/>
        </w:rPr>
        <w:t>根据源服务器的磁盘使用情况，选择是否开启</w:t>
      </w:r>
      <w:r>
        <w:t>“调整磁盘分区结构”功能：</w:t>
      </w:r>
    </w:p>
    <w:p w14:paraId="55B80E2C" w14:textId="53DC2717" w:rsidR="00332E2A" w:rsidRDefault="00332E2A">
      <w:pPr>
        <w:pStyle w:val="a3"/>
        <w:numPr>
          <w:ilvl w:val="0"/>
          <w:numId w:val="76"/>
        </w:numPr>
        <w:ind w:firstLineChars="0"/>
        <w:rPr>
          <w:rFonts w:hint="eastAsia"/>
        </w:rPr>
      </w:pPr>
      <w:r>
        <w:rPr>
          <w:rFonts w:hint="eastAsia"/>
        </w:rPr>
        <w:t>若源服务器的磁盘分区需适配华为云的存储架构（如将多个小分区合并为大分区，或调整</w:t>
      </w:r>
      <w:r>
        <w:t>LVM逻辑卷），可开启该功能并自定义配置分区大小、位置顺序等。例如，将源服务器的/root（系统盘）和/data（数据盘）在目标端调整为/root100GB、/data500GB，以优化存储利用率。</w:t>
      </w:r>
    </w:p>
    <w:p w14:paraId="1104A041" w14:textId="280867AC" w:rsidR="00332E2A" w:rsidRDefault="00332E2A">
      <w:pPr>
        <w:pStyle w:val="a3"/>
        <w:numPr>
          <w:ilvl w:val="0"/>
          <w:numId w:val="76"/>
        </w:numPr>
        <w:ind w:firstLineChars="0"/>
        <w:rPr>
          <w:rFonts w:hint="eastAsia"/>
        </w:rPr>
      </w:pPr>
      <w:r>
        <w:rPr>
          <w:rFonts w:hint="eastAsia"/>
        </w:rPr>
        <w:t>对于使用</w:t>
      </w:r>
      <w:r>
        <w:t>LVM管理的磁盘，可在迁移配置中指定是否保留LVM结构或转换为普通分区。该功能默认关闭，建议在迁移前通过</w:t>
      </w:r>
      <w:proofErr w:type="spellStart"/>
      <w:r>
        <w:t>fdisk</w:t>
      </w:r>
      <w:proofErr w:type="spellEnd"/>
      <w:r>
        <w:t>或parted工具对源服务器进行磁盘碎片整理和分区规划，确保迁移后分区结构合理。</w:t>
      </w:r>
    </w:p>
    <w:p w14:paraId="79849129" w14:textId="7BCD86C7" w:rsidR="00332E2A" w:rsidRDefault="00332E2A" w:rsidP="00332E2A">
      <w:pPr>
        <w:pStyle w:val="7"/>
        <w:rPr>
          <w:rFonts w:hint="eastAsia"/>
        </w:rPr>
      </w:pPr>
      <w:r>
        <w:rPr>
          <w:rFonts w:hint="eastAsia"/>
        </w:rPr>
        <w:t>高级参数配置（条件必选）</w:t>
      </w:r>
    </w:p>
    <w:p w14:paraId="6DC1D0E5" w14:textId="77777777" w:rsidR="00332E2A" w:rsidRDefault="00332E2A">
      <w:pPr>
        <w:pStyle w:val="a3"/>
        <w:numPr>
          <w:ilvl w:val="0"/>
          <w:numId w:val="77"/>
        </w:numPr>
        <w:ind w:firstLineChars="0"/>
        <w:rPr>
          <w:rFonts w:hint="eastAsia"/>
        </w:rPr>
      </w:pPr>
      <w:r>
        <w:rPr>
          <w:rFonts w:hint="eastAsia"/>
        </w:rPr>
        <w:t>网络与传输配置</w:t>
      </w:r>
    </w:p>
    <w:p w14:paraId="3F77DCE6" w14:textId="78381432" w:rsidR="00332E2A" w:rsidRDefault="00332E2A">
      <w:pPr>
        <w:pStyle w:val="a3"/>
        <w:numPr>
          <w:ilvl w:val="1"/>
          <w:numId w:val="77"/>
        </w:numPr>
        <w:ind w:firstLineChars="0"/>
        <w:rPr>
          <w:rFonts w:hint="eastAsia"/>
        </w:rPr>
      </w:pPr>
      <w:r>
        <w:rPr>
          <w:rFonts w:hint="eastAsia"/>
        </w:rPr>
        <w:t>网络模式：默认采用</w:t>
      </w:r>
      <w:r>
        <w:t>“公网传输”模式，若源服务器与华为云之间存在专线或VPN连接，可选择“私网传输”以提升传输稳定性。系统会自动创建中转实例用于数据中转，也可手动指定专有网络（VPC）和交换机（</w:t>
      </w:r>
      <w:proofErr w:type="spellStart"/>
      <w:r>
        <w:t>vSwitch</w:t>
      </w:r>
      <w:proofErr w:type="spellEnd"/>
      <w:r>
        <w:t>），确保网络连通性。</w:t>
      </w:r>
    </w:p>
    <w:p w14:paraId="74623932" w14:textId="482BCD0A" w:rsidR="00332E2A" w:rsidRDefault="00332E2A">
      <w:pPr>
        <w:pStyle w:val="a3"/>
        <w:numPr>
          <w:ilvl w:val="1"/>
          <w:numId w:val="77"/>
        </w:numPr>
        <w:ind w:firstLineChars="0"/>
        <w:rPr>
          <w:rFonts w:hint="eastAsia"/>
        </w:rPr>
      </w:pPr>
      <w:r>
        <w:t>IPv4私网地址：当目标类型为云服务器实例时，需配置IPv4私网地址，可选择“保持不变”（需确保华为云VPC内无IP冲突）或“手动指定”，手动指定时需符合VPC的IP地址段规划。对于RedHat系统，需注意IP配置文件（如/</w:t>
      </w:r>
      <w:proofErr w:type="spellStart"/>
      <w:r>
        <w:t>etc</w:t>
      </w:r>
      <w:proofErr w:type="spellEnd"/>
      <w:r>
        <w:t>/</w:t>
      </w:r>
      <w:proofErr w:type="spellStart"/>
      <w:r>
        <w:t>sysconfig</w:t>
      </w:r>
      <w:proofErr w:type="spellEnd"/>
      <w:r>
        <w:t>/network-scripts/ifcfg-eth0）中的IP设置会随迁移自动调整，但建议迁移后手动验证网络配置。</w:t>
      </w:r>
    </w:p>
    <w:p w14:paraId="7739249A" w14:textId="075BDA33" w:rsidR="00332E2A" w:rsidRDefault="00332E2A">
      <w:pPr>
        <w:pStyle w:val="a3"/>
        <w:numPr>
          <w:ilvl w:val="1"/>
          <w:numId w:val="77"/>
        </w:numPr>
        <w:ind w:firstLineChars="0"/>
        <w:rPr>
          <w:rFonts w:hint="eastAsia"/>
        </w:rPr>
      </w:pPr>
      <w:r>
        <w:rPr>
          <w:rFonts w:hint="eastAsia"/>
        </w:rPr>
        <w:t>传输限速：单位为</w:t>
      </w:r>
      <w:r>
        <w:t>Mbps，默认不限制传输速度，若源服务器所在网络带宽有限，可设置限速（如500Mbps），避免迁移过程中占用过多带宽影响其他业务。</w:t>
      </w:r>
    </w:p>
    <w:p w14:paraId="663E2872" w14:textId="1184DD44" w:rsidR="00332E2A" w:rsidRDefault="00332E2A">
      <w:pPr>
        <w:pStyle w:val="a3"/>
        <w:numPr>
          <w:ilvl w:val="1"/>
          <w:numId w:val="77"/>
        </w:numPr>
        <w:ind w:firstLineChars="0"/>
        <w:rPr>
          <w:rFonts w:hint="eastAsia"/>
        </w:rPr>
      </w:pPr>
      <w:r>
        <w:rPr>
          <w:rFonts w:hint="eastAsia"/>
        </w:rPr>
        <w:t>压缩率：迁移数据压缩级别可选</w:t>
      </w:r>
      <w:r>
        <w:t>1-9（1为低压缩高速度，9为高压缩低速度），默认值为5。在带宽充足的环境下建议保持默认，若带宽受限可提高压缩率以减少数据传输量，但会增加CPU开销。</w:t>
      </w:r>
    </w:p>
    <w:p w14:paraId="79A28B08" w14:textId="77777777" w:rsidR="00332E2A" w:rsidRDefault="00332E2A">
      <w:pPr>
        <w:pStyle w:val="a3"/>
        <w:numPr>
          <w:ilvl w:val="0"/>
          <w:numId w:val="77"/>
        </w:numPr>
        <w:ind w:firstLineChars="0"/>
        <w:rPr>
          <w:rFonts w:hint="eastAsia"/>
        </w:rPr>
      </w:pPr>
      <w:r>
        <w:rPr>
          <w:rFonts w:hint="eastAsia"/>
        </w:rPr>
        <w:t>安全性与合规性配置</w:t>
      </w:r>
    </w:p>
    <w:p w14:paraId="6BBCA824" w14:textId="31292F21" w:rsidR="00332E2A" w:rsidRDefault="00332E2A">
      <w:pPr>
        <w:pStyle w:val="a3"/>
        <w:numPr>
          <w:ilvl w:val="1"/>
          <w:numId w:val="77"/>
        </w:numPr>
        <w:ind w:firstLineChars="0"/>
        <w:rPr>
          <w:rFonts w:hint="eastAsia"/>
        </w:rPr>
      </w:pPr>
      <w:r>
        <w:t>Checksum验证：默认开启，通过哈希算法验证传输数据的完整性，确保迁移过程中数据无损坏或丢失，开启后会增加少量传输耗时，但可显著提升数据可靠性。</w:t>
      </w:r>
    </w:p>
    <w:p w14:paraId="3F8B5F32" w14:textId="23FCBD26" w:rsidR="00332E2A" w:rsidRDefault="00332E2A">
      <w:pPr>
        <w:pStyle w:val="a3"/>
        <w:numPr>
          <w:ilvl w:val="1"/>
          <w:numId w:val="77"/>
        </w:numPr>
        <w:ind w:firstLineChars="0"/>
        <w:rPr>
          <w:rFonts w:hint="eastAsia"/>
        </w:rPr>
      </w:pPr>
      <w:r>
        <w:rPr>
          <w:rFonts w:hint="eastAsia"/>
        </w:rPr>
        <w:t>开启</w:t>
      </w:r>
      <w:r>
        <w:t>SSL加密传输：默认开启，对迁移数据进行端到端加密，防止传输过程中数据被窃取或篡改，适用于包含敏感信息的迁移场景。</w:t>
      </w:r>
    </w:p>
    <w:p w14:paraId="60CFCD37" w14:textId="5B4F5C28" w:rsidR="00332E2A" w:rsidRDefault="00332E2A">
      <w:pPr>
        <w:pStyle w:val="a3"/>
        <w:numPr>
          <w:ilvl w:val="1"/>
          <w:numId w:val="77"/>
        </w:numPr>
        <w:ind w:firstLineChars="0"/>
        <w:rPr>
          <w:rFonts w:hint="eastAsia"/>
        </w:rPr>
      </w:pPr>
      <w:r>
        <w:rPr>
          <w:rFonts w:hint="eastAsia"/>
        </w:rPr>
        <w:t>许可证类型：可选择</w:t>
      </w:r>
      <w:r>
        <w:t>“华为云”或“自带许可”（BYOL）：</w:t>
      </w:r>
    </w:p>
    <w:p w14:paraId="1F009ED5" w14:textId="57D9787F" w:rsidR="00332E2A" w:rsidRDefault="00332E2A">
      <w:pPr>
        <w:pStyle w:val="a3"/>
        <w:numPr>
          <w:ilvl w:val="1"/>
          <w:numId w:val="77"/>
        </w:numPr>
        <w:ind w:firstLineChars="0"/>
        <w:rPr>
          <w:rFonts w:hint="eastAsia"/>
        </w:rPr>
      </w:pPr>
      <w:r>
        <w:rPr>
          <w:rFonts w:hint="eastAsia"/>
        </w:rPr>
        <w:t>选择</w:t>
      </w:r>
      <w:r>
        <w:t>“华为云”时，使用华为云提供的RedHat许可证（需确认华为云是否支持该版本许可证），迁移后自动激活。</w:t>
      </w:r>
    </w:p>
    <w:p w14:paraId="75DA21C6" w14:textId="4272A740" w:rsidR="00332E2A" w:rsidRDefault="00332E2A">
      <w:pPr>
        <w:pStyle w:val="a3"/>
        <w:numPr>
          <w:ilvl w:val="1"/>
          <w:numId w:val="77"/>
        </w:numPr>
        <w:ind w:firstLineChars="0"/>
        <w:rPr>
          <w:rFonts w:hint="eastAsia"/>
        </w:rPr>
      </w:pPr>
      <w:r>
        <w:rPr>
          <w:rFonts w:hint="eastAsia"/>
        </w:rPr>
        <w:t>选择</w:t>
      </w:r>
      <w:r>
        <w:t>“自带许可”时，需确保许可证合规且支持迁移至华为云，需上传许可证文件并完成合规性验证，避免版权问题。</w:t>
      </w:r>
    </w:p>
    <w:p w14:paraId="4C4EA54F" w14:textId="77777777" w:rsidR="00332E2A" w:rsidRDefault="00332E2A">
      <w:pPr>
        <w:pStyle w:val="a3"/>
        <w:numPr>
          <w:ilvl w:val="0"/>
          <w:numId w:val="77"/>
        </w:numPr>
        <w:ind w:firstLineChars="0"/>
        <w:rPr>
          <w:rFonts w:hint="eastAsia"/>
        </w:rPr>
      </w:pPr>
      <w:r>
        <w:rPr>
          <w:rFonts w:hint="eastAsia"/>
        </w:rPr>
        <w:t>辅助功能配置</w:t>
      </w:r>
    </w:p>
    <w:p w14:paraId="0028B5A0" w14:textId="38316D5C" w:rsidR="00332E2A" w:rsidRDefault="00332E2A">
      <w:pPr>
        <w:pStyle w:val="a3"/>
        <w:numPr>
          <w:ilvl w:val="1"/>
          <w:numId w:val="77"/>
        </w:numPr>
        <w:ind w:firstLineChars="0"/>
        <w:rPr>
          <w:rFonts w:hint="eastAsia"/>
        </w:rPr>
      </w:pPr>
      <w:r>
        <w:rPr>
          <w:rFonts w:hint="eastAsia"/>
        </w:rPr>
        <w:lastRenderedPageBreak/>
        <w:t>镜像检测：启用后系统会在迁移完成后自动检测镜像的启动性和兼容性，生成检测报告（如驱动缺失、服务异常等），适用于对迁移质量</w:t>
      </w:r>
      <w:r w:rsidR="006C6F6D" w:rsidRPr="006C6F6D">
        <w:rPr>
          <w:rFonts w:hint="eastAsia"/>
          <w:b/>
        </w:rPr>
        <w:t>招标文件要求</w:t>
      </w:r>
      <w:r>
        <w:rPr>
          <w:rFonts w:hint="eastAsia"/>
        </w:rPr>
        <w:t>较高的核心业务系统，可参考报告进行后续优化。对于</w:t>
      </w:r>
      <w:r>
        <w:t>RedHat系统，重点检测</w:t>
      </w:r>
      <w:proofErr w:type="spellStart"/>
      <w:r>
        <w:t>virtio</w:t>
      </w:r>
      <w:proofErr w:type="spellEnd"/>
      <w:r>
        <w:t>驱动是否安装，确保系统在华为云虚拟化环境中正常启动。</w:t>
      </w:r>
    </w:p>
    <w:p w14:paraId="34CC5A25" w14:textId="253AD0BD" w:rsidR="00332E2A" w:rsidRDefault="00332E2A">
      <w:pPr>
        <w:pStyle w:val="a3"/>
        <w:numPr>
          <w:ilvl w:val="1"/>
          <w:numId w:val="77"/>
        </w:numPr>
        <w:ind w:firstLineChars="0"/>
        <w:rPr>
          <w:rFonts w:hint="eastAsia"/>
        </w:rPr>
      </w:pPr>
      <w:r>
        <w:rPr>
          <w:rFonts w:hint="eastAsia"/>
        </w:rPr>
        <w:t>标签：可为迁移任务绑定标签（如</w:t>
      </w:r>
      <w:r>
        <w:t>“业务线=财务系统”“环境=生产”），最多绑定10个标签，便于按业务维度管理迁移任务和资源。</w:t>
      </w:r>
    </w:p>
    <w:p w14:paraId="1EAB1EED" w14:textId="5C66B6A7" w:rsidR="00332E2A" w:rsidRDefault="00332E2A">
      <w:pPr>
        <w:pStyle w:val="a3"/>
        <w:numPr>
          <w:ilvl w:val="1"/>
          <w:numId w:val="77"/>
        </w:numPr>
        <w:ind w:firstLineChars="0"/>
        <w:rPr>
          <w:rFonts w:hint="eastAsia"/>
        </w:rPr>
      </w:pPr>
      <w:r>
        <w:rPr>
          <w:rFonts w:hint="eastAsia"/>
        </w:rPr>
        <w:t>中转实例规格：当选择私网传输模式时需配置中转实例规格，建议选择与源服务器配置相近的规格（如</w:t>
      </w:r>
      <w:r>
        <w:t>c6.large.2），确保中转效率，重要注意事项：中转实例需预留足够的存储容量以缓存迁移数据。</w:t>
      </w:r>
    </w:p>
    <w:p w14:paraId="25CE3806" w14:textId="310CF44A" w:rsidR="00332E2A" w:rsidRDefault="00332E2A">
      <w:pPr>
        <w:pStyle w:val="a3"/>
        <w:numPr>
          <w:ilvl w:val="1"/>
          <w:numId w:val="77"/>
        </w:numPr>
        <w:ind w:firstLineChars="0"/>
        <w:rPr>
          <w:rFonts w:hint="eastAsia"/>
        </w:rPr>
      </w:pPr>
      <w:r>
        <w:rPr>
          <w:rFonts w:hint="eastAsia"/>
        </w:rPr>
        <w:t>上报诊断日志：默认开启，系统会将迁移过程中的诊断日志上报至华为云日志服务（</w:t>
      </w:r>
      <w:r>
        <w:t>LTS），日志保存7天，便于在迁移失败时定位问题（如网络中断、权限错误），可在LTS控制台查询具体日志内容。</w:t>
      </w:r>
    </w:p>
    <w:p w14:paraId="7348146B" w14:textId="238E178F" w:rsidR="00332E2A" w:rsidRDefault="00332E2A" w:rsidP="00E10C3F">
      <w:pPr>
        <w:pStyle w:val="7"/>
        <w:rPr>
          <w:rFonts w:hint="eastAsia"/>
        </w:rPr>
      </w:pPr>
      <w:r>
        <w:rPr>
          <w:rFonts w:hint="eastAsia"/>
        </w:rPr>
        <w:t>确认迁移与状态查看</w:t>
      </w:r>
    </w:p>
    <w:p w14:paraId="5339E769" w14:textId="68097C5C" w:rsidR="00332E2A" w:rsidRPr="00332E2A" w:rsidRDefault="00332E2A" w:rsidP="00332E2A">
      <w:pPr>
        <w:ind w:firstLine="420"/>
        <w:rPr>
          <w:rFonts w:hint="eastAsia"/>
        </w:rPr>
      </w:pPr>
      <w:r>
        <w:rPr>
          <w:rFonts w:hint="eastAsia"/>
        </w:rPr>
        <w:t>完成所有参数配置后，仔细阅读迁移提示（如</w:t>
      </w:r>
      <w:r>
        <w:t>“迁移期间源服务器网络需保持连通”“请确保目标地域资源充足”），点击“确认迁移”按钮启动迁移任务。在服务器迁移页面可查看实时迁移状态，包括数据传输进度、剩余时间、已同步数据量等。迁移耗时受数据量大小、网络带宽、压缩率等因素影响，例如1TB数据在1Gbps带宽下采用默认压缩率通常需要约2-3小时完成首次同步，后续增量同步时间随数据变化量递减。</w:t>
      </w:r>
    </w:p>
    <w:p w14:paraId="21F398C1" w14:textId="77777777" w:rsidR="00114B06" w:rsidRPr="00007C57" w:rsidRDefault="00114B06" w:rsidP="00114B06">
      <w:pPr>
        <w:pStyle w:val="5"/>
        <w:rPr>
          <w:rFonts w:hint="eastAsia"/>
        </w:rPr>
      </w:pPr>
      <w:r w:rsidRPr="00007C57">
        <w:t>迁移结果验证</w:t>
      </w:r>
    </w:p>
    <w:p w14:paraId="1937D605" w14:textId="1D2A9BBF" w:rsidR="00114B06" w:rsidRDefault="00114B06" w:rsidP="00114B06">
      <w:pPr>
        <w:pStyle w:val="6"/>
        <w:rPr>
          <w:rFonts w:hint="eastAsia"/>
        </w:rPr>
      </w:pPr>
      <w:r w:rsidRPr="00007C57">
        <w:t>迁移成功判断</w:t>
      </w:r>
    </w:p>
    <w:p w14:paraId="45FF884E" w14:textId="05320068" w:rsidR="00E10C3F" w:rsidRDefault="00E10C3F" w:rsidP="00E10C3F">
      <w:pPr>
        <w:ind w:firstLine="420"/>
        <w:rPr>
          <w:rFonts w:hint="eastAsia"/>
        </w:rPr>
      </w:pPr>
      <w:r>
        <w:rPr>
          <w:rFonts w:hint="eastAsia"/>
        </w:rPr>
        <w:t>当迁移实时状态显示为</w:t>
      </w:r>
      <w:r>
        <w:t>“已完成”时，仅作为迁移成功的初步判断依据，还需从以下维度完成全面验证，确保RedHat6.10/8.9云主机在华为云环境中正常运行。</w:t>
      </w:r>
    </w:p>
    <w:p w14:paraId="771CE549" w14:textId="6379A418" w:rsidR="00E10C3F" w:rsidRDefault="00E10C3F">
      <w:pPr>
        <w:pStyle w:val="a3"/>
        <w:numPr>
          <w:ilvl w:val="0"/>
          <w:numId w:val="78"/>
        </w:numPr>
        <w:ind w:firstLineChars="0"/>
        <w:rPr>
          <w:rFonts w:hint="eastAsia"/>
        </w:rPr>
      </w:pPr>
      <w:r>
        <w:rPr>
          <w:rFonts w:hint="eastAsia"/>
        </w:rPr>
        <w:t>迁移任务状态验证：在华为云控制台的服务器迁移页面，若迁移任务的实时状态栏显示</w:t>
      </w:r>
      <w:r>
        <w:t>“已完成”，进度条显示100%，且无任何错误提示（如“数据传输失败”“镜像创建异常”），则表明迁移任务已按流程执行完毕。同步查看“迁移详情”中的关键指标：数据传输总耗时应与预估时间基本吻合，增量同步次数需符合预设频率，且最终同步的增量数据量应与源端变更量一致。</w:t>
      </w:r>
    </w:p>
    <w:p w14:paraId="2A951044" w14:textId="77777777" w:rsidR="00E10C3F" w:rsidRDefault="00E10C3F">
      <w:pPr>
        <w:pStyle w:val="a3"/>
        <w:numPr>
          <w:ilvl w:val="0"/>
          <w:numId w:val="78"/>
        </w:numPr>
        <w:ind w:firstLineChars="0"/>
        <w:rPr>
          <w:rFonts w:hint="eastAsia"/>
        </w:rPr>
      </w:pPr>
      <w:r>
        <w:rPr>
          <w:rFonts w:hint="eastAsia"/>
        </w:rPr>
        <w:t>目标资源验证：</w:t>
      </w:r>
    </w:p>
    <w:p w14:paraId="339DC62A" w14:textId="7C4C1D39" w:rsidR="00E10C3F" w:rsidRDefault="00E10C3F">
      <w:pPr>
        <w:pStyle w:val="a3"/>
        <w:numPr>
          <w:ilvl w:val="1"/>
          <w:numId w:val="78"/>
        </w:numPr>
        <w:ind w:firstLineChars="0"/>
        <w:rPr>
          <w:rFonts w:hint="eastAsia"/>
        </w:rPr>
      </w:pPr>
      <w:r>
        <w:rPr>
          <w:rFonts w:hint="eastAsia"/>
        </w:rPr>
        <w:t>若迁移目标类型为自定义镜像，在华为云</w:t>
      </w:r>
      <w:r>
        <w:t>“镜像服务”控制台查看镜像状态，确保镜像状态为“正常”，镜像大小与源服务器磁盘实际使用容量一致（考虑到磁盘格式化和文件系统开销，允许存在5%-10%的误差）。点击镜像详情，检查操作系统类型显示为“RedHat6.10”或“RedHat8.9”，镜像文件完整性校验值（如MD5/SHA256）与源服务器备份镜像的校验值一致。</w:t>
      </w:r>
    </w:p>
    <w:p w14:paraId="46C7FB58" w14:textId="63989600" w:rsidR="00E10C3F" w:rsidRDefault="00E10C3F">
      <w:pPr>
        <w:pStyle w:val="a3"/>
        <w:numPr>
          <w:ilvl w:val="1"/>
          <w:numId w:val="78"/>
        </w:numPr>
        <w:ind w:firstLineChars="0"/>
        <w:rPr>
          <w:rFonts w:hint="eastAsia"/>
        </w:rPr>
      </w:pPr>
      <w:r>
        <w:rPr>
          <w:rFonts w:hint="eastAsia"/>
        </w:rPr>
        <w:t>若目标类型为云服务器实例，在</w:t>
      </w:r>
      <w:r>
        <w:t>“云服务器”控制台确认实例状态为“运行中”，实例规格（vCPU、内存）与迁移配置一致，数据盘挂载数量及容量满足迁移源</w:t>
      </w:r>
      <w:r w:rsidR="006C6F6D" w:rsidRPr="006C6F6D">
        <w:rPr>
          <w:b/>
        </w:rPr>
        <w:t>招标文件要求</w:t>
      </w:r>
      <w:r>
        <w:t>，且磁盘分区结构与迁移配置中的调整方案一致。</w:t>
      </w:r>
    </w:p>
    <w:p w14:paraId="010240C1" w14:textId="384FD38E" w:rsidR="00E10C3F" w:rsidRDefault="00E10C3F">
      <w:pPr>
        <w:pStyle w:val="a3"/>
        <w:numPr>
          <w:ilvl w:val="0"/>
          <w:numId w:val="78"/>
        </w:numPr>
        <w:ind w:firstLineChars="0"/>
        <w:rPr>
          <w:rFonts w:hint="eastAsia"/>
        </w:rPr>
      </w:pPr>
      <w:r>
        <w:rPr>
          <w:rFonts w:hint="eastAsia"/>
        </w:rPr>
        <w:t>操作系统与驱动兼容性验证：通过</w:t>
      </w:r>
      <w:r>
        <w:t>SSH连接至迁移后的RedHat云主机，确认操作系统启动正常，无内核panic、启动项缺失等异常。执行</w:t>
      </w:r>
      <w:proofErr w:type="spellStart"/>
      <w:r>
        <w:t>uname</w:t>
      </w:r>
      <w:proofErr w:type="spellEnd"/>
      <w:r>
        <w:t>-a命令查看内核版</w:t>
      </w:r>
      <w:r>
        <w:lastRenderedPageBreak/>
        <w:t>本，确保与源端一致。打开“设备管理器”（通过</w:t>
      </w:r>
      <w:proofErr w:type="spellStart"/>
      <w:r>
        <w:t>lspci</w:t>
      </w:r>
      <w:proofErr w:type="spellEnd"/>
      <w:r>
        <w:t>命令），查看硬件驱动是否完整安装（无未知设备），特别是网卡、存储控制器等关键驱动需与华为云虚拟化环境兼容，必要时从华为云官网下载最新的RedHat驱动包进行更新，确保硬件性能充分释放。重点验证</w:t>
      </w:r>
      <w:proofErr w:type="spellStart"/>
      <w:r>
        <w:t>virtio</w:t>
      </w:r>
      <w:proofErr w:type="spellEnd"/>
      <w:r>
        <w:t>驱动是否加载，可通过</w:t>
      </w:r>
      <w:proofErr w:type="spellStart"/>
      <w:r>
        <w:t>dmesg|grepvirtio</w:t>
      </w:r>
      <w:proofErr w:type="spellEnd"/>
      <w:r>
        <w:t>命令查看。</w:t>
      </w:r>
    </w:p>
    <w:p w14:paraId="4E7AE129" w14:textId="5DCE272C" w:rsidR="00E10C3F" w:rsidRDefault="00E10C3F">
      <w:pPr>
        <w:pStyle w:val="a3"/>
        <w:numPr>
          <w:ilvl w:val="0"/>
          <w:numId w:val="78"/>
        </w:numPr>
        <w:ind w:firstLineChars="0"/>
        <w:rPr>
          <w:rFonts w:hint="eastAsia"/>
        </w:rPr>
      </w:pPr>
      <w:r>
        <w:rPr>
          <w:rFonts w:hint="eastAsia"/>
        </w:rPr>
        <w:t>业务应用功能完整性验证：对于部署在</w:t>
      </w:r>
      <w:r>
        <w:t>RedHat上的核心业务应用（如Nginx网站服务、PostgreSQL数据库），逐一启动应用服务并执行功能测试：</w:t>
      </w:r>
    </w:p>
    <w:p w14:paraId="5B1CD2D0" w14:textId="48C1BD31" w:rsidR="00E10C3F" w:rsidRDefault="00E10C3F">
      <w:pPr>
        <w:pStyle w:val="a3"/>
        <w:numPr>
          <w:ilvl w:val="1"/>
          <w:numId w:val="78"/>
        </w:numPr>
        <w:ind w:firstLineChars="0"/>
        <w:rPr>
          <w:rFonts w:hint="eastAsia"/>
        </w:rPr>
      </w:pPr>
      <w:r>
        <w:t>Nginx需验证网站访问、负载均衡功能，可通过浏览器访问前端页面，测试用户登录、数据提交等核心功能。</w:t>
      </w:r>
    </w:p>
    <w:p w14:paraId="7BD05099" w14:textId="3B3F35C9" w:rsidR="00E10C3F" w:rsidRDefault="00E10C3F">
      <w:pPr>
        <w:pStyle w:val="a3"/>
        <w:numPr>
          <w:ilvl w:val="1"/>
          <w:numId w:val="78"/>
        </w:numPr>
        <w:ind w:firstLineChars="0"/>
        <w:rPr>
          <w:rFonts w:hint="eastAsia"/>
        </w:rPr>
      </w:pPr>
      <w:r>
        <w:t>PostgreSQL需验证数据库连接、数据查询及事务处理能力，可通过</w:t>
      </w:r>
      <w:proofErr w:type="spellStart"/>
      <w:r>
        <w:t>psql-Upostgres-c"SELECT</w:t>
      </w:r>
      <w:proofErr w:type="spellEnd"/>
      <w:r>
        <w:t>*</w:t>
      </w:r>
      <w:proofErr w:type="spellStart"/>
      <w:r>
        <w:t>FROMtable_name</w:t>
      </w:r>
      <w:proofErr w:type="spellEnd"/>
      <w:r>
        <w:t>"命令验证数据完整性。</w:t>
      </w:r>
    </w:p>
    <w:p w14:paraId="01B0F206" w14:textId="77777777" w:rsidR="00E10C3F" w:rsidRDefault="00E10C3F">
      <w:pPr>
        <w:pStyle w:val="a3"/>
        <w:numPr>
          <w:ilvl w:val="1"/>
          <w:numId w:val="78"/>
        </w:numPr>
        <w:ind w:firstLineChars="0"/>
        <w:rPr>
          <w:rFonts w:hint="eastAsia"/>
        </w:rPr>
      </w:pPr>
      <w:r>
        <w:rPr>
          <w:rFonts w:hint="eastAsia"/>
        </w:rPr>
        <w:t>对于有状态的应用（如正在运行的容器服务），需检查迁移前后的状态一致性，避免因迁移导致业务中断或数据不一致。</w:t>
      </w:r>
    </w:p>
    <w:p w14:paraId="06A5BD37" w14:textId="64847473" w:rsidR="00E10C3F" w:rsidRPr="00E10C3F" w:rsidRDefault="00E10C3F">
      <w:pPr>
        <w:pStyle w:val="a3"/>
        <w:numPr>
          <w:ilvl w:val="0"/>
          <w:numId w:val="78"/>
        </w:numPr>
        <w:ind w:firstLineChars="0"/>
        <w:rPr>
          <w:rFonts w:hint="eastAsia"/>
        </w:rPr>
      </w:pPr>
      <w:r>
        <w:rPr>
          <w:rFonts w:hint="eastAsia"/>
        </w:rPr>
        <w:t>网络连通性与</w:t>
      </w:r>
      <w:r>
        <w:t>IP配置验证：确认迁移后的云主机可通过华为云内网（VPC）与其他资源正常通信，若配置了公网IP，需测试公网访问能力（如通过公网IP远程连接云主机）。对于迁移过程中选择“保持IPv4私网地址不变”的场景，需验证云主机的内网IP与源服务器一致且无冲突；若手动指定IP，需确认IP地址在VPC网段内且已正确配置路由表。同时，检查RedHat防火墙规则（firewall-</w:t>
      </w:r>
      <w:proofErr w:type="spellStart"/>
      <w:r>
        <w:t>cmd</w:t>
      </w:r>
      <w:proofErr w:type="spellEnd"/>
      <w:r>
        <w:t>或iptables）是否已按业务需求配置，避免因防火墙设置导致的网络访问异常。</w:t>
      </w:r>
    </w:p>
    <w:p w14:paraId="0E1A303F" w14:textId="007DF3DF" w:rsidR="00114B06" w:rsidRDefault="00114B06" w:rsidP="00114B06">
      <w:pPr>
        <w:pStyle w:val="6"/>
        <w:rPr>
          <w:rFonts w:hint="eastAsia"/>
        </w:rPr>
      </w:pPr>
      <w:r w:rsidRPr="00007C57">
        <w:t>查看迁移交付物</w:t>
      </w:r>
    </w:p>
    <w:p w14:paraId="1EF998D3" w14:textId="32B59BD1" w:rsidR="00E10C3F" w:rsidRDefault="00E10C3F" w:rsidP="00E10C3F">
      <w:pPr>
        <w:ind w:firstLine="420"/>
        <w:rPr>
          <w:rFonts w:hint="eastAsia"/>
        </w:rPr>
      </w:pPr>
      <w:r>
        <w:rPr>
          <w:rFonts w:hint="eastAsia"/>
        </w:rPr>
        <w:t>当迁移目标类型选择为云主机镜像且迁移任务显示</w:t>
      </w:r>
      <w:r>
        <w:t>“已完成”后，需通过华为云控制台查看生成的自定义镜像及相关交付物，确保镜像质量与迁移结果符合预期。</w:t>
      </w:r>
    </w:p>
    <w:p w14:paraId="686892D1" w14:textId="18F04BEA" w:rsidR="00E10C3F" w:rsidRDefault="00E10C3F">
      <w:pPr>
        <w:pStyle w:val="a3"/>
        <w:numPr>
          <w:ilvl w:val="0"/>
          <w:numId w:val="79"/>
        </w:numPr>
        <w:ind w:firstLineChars="0"/>
        <w:rPr>
          <w:rFonts w:hint="eastAsia"/>
        </w:rPr>
      </w:pPr>
      <w:r>
        <w:rPr>
          <w:rFonts w:hint="eastAsia"/>
        </w:rPr>
        <w:t>镜像基本信息验证：在华为云管理控制台搜索并进入</w:t>
      </w:r>
      <w:r>
        <w:t>“镜像服务”页面，在自定义镜像列表中找到迁移生成的镜像。点击镜像名称进入详情页，查看镜像的基本信息：镜像状态需显示为“正常”，操作系统类型正确显示为“RedHat6.10”或“RedHat8.9”，镜像格式为华为云支持的qcow2或raw；镜像大小需与源服务器的磁盘实际使用容量匹配，允许存在5%-10%的误差。</w:t>
      </w:r>
    </w:p>
    <w:p w14:paraId="0ED556A9" w14:textId="3F1C931B" w:rsidR="00E10C3F" w:rsidRDefault="00E10C3F">
      <w:pPr>
        <w:pStyle w:val="a3"/>
        <w:numPr>
          <w:ilvl w:val="0"/>
          <w:numId w:val="79"/>
        </w:numPr>
        <w:ind w:firstLineChars="0"/>
        <w:rPr>
          <w:rFonts w:hint="eastAsia"/>
        </w:rPr>
      </w:pPr>
      <w:r>
        <w:rPr>
          <w:rFonts w:hint="eastAsia"/>
        </w:rPr>
        <w:t>镜像检测报告查看：若迁移配置中启用了</w:t>
      </w:r>
      <w:r>
        <w:t>“镜像检测”功能，在镜像详情页的“检测信息”标签页中，系统会自动生成检测报告，内容包括：</w:t>
      </w:r>
    </w:p>
    <w:p w14:paraId="296A591A" w14:textId="4490D5BC" w:rsidR="00E10C3F" w:rsidRDefault="00E10C3F">
      <w:pPr>
        <w:pStyle w:val="a3"/>
        <w:numPr>
          <w:ilvl w:val="1"/>
          <w:numId w:val="79"/>
        </w:numPr>
        <w:ind w:firstLineChars="0"/>
        <w:rPr>
          <w:rFonts w:hint="eastAsia"/>
        </w:rPr>
      </w:pPr>
      <w:r>
        <w:rPr>
          <w:rFonts w:hint="eastAsia"/>
        </w:rPr>
        <w:t>启动性检测：验证镜像能否在华为云虚拟化环境中正常启动，报告显示</w:t>
      </w:r>
      <w:r>
        <w:t>“启动成功”且无报错日志（如驱动加载失败、系统文件损坏）。</w:t>
      </w:r>
    </w:p>
    <w:p w14:paraId="6FE90DC3" w14:textId="59BD244C" w:rsidR="00E10C3F" w:rsidRDefault="00E10C3F">
      <w:pPr>
        <w:pStyle w:val="a3"/>
        <w:numPr>
          <w:ilvl w:val="1"/>
          <w:numId w:val="79"/>
        </w:numPr>
        <w:ind w:firstLineChars="0"/>
        <w:rPr>
          <w:rFonts w:hint="eastAsia"/>
        </w:rPr>
      </w:pPr>
      <w:r>
        <w:rPr>
          <w:rFonts w:hint="eastAsia"/>
        </w:rPr>
        <w:t>驱动兼容性：列出镜像中已安装的驱动程序，重点检查网卡、存储控制器等关键驱动是否为华为云推荐版本（如</w:t>
      </w:r>
      <w:proofErr w:type="spellStart"/>
      <w:r>
        <w:t>virtio</w:t>
      </w:r>
      <w:proofErr w:type="spellEnd"/>
      <w:r>
        <w:t>驱动），若存在“未知设备”或驱动版本过低，需手动更新。</w:t>
      </w:r>
    </w:p>
    <w:p w14:paraId="5AC1F171" w14:textId="0D77FD11" w:rsidR="00E10C3F" w:rsidRDefault="00E10C3F">
      <w:pPr>
        <w:pStyle w:val="a3"/>
        <w:numPr>
          <w:ilvl w:val="1"/>
          <w:numId w:val="79"/>
        </w:numPr>
        <w:ind w:firstLineChars="0"/>
        <w:rPr>
          <w:rFonts w:hint="eastAsia"/>
        </w:rPr>
      </w:pPr>
      <w:r>
        <w:rPr>
          <w:rFonts w:hint="eastAsia"/>
        </w:rPr>
        <w:t>服务状态：检测</w:t>
      </w:r>
      <w:r>
        <w:t>RedHat系统服务（如</w:t>
      </w:r>
      <w:proofErr w:type="spellStart"/>
      <w:r>
        <w:t>sshd</w:t>
      </w:r>
      <w:proofErr w:type="spellEnd"/>
      <w:r>
        <w:t>、network）是否正常启动，无“禁用”或“启动失败”的服务。</w:t>
      </w:r>
    </w:p>
    <w:p w14:paraId="5D5862C7" w14:textId="6D895596" w:rsidR="00E10C3F" w:rsidRDefault="00E10C3F">
      <w:pPr>
        <w:pStyle w:val="a3"/>
        <w:numPr>
          <w:ilvl w:val="1"/>
          <w:numId w:val="79"/>
        </w:numPr>
        <w:ind w:firstLineChars="0"/>
        <w:rPr>
          <w:rFonts w:hint="eastAsia"/>
        </w:rPr>
      </w:pPr>
      <w:r>
        <w:rPr>
          <w:rFonts w:hint="eastAsia"/>
        </w:rPr>
        <w:t>磁盘分区：确认镜像中的磁盘分区结构与迁移配置一致，分区格式为</w:t>
      </w:r>
      <w:r>
        <w:t>ext4或</w:t>
      </w:r>
      <w:proofErr w:type="spellStart"/>
      <w:r>
        <w:t>xfs</w:t>
      </w:r>
      <w:proofErr w:type="spellEnd"/>
      <w:r>
        <w:t>且文件系统无错误。</w:t>
      </w:r>
    </w:p>
    <w:p w14:paraId="22D24742" w14:textId="6181E433" w:rsidR="00E10C3F" w:rsidRDefault="00E10C3F">
      <w:pPr>
        <w:pStyle w:val="a3"/>
        <w:numPr>
          <w:ilvl w:val="0"/>
          <w:numId w:val="79"/>
        </w:numPr>
        <w:ind w:firstLineChars="0"/>
        <w:rPr>
          <w:rFonts w:hint="eastAsia"/>
        </w:rPr>
      </w:pPr>
      <w:r>
        <w:rPr>
          <w:rFonts w:hint="eastAsia"/>
        </w:rPr>
        <w:t>镜像完整性与一致性验证：在镜像详情页中，获取镜像的</w:t>
      </w:r>
      <w:r>
        <w:t>MD5或SHA256校验值，并与源服务器迁移前的备份镜像校验值对比，两者需完全一致，确保迁移过程中数据未被篡改或丢失。若源服务器未保存备份镜像校验值，可通过华为云控制台下载镜像文件至本地，使用哈希计算工具重新计算校验值进行验证。</w:t>
      </w:r>
    </w:p>
    <w:p w14:paraId="78047615" w14:textId="0C6593C3" w:rsidR="00E10C3F" w:rsidRDefault="00E10C3F">
      <w:pPr>
        <w:pStyle w:val="a3"/>
        <w:numPr>
          <w:ilvl w:val="0"/>
          <w:numId w:val="79"/>
        </w:numPr>
        <w:ind w:firstLineChars="0"/>
        <w:rPr>
          <w:rFonts w:hint="eastAsia"/>
        </w:rPr>
      </w:pPr>
      <w:r>
        <w:rPr>
          <w:rFonts w:hint="eastAsia"/>
        </w:rPr>
        <w:t>增量数据同步验证：对于启用了</w:t>
      </w:r>
      <w:r>
        <w:t>“自动增量同步”功能的迁移任务，确认镜像是否包</w:t>
      </w:r>
      <w:r>
        <w:lastRenderedPageBreak/>
        <w:t>含最新的增量数据。在迁移任务详情中，查看最后一次增量同步的时间与源服务器的业务变更时间是否一致，且增量同步次数与预设频率相符，避免因增量同步未完成导致镜像数据过时。</w:t>
      </w:r>
    </w:p>
    <w:p w14:paraId="7B0159F2" w14:textId="1C159466" w:rsidR="00E10C3F" w:rsidRPr="00E10C3F" w:rsidRDefault="00E10C3F">
      <w:pPr>
        <w:pStyle w:val="a3"/>
        <w:numPr>
          <w:ilvl w:val="0"/>
          <w:numId w:val="79"/>
        </w:numPr>
        <w:ind w:firstLineChars="0"/>
        <w:rPr>
          <w:rFonts w:hint="eastAsia"/>
        </w:rPr>
      </w:pPr>
      <w:r>
        <w:rPr>
          <w:rFonts w:hint="eastAsia"/>
        </w:rPr>
        <w:t>迁移交付报告下载：若迁移配置中选择了</w:t>
      </w:r>
      <w:r>
        <w:t>“生成报告”选项（默认开启），可在迁移任务详情页下载完整的迁移交付报告。报告内容包括迁移概览、技术指标、验证结果、注意事项等，为后续镜像使用提供参考。</w:t>
      </w:r>
    </w:p>
    <w:p w14:paraId="1DB99DBB" w14:textId="77777777" w:rsidR="00114B06" w:rsidRDefault="00114B06" w:rsidP="00114B06">
      <w:pPr>
        <w:pStyle w:val="6"/>
        <w:rPr>
          <w:rFonts w:hint="eastAsia"/>
        </w:rPr>
      </w:pPr>
      <w:r w:rsidRPr="00007C57">
        <w:t>业务验证与配置调整</w:t>
      </w:r>
    </w:p>
    <w:p w14:paraId="18290186" w14:textId="02F7526F"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在确认迁移生成的华为云自定义镜像或云主机实例状态正常后，需进一步对业务功能进行全面验证，并根据华为云环境特性调整相关配置，确保迁移后的</w:t>
      </w:r>
      <w:r w:rsidRPr="00E10C3F">
        <w:rPr>
          <w:rFonts w:ascii="Segoe UI" w:hAnsi="Segoe UI" w:cs="Segoe UI"/>
          <w:color w:val="000000"/>
        </w:rPr>
        <w:t>RedHat</w:t>
      </w:r>
      <w:r w:rsidRPr="00E10C3F">
        <w:rPr>
          <w:rFonts w:ascii="Segoe UI" w:hAnsi="Segoe UI" w:cs="Segoe UI"/>
          <w:color w:val="000000"/>
        </w:rPr>
        <w:t>云主机能稳定承载业务运行。</w:t>
      </w:r>
    </w:p>
    <w:p w14:paraId="782C25FA" w14:textId="2123C63E" w:rsidR="00E10C3F" w:rsidRPr="00E10C3F" w:rsidRDefault="00E10C3F" w:rsidP="00E10C3F">
      <w:pPr>
        <w:pStyle w:val="7"/>
        <w:rPr>
          <w:rFonts w:hint="eastAsia"/>
        </w:rPr>
      </w:pPr>
      <w:r w:rsidRPr="00E10C3F">
        <w:t>数据校验</w:t>
      </w:r>
    </w:p>
    <w:p w14:paraId="50B9DFC8" w14:textId="77777777"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通过多维度数据校验机制，验证迁移后的数据与源端的一致性：</w:t>
      </w:r>
    </w:p>
    <w:p w14:paraId="05CACE28" w14:textId="2F08B4DE" w:rsidR="00E10C3F" w:rsidRPr="00E10C3F" w:rsidRDefault="00E10C3F">
      <w:pPr>
        <w:pStyle w:val="a3"/>
        <w:numPr>
          <w:ilvl w:val="0"/>
          <w:numId w:val="79"/>
        </w:numPr>
        <w:tabs>
          <w:tab w:val="num" w:pos="851"/>
          <w:tab w:val="num" w:pos="1440"/>
        </w:tabs>
        <w:ind w:firstLineChars="0"/>
        <w:rPr>
          <w:rFonts w:hint="eastAsia"/>
        </w:rPr>
      </w:pPr>
      <w:r w:rsidRPr="00E10C3F">
        <w:rPr>
          <w:rFonts w:hint="eastAsia"/>
        </w:rPr>
        <w:t>数据库数据校验：连接迁移后的数据库实例，对比源端与目标端的数据库列表、表结构及数据量，执行</w:t>
      </w:r>
      <w:r w:rsidRPr="00E10C3F">
        <w:t>SELECTCOUNT(*)语句验证关键表的数据行数是否一致；对重要业务数据进行抽样对比，可通过导出CSV文件或使用数据库对比工具自动比对，确保无数据丢失或篡改。</w:t>
      </w:r>
    </w:p>
    <w:p w14:paraId="5053877B" w14:textId="76E32B8D" w:rsidR="00E10C3F" w:rsidRPr="00E10C3F" w:rsidRDefault="00E10C3F">
      <w:pPr>
        <w:pStyle w:val="a3"/>
        <w:numPr>
          <w:ilvl w:val="0"/>
          <w:numId w:val="79"/>
        </w:numPr>
        <w:tabs>
          <w:tab w:val="num" w:pos="851"/>
          <w:tab w:val="num" w:pos="1440"/>
        </w:tabs>
        <w:ind w:firstLineChars="0"/>
        <w:rPr>
          <w:rFonts w:hint="eastAsia"/>
        </w:rPr>
      </w:pPr>
      <w:r w:rsidRPr="00E10C3F">
        <w:rPr>
          <w:rFonts w:hint="eastAsia"/>
        </w:rPr>
        <w:t>文件数据校验：检查迁移后的数据盘目录结构是否与源端一致，重点验证高频访问或关键业务文件的完整性：在文件系统中逐层比对源服务器与迁移后云主机的数据目录，确认文件夹结构、文件数量一致；随机选取</w:t>
      </w:r>
      <w:r w:rsidRPr="00E10C3F">
        <w:t>10%-20%的关键文件，查看创建时间、修改时间及文件大小是否与源端一致；对业务文件打开并验证内容完整性，确保文件可正常读取。</w:t>
      </w:r>
    </w:p>
    <w:p w14:paraId="2F81674E" w14:textId="07939F9D" w:rsidR="00E10C3F" w:rsidRPr="00E10C3F" w:rsidRDefault="00E10C3F" w:rsidP="00E10C3F">
      <w:pPr>
        <w:pStyle w:val="7"/>
        <w:rPr>
          <w:rFonts w:hint="eastAsia"/>
        </w:rPr>
      </w:pPr>
      <w:r w:rsidRPr="00E10C3F">
        <w:t>应用和服务启动</w:t>
      </w:r>
    </w:p>
    <w:p w14:paraId="1264EB36" w14:textId="77777777"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若迁移前源服务器中的应用或服务未设置自启动，迁移至华为云后需手动启动并配置启动策略：</w:t>
      </w:r>
    </w:p>
    <w:p w14:paraId="44A04238" w14:textId="61A6BE09" w:rsidR="00E10C3F" w:rsidRPr="00E10C3F" w:rsidRDefault="00E10C3F">
      <w:pPr>
        <w:pStyle w:val="a3"/>
        <w:numPr>
          <w:ilvl w:val="0"/>
          <w:numId w:val="8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登录迁移后的</w:t>
      </w:r>
      <w:r w:rsidRPr="00E10C3F">
        <w:rPr>
          <w:rFonts w:ascii="Segoe UI" w:hAnsi="Segoe UI" w:cs="Segoe UI"/>
          <w:color w:val="000000"/>
        </w:rPr>
        <w:t>RedHat</w:t>
      </w:r>
      <w:r w:rsidRPr="00E10C3F">
        <w:rPr>
          <w:rFonts w:ascii="Segoe UI" w:hAnsi="Segoe UI" w:cs="Segoe UI"/>
          <w:color w:val="000000"/>
        </w:rPr>
        <w:t>云主机，通过</w:t>
      </w:r>
      <w:r w:rsidRPr="00E10C3F">
        <w:rPr>
          <w:rFonts w:ascii="Segoe UI" w:hAnsi="Segoe UI" w:cs="Segoe UI"/>
          <w:color w:val="000000"/>
        </w:rPr>
        <w:t>“</w:t>
      </w:r>
      <w:proofErr w:type="spellStart"/>
      <w:r w:rsidRPr="00E10C3F">
        <w:rPr>
          <w:rFonts w:ascii="Segoe UI" w:hAnsi="Segoe UI" w:cs="Segoe UI"/>
          <w:color w:val="000000"/>
        </w:rPr>
        <w:t>systemctllist</w:t>
      </w:r>
      <w:proofErr w:type="spellEnd"/>
      <w:r w:rsidRPr="00E10C3F">
        <w:rPr>
          <w:rFonts w:ascii="Segoe UI" w:hAnsi="Segoe UI" w:cs="Segoe UI"/>
          <w:color w:val="000000"/>
        </w:rPr>
        <w:t>-units--type=service”</w:t>
      </w:r>
      <w:r w:rsidRPr="00E10C3F">
        <w:rPr>
          <w:rFonts w:ascii="Segoe UI" w:hAnsi="Segoe UI" w:cs="Segoe UI"/>
          <w:color w:val="000000"/>
        </w:rPr>
        <w:t>命令查看所有服务状态，对业务相关服务（如</w:t>
      </w:r>
      <w:r w:rsidRPr="00E10C3F">
        <w:rPr>
          <w:rFonts w:ascii="Segoe UI" w:hAnsi="Segoe UI" w:cs="Segoe UI"/>
          <w:color w:val="000000"/>
        </w:rPr>
        <w:t>nginx</w:t>
      </w:r>
      <w:r w:rsidRPr="00E10C3F">
        <w:rPr>
          <w:rFonts w:ascii="Segoe UI" w:hAnsi="Segoe UI" w:cs="Segoe UI"/>
          <w:color w:val="000000"/>
        </w:rPr>
        <w:t>、</w:t>
      </w:r>
      <w:proofErr w:type="spellStart"/>
      <w:r w:rsidRPr="00E10C3F">
        <w:rPr>
          <w:rFonts w:ascii="Segoe UI" w:hAnsi="Segoe UI" w:cs="Segoe UI"/>
          <w:color w:val="000000"/>
        </w:rPr>
        <w:t>postgresql</w:t>
      </w:r>
      <w:proofErr w:type="spellEnd"/>
      <w:r w:rsidRPr="00E10C3F">
        <w:rPr>
          <w:rFonts w:ascii="Segoe UI" w:hAnsi="Segoe UI" w:cs="Segoe UI"/>
          <w:color w:val="000000"/>
        </w:rPr>
        <w:t>）检查是否设置为</w:t>
      </w:r>
      <w:r w:rsidRPr="00E10C3F">
        <w:rPr>
          <w:rFonts w:ascii="Segoe UI" w:hAnsi="Segoe UI" w:cs="Segoe UI"/>
          <w:color w:val="000000"/>
        </w:rPr>
        <w:t>“enabled”</w:t>
      </w:r>
      <w:r w:rsidRPr="00E10C3F">
        <w:rPr>
          <w:rFonts w:ascii="Segoe UI" w:hAnsi="Segoe UI" w:cs="Segoe UI"/>
          <w:color w:val="000000"/>
        </w:rPr>
        <w:t>启动类型，若为</w:t>
      </w:r>
      <w:r w:rsidRPr="00E10C3F">
        <w:rPr>
          <w:rFonts w:ascii="Segoe UI" w:hAnsi="Segoe UI" w:cs="Segoe UI"/>
          <w:color w:val="000000"/>
        </w:rPr>
        <w:t>“disabled”</w:t>
      </w:r>
      <w:r w:rsidRPr="00E10C3F">
        <w:rPr>
          <w:rFonts w:ascii="Segoe UI" w:hAnsi="Segoe UI" w:cs="Segoe UI"/>
          <w:color w:val="000000"/>
        </w:rPr>
        <w:t>，使用</w:t>
      </w:r>
      <w:proofErr w:type="spellStart"/>
      <w:r w:rsidRPr="00E10C3F">
        <w:rPr>
          <w:rFonts w:ascii="Segoe UI" w:hAnsi="Segoe UI" w:cs="Segoe UI"/>
          <w:color w:val="000000"/>
        </w:rPr>
        <w:t>systemctlenableservice_name</w:t>
      </w:r>
      <w:proofErr w:type="spellEnd"/>
      <w:r w:rsidRPr="00E10C3F">
        <w:rPr>
          <w:rFonts w:ascii="Segoe UI" w:hAnsi="Segoe UI" w:cs="Segoe UI"/>
          <w:color w:val="000000"/>
        </w:rPr>
        <w:t>命令修改启动类型并通过</w:t>
      </w:r>
      <w:proofErr w:type="spellStart"/>
      <w:r w:rsidRPr="00E10C3F">
        <w:rPr>
          <w:rFonts w:ascii="Segoe UI" w:hAnsi="Segoe UI" w:cs="Segoe UI"/>
          <w:color w:val="000000"/>
        </w:rPr>
        <w:t>systemctlstartservice_name</w:t>
      </w:r>
      <w:proofErr w:type="spellEnd"/>
      <w:r w:rsidRPr="00E10C3F">
        <w:rPr>
          <w:rFonts w:ascii="Segoe UI" w:hAnsi="Segoe UI" w:cs="Segoe UI"/>
          <w:color w:val="000000"/>
        </w:rPr>
        <w:t>启动服务。</w:t>
      </w:r>
    </w:p>
    <w:p w14:paraId="531942BF" w14:textId="13C5EFCB" w:rsidR="00E10C3F" w:rsidRPr="00E10C3F" w:rsidRDefault="00E10C3F">
      <w:pPr>
        <w:pStyle w:val="a3"/>
        <w:numPr>
          <w:ilvl w:val="0"/>
          <w:numId w:val="8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对于需要随系统启动的第三方应用，检查其是否在启动脚本中（如</w:t>
      </w:r>
      <w:r w:rsidRPr="00E10C3F">
        <w:rPr>
          <w:rFonts w:ascii="Segoe UI" w:hAnsi="Segoe UI" w:cs="Segoe UI"/>
          <w:color w:val="000000"/>
        </w:rPr>
        <w:t>/</w:t>
      </w:r>
      <w:proofErr w:type="spellStart"/>
      <w:r w:rsidRPr="00E10C3F">
        <w:rPr>
          <w:rFonts w:ascii="Segoe UI" w:hAnsi="Segoe UI" w:cs="Segoe UI"/>
          <w:color w:val="000000"/>
        </w:rPr>
        <w:t>etc</w:t>
      </w:r>
      <w:proofErr w:type="spellEnd"/>
      <w:r w:rsidRPr="00E10C3F">
        <w:rPr>
          <w:rFonts w:ascii="Segoe UI" w:hAnsi="Segoe UI" w:cs="Segoe UI"/>
          <w:color w:val="000000"/>
        </w:rPr>
        <w:t>/</w:t>
      </w:r>
      <w:proofErr w:type="spellStart"/>
      <w:r w:rsidRPr="00E10C3F">
        <w:rPr>
          <w:rFonts w:ascii="Segoe UI" w:hAnsi="Segoe UI" w:cs="Segoe UI"/>
          <w:color w:val="000000"/>
        </w:rPr>
        <w:t>rc.d</w:t>
      </w:r>
      <w:proofErr w:type="spellEnd"/>
      <w:r w:rsidRPr="00E10C3F">
        <w:rPr>
          <w:rFonts w:ascii="Segoe UI" w:hAnsi="Segoe UI" w:cs="Segoe UI"/>
          <w:color w:val="000000"/>
        </w:rPr>
        <w:t>/</w:t>
      </w:r>
      <w:proofErr w:type="spellStart"/>
      <w:r w:rsidRPr="00E10C3F">
        <w:rPr>
          <w:rFonts w:ascii="Segoe UI" w:hAnsi="Segoe UI" w:cs="Segoe UI"/>
          <w:color w:val="000000"/>
        </w:rPr>
        <w:t>rc.local</w:t>
      </w:r>
      <w:proofErr w:type="spellEnd"/>
      <w:r w:rsidRPr="00E10C3F">
        <w:rPr>
          <w:rFonts w:ascii="Segoe UI" w:hAnsi="Segoe UI" w:cs="Segoe UI"/>
          <w:color w:val="000000"/>
        </w:rPr>
        <w:t>）或通过</w:t>
      </w:r>
      <w:proofErr w:type="spellStart"/>
      <w:r w:rsidRPr="00E10C3F">
        <w:rPr>
          <w:rFonts w:ascii="Segoe UI" w:hAnsi="Segoe UI" w:cs="Segoe UI"/>
          <w:color w:val="000000"/>
        </w:rPr>
        <w:t>systemd</w:t>
      </w:r>
      <w:proofErr w:type="spellEnd"/>
      <w:r w:rsidRPr="00E10C3F">
        <w:rPr>
          <w:rFonts w:ascii="Segoe UI" w:hAnsi="Segoe UI" w:cs="Segoe UI"/>
          <w:color w:val="000000"/>
        </w:rPr>
        <w:t>单元文件配置启动项，若缺失则手动添加。</w:t>
      </w:r>
    </w:p>
    <w:p w14:paraId="0B228284" w14:textId="4DDD1663" w:rsidR="00E10C3F" w:rsidRPr="00E10C3F" w:rsidRDefault="00E10C3F">
      <w:pPr>
        <w:pStyle w:val="a3"/>
        <w:numPr>
          <w:ilvl w:val="0"/>
          <w:numId w:val="8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启动应用后，执行基础功能测试：例如</w:t>
      </w:r>
      <w:r w:rsidRPr="00E10C3F">
        <w:rPr>
          <w:rFonts w:ascii="Segoe UI" w:hAnsi="Segoe UI" w:cs="Segoe UI"/>
          <w:color w:val="000000"/>
        </w:rPr>
        <w:t>Nginx</w:t>
      </w:r>
      <w:r w:rsidRPr="00E10C3F">
        <w:rPr>
          <w:rFonts w:ascii="Segoe UI" w:hAnsi="Segoe UI" w:cs="Segoe UI"/>
          <w:color w:val="000000"/>
        </w:rPr>
        <w:t>网站需访问首页及核心业务页面，确保页面加载正常、交互功能无误；</w:t>
      </w:r>
      <w:r w:rsidRPr="00E10C3F">
        <w:rPr>
          <w:rFonts w:ascii="Segoe UI" w:hAnsi="Segoe UI" w:cs="Segoe UI"/>
          <w:color w:val="000000"/>
        </w:rPr>
        <w:t>ERP</w:t>
      </w:r>
      <w:r w:rsidRPr="00E10C3F">
        <w:rPr>
          <w:rFonts w:ascii="Segoe UI" w:hAnsi="Segoe UI" w:cs="Segoe UI"/>
          <w:color w:val="000000"/>
        </w:rPr>
        <w:t>系统需验证用户登录、数据查询等操作，确保应用在华为云环境中运行流畅。</w:t>
      </w:r>
    </w:p>
    <w:p w14:paraId="45F5AF5C" w14:textId="70768BD6" w:rsidR="00E10C3F" w:rsidRPr="00E10C3F" w:rsidRDefault="00E10C3F" w:rsidP="00E10C3F">
      <w:pPr>
        <w:pStyle w:val="7"/>
        <w:rPr>
          <w:rFonts w:hint="eastAsia"/>
        </w:rPr>
      </w:pPr>
      <w:r w:rsidRPr="00E10C3F">
        <w:lastRenderedPageBreak/>
        <w:t>地址相关配置修改</w:t>
      </w:r>
    </w:p>
    <w:p w14:paraId="7D55391B" w14:textId="5644E6CA"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业务域名与公网</w:t>
      </w:r>
      <w:r w:rsidRPr="00E10C3F">
        <w:rPr>
          <w:rFonts w:ascii="Segoe UI" w:hAnsi="Segoe UI" w:cs="Segoe UI"/>
          <w:color w:val="000000"/>
        </w:rPr>
        <w:t>IP</w:t>
      </w:r>
      <w:r w:rsidRPr="00E10C3F">
        <w:rPr>
          <w:rFonts w:ascii="Segoe UI" w:hAnsi="Segoe UI" w:cs="Segoe UI"/>
          <w:color w:val="000000"/>
        </w:rPr>
        <w:t>配置</w:t>
      </w:r>
    </w:p>
    <w:p w14:paraId="497CB519" w14:textId="31F7A1C1"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若业务涉及</w:t>
      </w:r>
      <w:r w:rsidRPr="00E10C3F">
        <w:rPr>
          <w:rFonts w:ascii="Segoe UI" w:hAnsi="Segoe UI" w:cs="Segoe UI"/>
          <w:color w:val="000000"/>
        </w:rPr>
        <w:t>IP</w:t>
      </w:r>
      <w:r w:rsidRPr="00E10C3F">
        <w:rPr>
          <w:rFonts w:ascii="Segoe UI" w:hAnsi="Segoe UI" w:cs="Segoe UI"/>
          <w:color w:val="000000"/>
        </w:rPr>
        <w:t>地址直接访问或使用域名解析服务，需根据华为云分配的公网</w:t>
      </w:r>
      <w:r w:rsidRPr="00E10C3F">
        <w:rPr>
          <w:rFonts w:ascii="Segoe UI" w:hAnsi="Segoe UI" w:cs="Segoe UI"/>
          <w:color w:val="000000"/>
        </w:rPr>
        <w:t>IP</w:t>
      </w:r>
      <w:r w:rsidRPr="00E10C3F">
        <w:rPr>
          <w:rFonts w:ascii="Segoe UI" w:hAnsi="Segoe UI" w:cs="Segoe UI"/>
          <w:color w:val="000000"/>
        </w:rPr>
        <w:t>地址修改相关配置：</w:t>
      </w:r>
    </w:p>
    <w:p w14:paraId="503C5653" w14:textId="78C83958"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登录域名服务提供商的管理平台，找到源服务器绑定的域名，将域名解析记录中的</w:t>
      </w:r>
      <w:r w:rsidRPr="00E10C3F">
        <w:rPr>
          <w:rFonts w:ascii="Segoe UI" w:hAnsi="Segoe UI" w:cs="Segoe UI"/>
          <w:color w:val="000000"/>
        </w:rPr>
        <w:t>IP</w:t>
      </w:r>
      <w:r w:rsidRPr="00E10C3F">
        <w:rPr>
          <w:rFonts w:ascii="Segoe UI" w:hAnsi="Segoe UI" w:cs="Segoe UI"/>
          <w:color w:val="000000"/>
        </w:rPr>
        <w:t>地址修改为迁移后云主机的公网</w:t>
      </w:r>
      <w:r w:rsidRPr="00E10C3F">
        <w:rPr>
          <w:rFonts w:ascii="Segoe UI" w:hAnsi="Segoe UI" w:cs="Segoe UI"/>
          <w:color w:val="000000"/>
        </w:rPr>
        <w:t>IP</w:t>
      </w:r>
      <w:r w:rsidRPr="00E10C3F">
        <w:rPr>
          <w:rFonts w:ascii="Segoe UI" w:hAnsi="Segoe UI" w:cs="Segoe UI"/>
          <w:color w:val="000000"/>
        </w:rPr>
        <w:t>，记录类型选择</w:t>
      </w:r>
      <w:r w:rsidRPr="00E10C3F">
        <w:rPr>
          <w:rFonts w:ascii="Segoe UI" w:hAnsi="Segoe UI" w:cs="Segoe UI"/>
          <w:color w:val="000000"/>
        </w:rPr>
        <w:t>“A</w:t>
      </w:r>
      <w:r w:rsidRPr="00E10C3F">
        <w:rPr>
          <w:rFonts w:ascii="Segoe UI" w:hAnsi="Segoe UI" w:cs="Segoe UI"/>
          <w:color w:val="000000"/>
        </w:rPr>
        <w:t>记录</w:t>
      </w:r>
      <w:r w:rsidRPr="00E10C3F">
        <w:rPr>
          <w:rFonts w:ascii="Segoe UI" w:hAnsi="Segoe UI" w:cs="Segoe UI"/>
          <w:color w:val="000000"/>
        </w:rPr>
        <w:t>”</w:t>
      </w:r>
      <w:r w:rsidRPr="00E10C3F">
        <w:rPr>
          <w:rFonts w:ascii="Segoe UI" w:hAnsi="Segoe UI" w:cs="Segoe UI"/>
          <w:color w:val="000000"/>
        </w:rPr>
        <w:t>，</w:t>
      </w:r>
      <w:r w:rsidRPr="00E10C3F">
        <w:rPr>
          <w:rFonts w:ascii="Segoe UI" w:hAnsi="Segoe UI" w:cs="Segoe UI"/>
          <w:color w:val="000000"/>
        </w:rPr>
        <w:t>TTL</w:t>
      </w:r>
      <w:r w:rsidRPr="00E10C3F">
        <w:rPr>
          <w:rFonts w:ascii="Segoe UI" w:hAnsi="Segoe UI" w:cs="Segoe UI"/>
          <w:color w:val="000000"/>
        </w:rPr>
        <w:t>值建议设置为</w:t>
      </w:r>
      <w:r w:rsidRPr="00E10C3F">
        <w:rPr>
          <w:rFonts w:ascii="Segoe UI" w:hAnsi="Segoe UI" w:cs="Segoe UI"/>
          <w:color w:val="000000"/>
        </w:rPr>
        <w:t>10</w:t>
      </w:r>
      <w:r w:rsidRPr="00E10C3F">
        <w:rPr>
          <w:rFonts w:ascii="Segoe UI" w:hAnsi="Segoe UI" w:cs="Segoe UI"/>
          <w:color w:val="000000"/>
        </w:rPr>
        <w:t>分钟以便快速生效。</w:t>
      </w:r>
    </w:p>
    <w:p w14:paraId="35C88A9D" w14:textId="0185935A"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若业务系统备案信息中登记的服务器</w:t>
      </w:r>
      <w:r w:rsidRPr="00E10C3F">
        <w:rPr>
          <w:rFonts w:ascii="Segoe UI" w:hAnsi="Segoe UI" w:cs="Segoe UI"/>
          <w:color w:val="000000"/>
        </w:rPr>
        <w:t>IP</w:t>
      </w:r>
      <w:r w:rsidRPr="00E10C3F">
        <w:rPr>
          <w:rFonts w:ascii="Segoe UI" w:hAnsi="Segoe UI" w:cs="Segoe UI"/>
          <w:color w:val="000000"/>
        </w:rPr>
        <w:t>与迁移后不符，需通过华为云备案系统提交</w:t>
      </w:r>
      <w:r w:rsidRPr="00E10C3F">
        <w:rPr>
          <w:rFonts w:ascii="Segoe UI" w:hAnsi="Segoe UI" w:cs="Segoe UI"/>
          <w:color w:val="000000"/>
        </w:rPr>
        <w:t>IP</w:t>
      </w:r>
      <w:r w:rsidRPr="00E10C3F">
        <w:rPr>
          <w:rFonts w:ascii="Segoe UI" w:hAnsi="Segoe UI" w:cs="Segoe UI"/>
          <w:color w:val="000000"/>
        </w:rPr>
        <w:t>变更申请，按流程完成</w:t>
      </w:r>
      <w:r w:rsidRPr="00E10C3F">
        <w:rPr>
          <w:rFonts w:ascii="Segoe UI" w:hAnsi="Segoe UI" w:cs="Segoe UI"/>
          <w:color w:val="000000"/>
        </w:rPr>
        <w:t>ICP</w:t>
      </w:r>
      <w:r w:rsidRPr="00E10C3F">
        <w:rPr>
          <w:rFonts w:ascii="Segoe UI" w:hAnsi="Segoe UI" w:cs="Segoe UI"/>
          <w:color w:val="000000"/>
        </w:rPr>
        <w:t>备案信息修改，避免因备案信息不一致导致业务访问异常。</w:t>
      </w:r>
    </w:p>
    <w:p w14:paraId="697A886B" w14:textId="0D10C1E8"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对于通过公网</w:t>
      </w:r>
      <w:r w:rsidRPr="00E10C3F">
        <w:rPr>
          <w:rFonts w:ascii="Segoe UI" w:hAnsi="Segoe UI" w:cs="Segoe UI"/>
          <w:color w:val="000000"/>
        </w:rPr>
        <w:t>IP</w:t>
      </w:r>
      <w:r w:rsidRPr="00E10C3F">
        <w:rPr>
          <w:rFonts w:ascii="Segoe UI" w:hAnsi="Segoe UI" w:cs="Segoe UI"/>
          <w:color w:val="000000"/>
        </w:rPr>
        <w:t>直接访问的业务（如</w:t>
      </w:r>
      <w:r w:rsidRPr="00E10C3F">
        <w:rPr>
          <w:rFonts w:ascii="Segoe UI" w:hAnsi="Segoe UI" w:cs="Segoe UI"/>
          <w:color w:val="000000"/>
        </w:rPr>
        <w:t>SSH</w:t>
      </w:r>
      <w:r w:rsidRPr="00E10C3F">
        <w:rPr>
          <w:rFonts w:ascii="Segoe UI" w:hAnsi="Segoe UI" w:cs="Segoe UI"/>
          <w:color w:val="000000"/>
        </w:rPr>
        <w:t>、</w:t>
      </w:r>
      <w:r w:rsidRPr="00E10C3F">
        <w:rPr>
          <w:rFonts w:ascii="Segoe UI" w:hAnsi="Segoe UI" w:cs="Segoe UI"/>
          <w:color w:val="000000"/>
        </w:rPr>
        <w:t>FTP</w:t>
      </w:r>
      <w:r w:rsidRPr="00E10C3F">
        <w:rPr>
          <w:rFonts w:ascii="Segoe UI" w:hAnsi="Segoe UI" w:cs="Segoe UI"/>
          <w:color w:val="000000"/>
        </w:rPr>
        <w:t>服务），确保华为云安全组规则已放行相关端口（如</w:t>
      </w:r>
      <w:r w:rsidRPr="00E10C3F">
        <w:rPr>
          <w:rFonts w:ascii="Segoe UI" w:hAnsi="Segoe UI" w:cs="Segoe UI"/>
          <w:color w:val="000000"/>
        </w:rPr>
        <w:t>22</w:t>
      </w:r>
      <w:r w:rsidRPr="00E10C3F">
        <w:rPr>
          <w:rFonts w:ascii="Segoe UI" w:hAnsi="Segoe UI" w:cs="Segoe UI"/>
          <w:color w:val="000000"/>
        </w:rPr>
        <w:t>、</w:t>
      </w:r>
      <w:r w:rsidRPr="00E10C3F">
        <w:rPr>
          <w:rFonts w:ascii="Segoe UI" w:hAnsi="Segoe UI" w:cs="Segoe UI"/>
          <w:color w:val="000000"/>
        </w:rPr>
        <w:t>21</w:t>
      </w:r>
      <w:r w:rsidRPr="00E10C3F">
        <w:rPr>
          <w:rFonts w:ascii="Segoe UI" w:hAnsi="Segoe UI" w:cs="Segoe UI"/>
          <w:color w:val="000000"/>
        </w:rPr>
        <w:t>），可通过</w:t>
      </w:r>
      <w:r w:rsidRPr="00E10C3F">
        <w:rPr>
          <w:rFonts w:ascii="Segoe UI" w:hAnsi="Segoe UI" w:cs="Segoe UI"/>
          <w:color w:val="000000"/>
        </w:rPr>
        <w:t>ping</w:t>
      </w:r>
      <w:r w:rsidRPr="00E10C3F">
        <w:rPr>
          <w:rFonts w:ascii="Segoe UI" w:hAnsi="Segoe UI" w:cs="Segoe UI"/>
          <w:color w:val="000000"/>
        </w:rPr>
        <w:t>命令或远程连接工具测试公网</w:t>
      </w:r>
      <w:r w:rsidRPr="00E10C3F">
        <w:rPr>
          <w:rFonts w:ascii="Segoe UI" w:hAnsi="Segoe UI" w:cs="Segoe UI"/>
          <w:color w:val="000000"/>
        </w:rPr>
        <w:t>IP</w:t>
      </w:r>
      <w:r w:rsidRPr="00E10C3F">
        <w:rPr>
          <w:rFonts w:ascii="Segoe UI" w:hAnsi="Segoe UI" w:cs="Segoe UI"/>
          <w:color w:val="000000"/>
        </w:rPr>
        <w:t>的连通性。</w:t>
      </w:r>
    </w:p>
    <w:p w14:paraId="1CD0537B" w14:textId="27FE5968"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私网</w:t>
      </w:r>
      <w:r w:rsidRPr="00E10C3F">
        <w:rPr>
          <w:rFonts w:ascii="Segoe UI" w:hAnsi="Segoe UI" w:cs="Segoe UI"/>
          <w:color w:val="000000"/>
        </w:rPr>
        <w:t>IP</w:t>
      </w:r>
      <w:r w:rsidRPr="00E10C3F">
        <w:rPr>
          <w:rFonts w:ascii="Segoe UI" w:hAnsi="Segoe UI" w:cs="Segoe UI"/>
          <w:color w:val="000000"/>
        </w:rPr>
        <w:t>地址保持与修改策略</w:t>
      </w:r>
    </w:p>
    <w:p w14:paraId="7F1F4AA8" w14:textId="40E06A81"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根据迁移目标类型的不同，私网</w:t>
      </w:r>
      <w:r w:rsidRPr="00E10C3F">
        <w:rPr>
          <w:rFonts w:ascii="Segoe UI" w:hAnsi="Segoe UI" w:cs="Segoe UI"/>
          <w:color w:val="000000"/>
        </w:rPr>
        <w:t>IP</w:t>
      </w:r>
      <w:r w:rsidRPr="00E10C3F">
        <w:rPr>
          <w:rFonts w:ascii="Segoe UI" w:hAnsi="Segoe UI" w:cs="Segoe UI"/>
          <w:color w:val="000000"/>
        </w:rPr>
        <w:t>地址的配置方式如下：</w:t>
      </w:r>
    </w:p>
    <w:p w14:paraId="6E7FF8FA" w14:textId="6C8A3741"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目标类型为自定义镜像：通过该镜像创建云主机实例时，可在华为云控制台的网络配置中选择</w:t>
      </w:r>
      <w:r w:rsidRPr="00E10C3F">
        <w:rPr>
          <w:rFonts w:ascii="Segoe UI" w:hAnsi="Segoe UI" w:cs="Segoe UI"/>
          <w:color w:val="000000"/>
        </w:rPr>
        <w:t>“</w:t>
      </w:r>
      <w:r w:rsidRPr="00E10C3F">
        <w:rPr>
          <w:rFonts w:ascii="Segoe UI" w:hAnsi="Segoe UI" w:cs="Segoe UI"/>
          <w:color w:val="000000"/>
        </w:rPr>
        <w:t>保持私网</w:t>
      </w:r>
      <w:r w:rsidRPr="00E10C3F">
        <w:rPr>
          <w:rFonts w:ascii="Segoe UI" w:hAnsi="Segoe UI" w:cs="Segoe UI"/>
          <w:color w:val="000000"/>
        </w:rPr>
        <w:t>IP</w:t>
      </w:r>
      <w:r w:rsidRPr="00E10C3F">
        <w:rPr>
          <w:rFonts w:ascii="Segoe UI" w:hAnsi="Segoe UI" w:cs="Segoe UI"/>
          <w:color w:val="000000"/>
        </w:rPr>
        <w:t>不变</w:t>
      </w:r>
      <w:r w:rsidRPr="00E10C3F">
        <w:rPr>
          <w:rFonts w:ascii="Segoe UI" w:hAnsi="Segoe UI" w:cs="Segoe UI"/>
          <w:color w:val="000000"/>
        </w:rPr>
        <w:t>”</w:t>
      </w:r>
      <w:r w:rsidRPr="00E10C3F">
        <w:rPr>
          <w:rFonts w:ascii="Segoe UI" w:hAnsi="Segoe UI" w:cs="Segoe UI"/>
          <w:color w:val="000000"/>
        </w:rPr>
        <w:t>或</w:t>
      </w:r>
      <w:r w:rsidRPr="00E10C3F">
        <w:rPr>
          <w:rFonts w:ascii="Segoe UI" w:hAnsi="Segoe UI" w:cs="Segoe UI"/>
          <w:color w:val="000000"/>
        </w:rPr>
        <w:t>“</w:t>
      </w:r>
      <w:r w:rsidRPr="00E10C3F">
        <w:rPr>
          <w:rFonts w:ascii="Segoe UI" w:hAnsi="Segoe UI" w:cs="Segoe UI"/>
          <w:color w:val="000000"/>
        </w:rPr>
        <w:t>手动指定</w:t>
      </w:r>
      <w:r w:rsidRPr="00E10C3F">
        <w:rPr>
          <w:rFonts w:ascii="Segoe UI" w:hAnsi="Segoe UI" w:cs="Segoe UI"/>
          <w:color w:val="000000"/>
        </w:rPr>
        <w:t>”</w:t>
      </w:r>
      <w:r w:rsidRPr="00E10C3F">
        <w:rPr>
          <w:rFonts w:ascii="Segoe UI" w:hAnsi="Segoe UI" w:cs="Segoe UI"/>
          <w:color w:val="000000"/>
        </w:rPr>
        <w:t>：</w:t>
      </w:r>
    </w:p>
    <w:p w14:paraId="3E7F8907" w14:textId="0F76E47D"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若选择</w:t>
      </w:r>
      <w:r w:rsidRPr="00E10C3F">
        <w:rPr>
          <w:rFonts w:ascii="Segoe UI" w:hAnsi="Segoe UI" w:cs="Segoe UI"/>
          <w:color w:val="000000"/>
        </w:rPr>
        <w:t>“</w:t>
      </w:r>
      <w:r w:rsidRPr="00E10C3F">
        <w:rPr>
          <w:rFonts w:ascii="Segoe UI" w:hAnsi="Segoe UI" w:cs="Segoe UI"/>
          <w:color w:val="000000"/>
        </w:rPr>
        <w:t>保持不变</w:t>
      </w:r>
      <w:r w:rsidRPr="00E10C3F">
        <w:rPr>
          <w:rFonts w:ascii="Segoe UI" w:hAnsi="Segoe UI" w:cs="Segoe UI"/>
          <w:color w:val="000000"/>
        </w:rPr>
        <w:t>”</w:t>
      </w:r>
      <w:r w:rsidRPr="00E10C3F">
        <w:rPr>
          <w:rFonts w:ascii="Segoe UI" w:hAnsi="Segoe UI" w:cs="Segoe UI"/>
          <w:color w:val="000000"/>
        </w:rPr>
        <w:t>，需确保华为云专有网络（</w:t>
      </w:r>
      <w:r w:rsidRPr="00E10C3F">
        <w:rPr>
          <w:rFonts w:ascii="Segoe UI" w:hAnsi="Segoe UI" w:cs="Segoe UI"/>
          <w:color w:val="000000"/>
        </w:rPr>
        <w:t>VPC</w:t>
      </w:r>
      <w:r w:rsidRPr="00E10C3F">
        <w:rPr>
          <w:rFonts w:ascii="Segoe UI" w:hAnsi="Segoe UI" w:cs="Segoe UI"/>
          <w:color w:val="000000"/>
        </w:rPr>
        <w:t>）的</w:t>
      </w:r>
      <w:r w:rsidRPr="00E10C3F">
        <w:rPr>
          <w:rFonts w:ascii="Segoe UI" w:hAnsi="Segoe UI" w:cs="Segoe UI"/>
          <w:color w:val="000000"/>
        </w:rPr>
        <w:t>IP</w:t>
      </w:r>
      <w:r w:rsidRPr="00E10C3F">
        <w:rPr>
          <w:rFonts w:ascii="Segoe UI" w:hAnsi="Segoe UI" w:cs="Segoe UI"/>
          <w:color w:val="000000"/>
        </w:rPr>
        <w:t>地址段与源服务器所在网络一致，且无</w:t>
      </w:r>
      <w:r w:rsidRPr="00E10C3F">
        <w:rPr>
          <w:rFonts w:ascii="Segoe UI" w:hAnsi="Segoe UI" w:cs="Segoe UI"/>
          <w:color w:val="000000"/>
        </w:rPr>
        <w:t>IP</w:t>
      </w:r>
      <w:r w:rsidRPr="00E10C3F">
        <w:rPr>
          <w:rFonts w:ascii="Segoe UI" w:hAnsi="Segoe UI" w:cs="Segoe UI"/>
          <w:color w:val="000000"/>
        </w:rPr>
        <w:t>冲突。操作时在创建实例的</w:t>
      </w:r>
      <w:r w:rsidRPr="00E10C3F">
        <w:rPr>
          <w:rFonts w:ascii="Segoe UI" w:hAnsi="Segoe UI" w:cs="Segoe UI"/>
          <w:color w:val="000000"/>
        </w:rPr>
        <w:t>“</w:t>
      </w:r>
      <w:r w:rsidRPr="00E10C3F">
        <w:rPr>
          <w:rFonts w:ascii="Segoe UI" w:hAnsi="Segoe UI" w:cs="Segoe UI"/>
          <w:color w:val="000000"/>
        </w:rPr>
        <w:t>网络配置</w:t>
      </w:r>
      <w:r w:rsidRPr="00E10C3F">
        <w:rPr>
          <w:rFonts w:ascii="Segoe UI" w:hAnsi="Segoe UI" w:cs="Segoe UI"/>
          <w:color w:val="000000"/>
        </w:rPr>
        <w:t>”</w:t>
      </w:r>
      <w:r w:rsidRPr="00E10C3F">
        <w:rPr>
          <w:rFonts w:ascii="Segoe UI" w:hAnsi="Segoe UI" w:cs="Segoe UI"/>
          <w:color w:val="000000"/>
        </w:rPr>
        <w:t>步骤中，勾选</w:t>
      </w:r>
      <w:r w:rsidRPr="00E10C3F">
        <w:rPr>
          <w:rFonts w:ascii="Segoe UI" w:hAnsi="Segoe UI" w:cs="Segoe UI"/>
          <w:color w:val="000000"/>
        </w:rPr>
        <w:t>“</w:t>
      </w:r>
      <w:r w:rsidRPr="00E10C3F">
        <w:rPr>
          <w:rFonts w:ascii="Segoe UI" w:hAnsi="Segoe UI" w:cs="Segoe UI"/>
          <w:color w:val="000000"/>
        </w:rPr>
        <w:t>指定私网</w:t>
      </w:r>
      <w:r w:rsidRPr="00E10C3F">
        <w:rPr>
          <w:rFonts w:ascii="Segoe UI" w:hAnsi="Segoe UI" w:cs="Segoe UI"/>
          <w:color w:val="000000"/>
        </w:rPr>
        <w:t>IP”</w:t>
      </w:r>
      <w:r w:rsidRPr="00E10C3F">
        <w:rPr>
          <w:rFonts w:ascii="Segoe UI" w:hAnsi="Segoe UI" w:cs="Segoe UI"/>
          <w:color w:val="000000"/>
        </w:rPr>
        <w:t>并输入源服务器的私网</w:t>
      </w:r>
      <w:r w:rsidRPr="00E10C3F">
        <w:rPr>
          <w:rFonts w:ascii="Segoe UI" w:hAnsi="Segoe UI" w:cs="Segoe UI"/>
          <w:color w:val="000000"/>
        </w:rPr>
        <w:t>IP</w:t>
      </w:r>
      <w:r w:rsidRPr="00E10C3F">
        <w:rPr>
          <w:rFonts w:ascii="Segoe UI" w:hAnsi="Segoe UI" w:cs="Segoe UI"/>
          <w:color w:val="000000"/>
        </w:rPr>
        <w:t>，系统会自动校验</w:t>
      </w:r>
      <w:r w:rsidRPr="00E10C3F">
        <w:rPr>
          <w:rFonts w:ascii="Segoe UI" w:hAnsi="Segoe UI" w:cs="Segoe UI"/>
          <w:color w:val="000000"/>
        </w:rPr>
        <w:t>IP</w:t>
      </w:r>
      <w:r w:rsidRPr="00E10C3F">
        <w:rPr>
          <w:rFonts w:ascii="Segoe UI" w:hAnsi="Segoe UI" w:cs="Segoe UI"/>
          <w:color w:val="000000"/>
        </w:rPr>
        <w:t>有效性。</w:t>
      </w:r>
    </w:p>
    <w:p w14:paraId="3DB8B546" w14:textId="3B131457"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若选择</w:t>
      </w:r>
      <w:r w:rsidRPr="00E10C3F">
        <w:rPr>
          <w:rFonts w:ascii="Segoe UI" w:hAnsi="Segoe UI" w:cs="Segoe UI"/>
          <w:color w:val="000000"/>
        </w:rPr>
        <w:t>“</w:t>
      </w:r>
      <w:r w:rsidRPr="00E10C3F">
        <w:rPr>
          <w:rFonts w:ascii="Segoe UI" w:hAnsi="Segoe UI" w:cs="Segoe UI"/>
          <w:color w:val="000000"/>
        </w:rPr>
        <w:t>手动指定</w:t>
      </w:r>
      <w:r w:rsidRPr="00E10C3F">
        <w:rPr>
          <w:rFonts w:ascii="Segoe UI" w:hAnsi="Segoe UI" w:cs="Segoe UI"/>
          <w:color w:val="000000"/>
        </w:rPr>
        <w:t>”</w:t>
      </w:r>
      <w:r w:rsidRPr="00E10C3F">
        <w:rPr>
          <w:rFonts w:ascii="Segoe UI" w:hAnsi="Segoe UI" w:cs="Segoe UI"/>
          <w:color w:val="000000"/>
        </w:rPr>
        <w:t>，需根据</w:t>
      </w:r>
      <w:r w:rsidRPr="00E10C3F">
        <w:rPr>
          <w:rFonts w:ascii="Segoe UI" w:hAnsi="Segoe UI" w:cs="Segoe UI"/>
          <w:color w:val="000000"/>
        </w:rPr>
        <w:t>VPC</w:t>
      </w:r>
      <w:r w:rsidRPr="00E10C3F">
        <w:rPr>
          <w:rFonts w:ascii="Segoe UI" w:hAnsi="Segoe UI" w:cs="Segoe UI"/>
          <w:color w:val="000000"/>
        </w:rPr>
        <w:t>的子网掩码和网关设置新的私网</w:t>
      </w:r>
      <w:r w:rsidRPr="00E10C3F">
        <w:rPr>
          <w:rFonts w:ascii="Segoe UI" w:hAnsi="Segoe UI" w:cs="Segoe UI"/>
          <w:color w:val="000000"/>
        </w:rPr>
        <w:t>IP</w:t>
      </w:r>
      <w:r w:rsidRPr="00E10C3F">
        <w:rPr>
          <w:rFonts w:ascii="Segoe UI" w:hAnsi="Segoe UI" w:cs="Segoe UI"/>
          <w:color w:val="000000"/>
        </w:rPr>
        <w:t>，确保与同一</w:t>
      </w:r>
      <w:r w:rsidRPr="00E10C3F">
        <w:rPr>
          <w:rFonts w:ascii="Segoe UI" w:hAnsi="Segoe UI" w:cs="Segoe UI"/>
          <w:color w:val="000000"/>
        </w:rPr>
        <w:t>VPC</w:t>
      </w:r>
      <w:r w:rsidRPr="00E10C3F">
        <w:rPr>
          <w:rFonts w:ascii="Segoe UI" w:hAnsi="Segoe UI" w:cs="Segoe UI"/>
          <w:color w:val="000000"/>
        </w:rPr>
        <w:t>内的其他资源网络互通。</w:t>
      </w:r>
    </w:p>
    <w:p w14:paraId="720F0F33" w14:textId="0F4517EE"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目标类型为云服务器实例：迁移过程中若已配置</w:t>
      </w:r>
      <w:r w:rsidRPr="00E10C3F">
        <w:rPr>
          <w:rFonts w:ascii="Segoe UI" w:hAnsi="Segoe UI" w:cs="Segoe UI"/>
          <w:color w:val="000000"/>
        </w:rPr>
        <w:t>“IPv4</w:t>
      </w:r>
      <w:r w:rsidRPr="00E10C3F">
        <w:rPr>
          <w:rFonts w:ascii="Segoe UI" w:hAnsi="Segoe UI" w:cs="Segoe UI"/>
          <w:color w:val="000000"/>
        </w:rPr>
        <w:t>私网地址保持不变</w:t>
      </w:r>
      <w:r w:rsidRPr="00E10C3F">
        <w:rPr>
          <w:rFonts w:ascii="Segoe UI" w:hAnsi="Segoe UI" w:cs="Segoe UI"/>
          <w:color w:val="000000"/>
        </w:rPr>
        <w:t>”</w:t>
      </w:r>
      <w:r w:rsidRPr="00E10C3F">
        <w:rPr>
          <w:rFonts w:ascii="Segoe UI" w:hAnsi="Segoe UI" w:cs="Segoe UI"/>
          <w:color w:val="000000"/>
        </w:rPr>
        <w:t>，实例创建后会自动采用源服务器的私网</w:t>
      </w:r>
      <w:r w:rsidRPr="00E10C3F">
        <w:rPr>
          <w:rFonts w:ascii="Segoe UI" w:hAnsi="Segoe UI" w:cs="Segoe UI"/>
          <w:color w:val="000000"/>
        </w:rPr>
        <w:t>IP</w:t>
      </w:r>
      <w:r w:rsidRPr="00E10C3F">
        <w:rPr>
          <w:rFonts w:ascii="Segoe UI" w:hAnsi="Segoe UI" w:cs="Segoe UI"/>
          <w:color w:val="000000"/>
        </w:rPr>
        <w:t>；若需修改，可在实例运行状态下通过以下步骤操作：登录华为云控制台，进入目标实例的</w:t>
      </w:r>
      <w:r w:rsidRPr="00E10C3F">
        <w:rPr>
          <w:rFonts w:ascii="Segoe UI" w:hAnsi="Segoe UI" w:cs="Segoe UI"/>
          <w:color w:val="000000"/>
        </w:rPr>
        <w:t>“</w:t>
      </w:r>
      <w:r w:rsidRPr="00E10C3F">
        <w:rPr>
          <w:rFonts w:ascii="Segoe UI" w:hAnsi="Segoe UI" w:cs="Segoe UI"/>
          <w:color w:val="000000"/>
        </w:rPr>
        <w:t>网络</w:t>
      </w:r>
      <w:r w:rsidRPr="00E10C3F">
        <w:rPr>
          <w:rFonts w:ascii="Segoe UI" w:hAnsi="Segoe UI" w:cs="Segoe UI"/>
          <w:color w:val="000000"/>
        </w:rPr>
        <w:t>”</w:t>
      </w:r>
      <w:r w:rsidRPr="00E10C3F">
        <w:rPr>
          <w:rFonts w:ascii="Segoe UI" w:hAnsi="Segoe UI" w:cs="Segoe UI"/>
          <w:color w:val="000000"/>
        </w:rPr>
        <w:t>标签页，点击</w:t>
      </w:r>
      <w:r w:rsidRPr="00E10C3F">
        <w:rPr>
          <w:rFonts w:ascii="Segoe UI" w:hAnsi="Segoe UI" w:cs="Segoe UI"/>
          <w:color w:val="000000"/>
        </w:rPr>
        <w:t>“</w:t>
      </w:r>
      <w:r w:rsidRPr="00E10C3F">
        <w:rPr>
          <w:rFonts w:ascii="Segoe UI" w:hAnsi="Segoe UI" w:cs="Segoe UI"/>
          <w:color w:val="000000"/>
        </w:rPr>
        <w:t>更改私网</w:t>
      </w:r>
      <w:r w:rsidRPr="00E10C3F">
        <w:rPr>
          <w:rFonts w:ascii="Segoe UI" w:hAnsi="Segoe UI" w:cs="Segoe UI"/>
          <w:color w:val="000000"/>
        </w:rPr>
        <w:t>IP”</w:t>
      </w:r>
      <w:r w:rsidRPr="00E10C3F">
        <w:rPr>
          <w:rFonts w:ascii="Segoe UI" w:hAnsi="Segoe UI" w:cs="Segoe UI"/>
          <w:color w:val="000000"/>
        </w:rPr>
        <w:t>按钮，在弹出窗口中选择新的私网</w:t>
      </w:r>
      <w:r w:rsidRPr="00E10C3F">
        <w:rPr>
          <w:rFonts w:ascii="Segoe UI" w:hAnsi="Segoe UI" w:cs="Segoe UI"/>
          <w:color w:val="000000"/>
        </w:rPr>
        <w:t>IP</w:t>
      </w:r>
      <w:r w:rsidRPr="00E10C3F">
        <w:rPr>
          <w:rFonts w:ascii="Segoe UI" w:hAnsi="Segoe UI" w:cs="Segoe UI"/>
          <w:color w:val="000000"/>
        </w:rPr>
        <w:t>（需在</w:t>
      </w:r>
      <w:r w:rsidRPr="00E10C3F">
        <w:rPr>
          <w:rFonts w:ascii="Segoe UI" w:hAnsi="Segoe UI" w:cs="Segoe UI"/>
          <w:color w:val="000000"/>
        </w:rPr>
        <w:t>VPC</w:t>
      </w:r>
      <w:r w:rsidRPr="00E10C3F">
        <w:rPr>
          <w:rFonts w:ascii="Segoe UI" w:hAnsi="Segoe UI" w:cs="Segoe UI"/>
          <w:color w:val="000000"/>
        </w:rPr>
        <w:t>网段内），确认修改后，系统会重启实例使</w:t>
      </w:r>
      <w:r w:rsidRPr="00E10C3F">
        <w:rPr>
          <w:rFonts w:ascii="Segoe UI" w:hAnsi="Segoe UI" w:cs="Segoe UI"/>
          <w:color w:val="000000"/>
        </w:rPr>
        <w:t>IP</w:t>
      </w:r>
      <w:r w:rsidRPr="00E10C3F">
        <w:rPr>
          <w:rFonts w:ascii="Segoe UI" w:hAnsi="Segoe UI" w:cs="Segoe UI"/>
          <w:color w:val="000000"/>
        </w:rPr>
        <w:t>生效，重启前需确保业务已暂停或做好容灾准备。</w:t>
      </w:r>
    </w:p>
    <w:p w14:paraId="46C71063" w14:textId="5A612134"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无论哪种目标类型，修改私网</w:t>
      </w:r>
      <w:r w:rsidRPr="00E10C3F">
        <w:rPr>
          <w:rFonts w:ascii="Segoe UI" w:hAnsi="Segoe UI" w:cs="Segoe UI"/>
          <w:color w:val="000000"/>
        </w:rPr>
        <w:t>IP</w:t>
      </w:r>
      <w:r w:rsidRPr="00E10C3F">
        <w:rPr>
          <w:rFonts w:ascii="Segoe UI" w:hAnsi="Segoe UI" w:cs="Segoe UI"/>
          <w:color w:val="000000"/>
        </w:rPr>
        <w:t>后均需在</w:t>
      </w:r>
      <w:r w:rsidRPr="00E10C3F">
        <w:rPr>
          <w:rFonts w:ascii="Segoe UI" w:hAnsi="Segoe UI" w:cs="Segoe UI"/>
          <w:color w:val="000000"/>
        </w:rPr>
        <w:t>RedHat</w:t>
      </w:r>
      <w:r w:rsidRPr="00E10C3F">
        <w:rPr>
          <w:rFonts w:ascii="Segoe UI" w:hAnsi="Segoe UI" w:cs="Segoe UI"/>
          <w:color w:val="000000"/>
        </w:rPr>
        <w:t>系统内验证网络配置：通过</w:t>
      </w:r>
      <w:proofErr w:type="spellStart"/>
      <w:r w:rsidRPr="00E10C3F">
        <w:rPr>
          <w:rFonts w:ascii="Segoe UI" w:hAnsi="Segoe UI" w:cs="Segoe UI"/>
          <w:color w:val="000000"/>
        </w:rPr>
        <w:t>ifconfig</w:t>
      </w:r>
      <w:proofErr w:type="spellEnd"/>
      <w:r w:rsidRPr="00E10C3F">
        <w:rPr>
          <w:rFonts w:ascii="Segoe UI" w:hAnsi="Segoe UI" w:cs="Segoe UI"/>
          <w:color w:val="000000"/>
        </w:rPr>
        <w:t>或</w:t>
      </w:r>
      <w:proofErr w:type="spellStart"/>
      <w:r w:rsidRPr="00E10C3F">
        <w:rPr>
          <w:rFonts w:ascii="Segoe UI" w:hAnsi="Segoe UI" w:cs="Segoe UI"/>
          <w:color w:val="000000"/>
        </w:rPr>
        <w:t>ipaddr</w:t>
      </w:r>
      <w:proofErr w:type="spellEnd"/>
      <w:r w:rsidRPr="00E10C3F">
        <w:rPr>
          <w:rFonts w:ascii="Segoe UI" w:hAnsi="Segoe UI" w:cs="Segoe UI"/>
          <w:color w:val="000000"/>
        </w:rPr>
        <w:t>命令查看</w:t>
      </w:r>
      <w:r w:rsidRPr="00E10C3F">
        <w:rPr>
          <w:rFonts w:ascii="Segoe UI" w:hAnsi="Segoe UI" w:cs="Segoe UI"/>
          <w:color w:val="000000"/>
        </w:rPr>
        <w:t>IP</w:t>
      </w:r>
      <w:r w:rsidRPr="00E10C3F">
        <w:rPr>
          <w:rFonts w:ascii="Segoe UI" w:hAnsi="Segoe UI" w:cs="Segoe UI"/>
          <w:color w:val="000000"/>
        </w:rPr>
        <w:t>地址、子网掩码、默认网关是否正确，通过</w:t>
      </w:r>
      <w:r w:rsidRPr="00E10C3F">
        <w:rPr>
          <w:rFonts w:ascii="Segoe UI" w:hAnsi="Segoe UI" w:cs="Segoe UI"/>
          <w:color w:val="000000"/>
        </w:rPr>
        <w:t>ping</w:t>
      </w:r>
      <w:r w:rsidRPr="00E10C3F">
        <w:rPr>
          <w:rFonts w:ascii="Segoe UI" w:hAnsi="Segoe UI" w:cs="Segoe UI"/>
          <w:color w:val="000000"/>
        </w:rPr>
        <w:t>命令测试与同一</w:t>
      </w:r>
      <w:r w:rsidRPr="00E10C3F">
        <w:rPr>
          <w:rFonts w:ascii="Segoe UI" w:hAnsi="Segoe UI" w:cs="Segoe UI"/>
          <w:color w:val="000000"/>
        </w:rPr>
        <w:t>VPC</w:t>
      </w:r>
      <w:r w:rsidRPr="00E10C3F">
        <w:rPr>
          <w:rFonts w:ascii="Segoe UI" w:hAnsi="Segoe UI" w:cs="Segoe UI"/>
          <w:color w:val="000000"/>
        </w:rPr>
        <w:t>内其他资源的连通性，确保业务系统的内网通信正常。</w:t>
      </w:r>
    </w:p>
    <w:p w14:paraId="5DCC7F5A" w14:textId="1AC3AD76" w:rsidR="00E10C3F" w:rsidRPr="00E10C3F" w:rsidRDefault="00E10C3F" w:rsidP="00E10C3F">
      <w:pPr>
        <w:pStyle w:val="7"/>
        <w:rPr>
          <w:rFonts w:hint="eastAsia"/>
        </w:rPr>
      </w:pPr>
      <w:r w:rsidRPr="00E10C3F">
        <w:t>综合验证与优化</w:t>
      </w:r>
    </w:p>
    <w:p w14:paraId="093E944A" w14:textId="4BB77F15"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完成上述操作后，需进行至少</w:t>
      </w:r>
      <w:r w:rsidRPr="00E10C3F">
        <w:rPr>
          <w:rFonts w:ascii="Segoe UI" w:hAnsi="Segoe UI" w:cs="Segoe UI"/>
          <w:color w:val="000000"/>
        </w:rPr>
        <w:t>24</w:t>
      </w:r>
      <w:r w:rsidRPr="00E10C3F">
        <w:rPr>
          <w:rFonts w:ascii="Segoe UI" w:hAnsi="Segoe UI" w:cs="Segoe UI"/>
          <w:color w:val="000000"/>
        </w:rPr>
        <w:t>小时的业务稳定性观察，记录以下指标：</w:t>
      </w:r>
    </w:p>
    <w:p w14:paraId="40CB8046" w14:textId="057CD7DC" w:rsidR="00E10C3F" w:rsidRPr="00E10C3F" w:rsidRDefault="00E10C3F">
      <w:pPr>
        <w:pStyle w:val="a3"/>
        <w:numPr>
          <w:ilvl w:val="0"/>
          <w:numId w:val="8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系统资源利用率：通过</w:t>
      </w:r>
      <w:r w:rsidRPr="00E10C3F">
        <w:rPr>
          <w:rFonts w:ascii="Segoe UI" w:hAnsi="Segoe UI" w:cs="Segoe UI"/>
          <w:color w:val="000000"/>
        </w:rPr>
        <w:t>top</w:t>
      </w:r>
      <w:r w:rsidRPr="00E10C3F">
        <w:rPr>
          <w:rFonts w:ascii="Segoe UI" w:hAnsi="Segoe UI" w:cs="Segoe UI"/>
          <w:color w:val="000000"/>
        </w:rPr>
        <w:t>或</w:t>
      </w:r>
      <w:proofErr w:type="spellStart"/>
      <w:r w:rsidRPr="00E10C3F">
        <w:rPr>
          <w:rFonts w:ascii="Segoe UI" w:hAnsi="Segoe UI" w:cs="Segoe UI"/>
          <w:color w:val="000000"/>
        </w:rPr>
        <w:t>htop</w:t>
      </w:r>
      <w:proofErr w:type="spellEnd"/>
      <w:r w:rsidRPr="00E10C3F">
        <w:rPr>
          <w:rFonts w:ascii="Segoe UI" w:hAnsi="Segoe UI" w:cs="Segoe UI"/>
          <w:color w:val="000000"/>
        </w:rPr>
        <w:t>命令监控</w:t>
      </w:r>
      <w:r w:rsidRPr="00E10C3F">
        <w:rPr>
          <w:rFonts w:ascii="Segoe UI" w:hAnsi="Segoe UI" w:cs="Segoe UI"/>
          <w:color w:val="000000"/>
        </w:rPr>
        <w:t>CPU</w:t>
      </w:r>
      <w:r w:rsidRPr="00E10C3F">
        <w:rPr>
          <w:rFonts w:ascii="Segoe UI" w:hAnsi="Segoe UI" w:cs="Segoe UI"/>
          <w:color w:val="000000"/>
        </w:rPr>
        <w:t>、内存、磁盘</w:t>
      </w:r>
      <w:r w:rsidRPr="00E10C3F">
        <w:rPr>
          <w:rFonts w:ascii="Segoe UI" w:hAnsi="Segoe UI" w:cs="Segoe UI"/>
          <w:color w:val="000000"/>
        </w:rPr>
        <w:t>IO</w:t>
      </w:r>
      <w:r w:rsidRPr="00E10C3F">
        <w:rPr>
          <w:rFonts w:ascii="Segoe UI" w:hAnsi="Segoe UI" w:cs="Segoe UI"/>
          <w:color w:val="000000"/>
        </w:rPr>
        <w:t>的使用率，确保在业务高峰期资源占用不超过</w:t>
      </w:r>
      <w:r w:rsidRPr="00E10C3F">
        <w:rPr>
          <w:rFonts w:ascii="Segoe UI" w:hAnsi="Segoe UI" w:cs="Segoe UI"/>
          <w:color w:val="000000"/>
        </w:rPr>
        <w:t>70%-80%</w:t>
      </w:r>
      <w:r w:rsidRPr="00E10C3F">
        <w:rPr>
          <w:rFonts w:ascii="Segoe UI" w:hAnsi="Segoe UI" w:cs="Segoe UI"/>
          <w:color w:val="000000"/>
        </w:rPr>
        <w:t>，避免因资源不足导致性能瓶颈。</w:t>
      </w:r>
    </w:p>
    <w:p w14:paraId="5A04C968" w14:textId="227C43C2" w:rsidR="00E10C3F" w:rsidRPr="00E10C3F" w:rsidRDefault="00E10C3F">
      <w:pPr>
        <w:pStyle w:val="a3"/>
        <w:numPr>
          <w:ilvl w:val="0"/>
          <w:numId w:val="8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业务交易成功率：统计核心业务的交易次数与失败率，如电商平台的订单处理成功</w:t>
      </w:r>
      <w:r w:rsidRPr="00E10C3F">
        <w:rPr>
          <w:rFonts w:ascii="Segoe UI" w:hAnsi="Segoe UI" w:cs="Segoe UI" w:hint="eastAsia"/>
          <w:color w:val="000000"/>
        </w:rPr>
        <w:lastRenderedPageBreak/>
        <w:t>率应保持在</w:t>
      </w:r>
      <w:r w:rsidRPr="00E10C3F">
        <w:rPr>
          <w:rFonts w:ascii="Segoe UI" w:hAnsi="Segoe UI" w:cs="Segoe UI"/>
          <w:color w:val="000000"/>
        </w:rPr>
        <w:t>99.9%</w:t>
      </w:r>
      <w:r w:rsidRPr="00E10C3F">
        <w:rPr>
          <w:rFonts w:ascii="Segoe UI" w:hAnsi="Segoe UI" w:cs="Segoe UI"/>
          <w:color w:val="000000"/>
        </w:rPr>
        <w:t>以上。</w:t>
      </w:r>
    </w:p>
    <w:p w14:paraId="04AF7BAB" w14:textId="602A83DB" w:rsidR="00E10C3F" w:rsidRPr="00E10C3F" w:rsidRDefault="00E10C3F">
      <w:pPr>
        <w:pStyle w:val="a3"/>
        <w:numPr>
          <w:ilvl w:val="0"/>
          <w:numId w:val="8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网络延迟：使用</w:t>
      </w:r>
      <w:r w:rsidRPr="00E10C3F">
        <w:rPr>
          <w:rFonts w:ascii="Segoe UI" w:hAnsi="Segoe UI" w:cs="Segoe UI"/>
          <w:color w:val="000000"/>
        </w:rPr>
        <w:t>ping</w:t>
      </w:r>
      <w:r w:rsidRPr="00E10C3F">
        <w:rPr>
          <w:rFonts w:ascii="Segoe UI" w:hAnsi="Segoe UI" w:cs="Segoe UI"/>
          <w:color w:val="000000"/>
        </w:rPr>
        <w:t>和</w:t>
      </w:r>
      <w:proofErr w:type="spellStart"/>
      <w:r w:rsidRPr="00E10C3F">
        <w:rPr>
          <w:rFonts w:ascii="Segoe UI" w:hAnsi="Segoe UI" w:cs="Segoe UI"/>
          <w:color w:val="000000"/>
        </w:rPr>
        <w:t>tracepath</w:t>
      </w:r>
      <w:proofErr w:type="spellEnd"/>
      <w:r w:rsidRPr="00E10C3F">
        <w:rPr>
          <w:rFonts w:ascii="Segoe UI" w:hAnsi="Segoe UI" w:cs="Segoe UI"/>
          <w:color w:val="000000"/>
        </w:rPr>
        <w:t>命令测试内外网延迟，公网访问延迟应控制在</w:t>
      </w:r>
      <w:r w:rsidRPr="00E10C3F">
        <w:rPr>
          <w:rFonts w:ascii="Segoe UI" w:hAnsi="Segoe UI" w:cs="Segoe UI"/>
          <w:color w:val="000000"/>
        </w:rPr>
        <w:t>50ms</w:t>
      </w:r>
      <w:r w:rsidRPr="00E10C3F">
        <w:rPr>
          <w:rFonts w:ascii="Segoe UI" w:hAnsi="Segoe UI" w:cs="Segoe UI"/>
          <w:color w:val="000000"/>
        </w:rPr>
        <w:t>以内，内网延迟控制在</w:t>
      </w:r>
      <w:r w:rsidRPr="00E10C3F">
        <w:rPr>
          <w:rFonts w:ascii="Segoe UI" w:hAnsi="Segoe UI" w:cs="Segoe UI"/>
          <w:color w:val="000000"/>
        </w:rPr>
        <w:t>10ms</w:t>
      </w:r>
      <w:r w:rsidRPr="00E10C3F">
        <w:rPr>
          <w:rFonts w:ascii="Segoe UI" w:hAnsi="Segoe UI" w:cs="Segoe UI"/>
          <w:color w:val="000000"/>
        </w:rPr>
        <w:t>以内。</w:t>
      </w:r>
    </w:p>
    <w:p w14:paraId="1BC96ACD" w14:textId="66746EF6" w:rsidR="00007C57"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若发现异常（如数据库连接超时、网站加载缓慢），可参考华为云监控服务（</w:t>
      </w:r>
      <w:r w:rsidRPr="00E10C3F">
        <w:rPr>
          <w:rFonts w:ascii="Segoe UI" w:hAnsi="Segoe UI" w:cs="Segoe UI"/>
          <w:color w:val="000000"/>
        </w:rPr>
        <w:t>CES</w:t>
      </w:r>
      <w:r w:rsidRPr="00E10C3F">
        <w:rPr>
          <w:rFonts w:ascii="Segoe UI" w:hAnsi="Segoe UI" w:cs="Segoe UI"/>
          <w:color w:val="000000"/>
        </w:rPr>
        <w:t>）的告警信息，排查网络配置、安全组规则或应用日志，及时调整配置直至业务运行稳定。通过完整的业务验证与配置调整，确保</w:t>
      </w:r>
      <w:r w:rsidRPr="00E10C3F">
        <w:rPr>
          <w:rFonts w:ascii="Segoe UI" w:hAnsi="Segoe UI" w:cs="Segoe UI"/>
          <w:color w:val="000000"/>
        </w:rPr>
        <w:t>RedHat</w:t>
      </w:r>
      <w:r w:rsidRPr="00E10C3F">
        <w:rPr>
          <w:rFonts w:ascii="Segoe UI" w:hAnsi="Segoe UI" w:cs="Segoe UI"/>
          <w:color w:val="000000"/>
        </w:rPr>
        <w:t>云主机在华为云环境中实现平滑过渡，满足企业业务连续性与性能需求。</w:t>
      </w:r>
    </w:p>
    <w:p w14:paraId="74595FB5" w14:textId="6F4AB722" w:rsidR="00007C57" w:rsidRDefault="00007C57" w:rsidP="00007C57">
      <w:pPr>
        <w:pStyle w:val="4"/>
        <w:rPr>
          <w:rFonts w:hint="eastAsia"/>
        </w:rPr>
      </w:pPr>
      <w:r>
        <w:rPr>
          <w:rFonts w:hint="eastAsia"/>
        </w:rPr>
        <w:t>云主机迁移方案</w:t>
      </w:r>
      <w:r w:rsidRPr="003A16E8">
        <w:t>（操作系统：</w:t>
      </w:r>
      <w:proofErr w:type="spellStart"/>
      <w:r w:rsidRPr="003A16E8">
        <w:t>AWSlinux</w:t>
      </w:r>
      <w:proofErr w:type="spellEnd"/>
      <w:r w:rsidRPr="003A16E8">
        <w:t>可迁移至其他公有云平台Linux系统）</w:t>
      </w:r>
    </w:p>
    <w:p w14:paraId="24AC44DC" w14:textId="77777777" w:rsidR="00114B06" w:rsidRPr="00007C57" w:rsidRDefault="00114B06" w:rsidP="00114B06">
      <w:pPr>
        <w:pStyle w:val="5"/>
        <w:rPr>
          <w:rFonts w:hint="eastAsia"/>
        </w:rPr>
      </w:pPr>
      <w:r w:rsidRPr="00007C57">
        <w:t>迁移准备工作</w:t>
      </w:r>
    </w:p>
    <w:p w14:paraId="7FDA7007" w14:textId="77777777" w:rsidR="00114B06" w:rsidRDefault="00114B06" w:rsidP="00114B06">
      <w:pPr>
        <w:pStyle w:val="6"/>
        <w:rPr>
          <w:rFonts w:hint="eastAsia"/>
        </w:rPr>
      </w:pPr>
      <w:r w:rsidRPr="00007C57">
        <w:t>数据备份</w:t>
      </w:r>
    </w:p>
    <w:p w14:paraId="7E7801B1" w14:textId="395835B8" w:rsidR="00A84882" w:rsidRDefault="00A84882" w:rsidP="00A84882">
      <w:pPr>
        <w:ind w:firstLine="420"/>
        <w:rPr>
          <w:rFonts w:hint="eastAsia"/>
        </w:rPr>
      </w:pPr>
      <w:r>
        <w:rPr>
          <w:rFonts w:hint="eastAsia"/>
        </w:rPr>
        <w:t>为确保</w:t>
      </w:r>
      <w:proofErr w:type="spellStart"/>
      <w:r>
        <w:t>AWSLinux</w:t>
      </w:r>
      <w:proofErr w:type="spellEnd"/>
      <w:r>
        <w:t>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5CE5D378" w14:textId="3CA1F5CE" w:rsidR="00A84882" w:rsidRDefault="00A84882" w:rsidP="00A84882">
      <w:pPr>
        <w:ind w:firstLine="420"/>
        <w:rPr>
          <w:rFonts w:hint="eastAsia"/>
        </w:rPr>
      </w:pPr>
      <w:r>
        <w:rPr>
          <w:rFonts w:hint="eastAsia"/>
        </w:rPr>
        <w:t>首先，针对系统盘，建议采用镜像备份方式，通过</w:t>
      </w:r>
      <w:r>
        <w:t>Linux系统内置的备份工具或第三方备份软件（如</w:t>
      </w:r>
      <w:proofErr w:type="spellStart"/>
      <w:r>
        <w:t>Clonezilla</w:t>
      </w:r>
      <w:proofErr w:type="spellEnd"/>
      <w:r>
        <w:t>、</w:t>
      </w:r>
      <w:proofErr w:type="spellStart"/>
      <w:r>
        <w:t>Bacula</w:t>
      </w:r>
      <w:proofErr w:type="spellEnd"/>
      <w:r>
        <w:t>等）创建完整的系统镜像，镜像需包含操作系统内核、驱动程序、已安装补丁及系统配置，确保迁移后可通过镜像快速恢复系统环境。对于数据盘，需根据数据类型制定差异化备份策略：若为数据库数据（如MySQL数据库），应利用数据库自带的备份功能（如</w:t>
      </w:r>
      <w:proofErr w:type="spellStart"/>
      <w:r>
        <w:t>mysqldump</w:t>
      </w:r>
      <w:proofErr w:type="spellEnd"/>
      <w:r>
        <w:t>）执行全量备份与增量备份，确保数据一致性；若为文件数据（如业务文档、日志文件），可通过tar压缩或</w:t>
      </w:r>
      <w:proofErr w:type="spellStart"/>
      <w:r>
        <w:t>rsync</w:t>
      </w:r>
      <w:proofErr w:type="spellEnd"/>
      <w:r>
        <w:t>同步方</w:t>
      </w:r>
      <w:r>
        <w:rPr>
          <w:rFonts w:hint="eastAsia"/>
        </w:rPr>
        <w:t>式存储至专用备份存储设备，或利用华为云提供的对象存储服务（如</w:t>
      </w:r>
      <w:r>
        <w:t>OBS）进行异地存储，避免与镜像、快照或实例存储在同一位置，降低因存储介质故障导致的备份失效风险。</w:t>
      </w:r>
    </w:p>
    <w:p w14:paraId="77EE7948" w14:textId="77777777" w:rsidR="00A84882" w:rsidRDefault="00A84882" w:rsidP="00A84882">
      <w:pPr>
        <w:ind w:firstLine="420"/>
        <w:rPr>
          <w:rFonts w:hint="eastAsia"/>
        </w:rPr>
      </w:pPr>
      <w:r>
        <w:rPr>
          <w:rFonts w:hint="eastAsia"/>
        </w:rPr>
        <w:t>其次，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同时，备份存储位置需独立于迁移源端与目标端的云主机实例，例如将备份数据存储至华为云的专属备份存储池、本地物理存储设备或其他第三方存储介质，避免因云主机迁移过程中的配置变更、网络异常或实例故障导致备份数据不可用。</w:t>
      </w:r>
    </w:p>
    <w:p w14:paraId="7A08C103" w14:textId="12AFC56E" w:rsidR="00114B06" w:rsidRPr="00A84882" w:rsidRDefault="00A84882" w:rsidP="00A84882">
      <w:pPr>
        <w:ind w:firstLine="420"/>
        <w:rPr>
          <w:rFonts w:hint="eastAsia"/>
        </w:rPr>
      </w:pPr>
      <w:r>
        <w:rPr>
          <w:rFonts w:hint="eastAsia"/>
        </w:rPr>
        <w:t>此外，对于关键业务系统，建议在迁移前执行增量备份，确保迁移窗口期内的数据变化被实时捕获。例如，若迁移操作安排在夜间进行，可在当天业务结束后执行一次全量备份，随后每小时执行一次增量备份，增量备份数据需及时传输至独立存储设备，最大限度减少数据丢失风险。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3CE195B0" w14:textId="75150F48" w:rsidR="00114B06" w:rsidRDefault="00114B06" w:rsidP="00114B06">
      <w:pPr>
        <w:pStyle w:val="6"/>
        <w:rPr>
          <w:rFonts w:hint="eastAsia"/>
        </w:rPr>
      </w:pPr>
      <w:r w:rsidRPr="00007C57">
        <w:lastRenderedPageBreak/>
        <w:t>目标实例资源</w:t>
      </w:r>
      <w:r w:rsidR="006C6F6D" w:rsidRPr="006C6F6D">
        <w:t>招标文件要求</w:t>
      </w:r>
    </w:p>
    <w:p w14:paraId="32E9C8DA" w14:textId="26005C9E" w:rsidR="00A84882" w:rsidRDefault="00A84882" w:rsidP="00A84882">
      <w:pPr>
        <w:ind w:firstLine="420"/>
        <w:rPr>
          <w:rFonts w:hint="eastAsia"/>
        </w:rPr>
      </w:pPr>
      <w:r>
        <w:rPr>
          <w:rFonts w:hint="eastAsia"/>
        </w:rPr>
        <w:t>在迁移准备工作中，目标实例的资源配置需满足数据盘与磁盘容量的特定</w:t>
      </w:r>
      <w:r w:rsidR="006C6F6D" w:rsidRPr="006C6F6D">
        <w:rPr>
          <w:rFonts w:hint="eastAsia"/>
          <w:b/>
        </w:rPr>
        <w:t>招标文件要求</w:t>
      </w:r>
      <w:r>
        <w:rPr>
          <w:rFonts w:hint="eastAsia"/>
        </w:rPr>
        <w:t>，以确保迁移过程的顺利进行及迁移后系统的正常运行。</w:t>
      </w:r>
    </w:p>
    <w:p w14:paraId="4DCB2730" w14:textId="6BE21BDE" w:rsidR="00A84882" w:rsidRDefault="00A84882" w:rsidP="00A84882">
      <w:pPr>
        <w:ind w:firstLine="420"/>
        <w:rPr>
          <w:rFonts w:hint="eastAsia"/>
        </w:rPr>
      </w:pPr>
      <w:r>
        <w:rPr>
          <w:rFonts w:hint="eastAsia"/>
        </w:rPr>
        <w:t>对于数据盘</w:t>
      </w:r>
      <w:r w:rsidR="006C6F6D" w:rsidRPr="006C6F6D">
        <w:rPr>
          <w:rFonts w:hint="eastAsia"/>
          <w:b/>
        </w:rPr>
        <w:t>招标文件要求</w:t>
      </w:r>
      <w:r>
        <w:rPr>
          <w:rFonts w:hint="eastAsia"/>
        </w:rPr>
        <w:t>，目标实例所挂载的数据盘数量必须大于或等于迁移源的数据盘数量。这是因为迁移过程中需要将源端的数据盘数据完整迁移至目标端，若目标实例的数据盘数量不足，将导致部分数据盘无法挂载，进而造成数据丢失或迁移失败。若目标实例当前挂载的数据盘数量不满足</w:t>
      </w:r>
      <w:r w:rsidR="006C6F6D" w:rsidRPr="006C6F6D">
        <w:rPr>
          <w:rFonts w:hint="eastAsia"/>
          <w:b/>
        </w:rPr>
        <w:t>招标文件要求</w:t>
      </w:r>
      <w:r>
        <w:rPr>
          <w:rFonts w:hint="eastAsia"/>
        </w:rPr>
        <w:t>，需通过挂载更多数据盘来解决。具体的挂载数据盘操作可参考华为云官方文档中关于</w:t>
      </w:r>
      <w:r>
        <w:t>“云服务器挂载数据盘”的指导流程，确保操作的规范性和可操作性。</w:t>
      </w:r>
    </w:p>
    <w:p w14:paraId="58FECA09" w14:textId="1DB044CB" w:rsidR="00A84882" w:rsidRPr="00A84882" w:rsidRDefault="00A84882" w:rsidP="00A84882">
      <w:pPr>
        <w:ind w:firstLine="420"/>
        <w:rPr>
          <w:rFonts w:hint="eastAsia"/>
        </w:rPr>
      </w:pPr>
      <w:r>
        <w:rPr>
          <w:rFonts w:hint="eastAsia"/>
        </w:rPr>
        <w:t>磁盘容量</w:t>
      </w:r>
      <w:r w:rsidR="006C6F6D" w:rsidRPr="006C6F6D">
        <w:rPr>
          <w:rFonts w:hint="eastAsia"/>
          <w:b/>
        </w:rPr>
        <w:t>招标文件要求</w:t>
      </w:r>
      <w:r>
        <w:rPr>
          <w:rFonts w:hint="eastAsia"/>
        </w:rPr>
        <w:t>方面，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6C6F6D" w:rsidRPr="006C6F6D">
        <w:rPr>
          <w:rFonts w:hint="eastAsia"/>
          <w:b/>
        </w:rPr>
        <w:t>招标文件要求</w:t>
      </w:r>
      <w:r>
        <w:rPr>
          <w:rFonts w:hint="eastAsia"/>
        </w:rPr>
        <w:t>时，需对云盘进行扩容操作。扩容操作可参考华为云官方提供的</w:t>
      </w:r>
      <w:r>
        <w:t>“云硬盘扩容”指南，针对不同类型的云硬盘提供了详细的扩容步骤，同时还说明了扩容前后的注意事项，确保扩容过程中数据的安全性和系统的稳定性。通过严格遵循这些操作</w:t>
      </w:r>
      <w:r>
        <w:rPr>
          <w:rFonts w:hint="eastAsia"/>
        </w:rPr>
        <w:t>参考途径，可有效保障目标实例的资源配置满足迁移</w:t>
      </w:r>
      <w:r w:rsidR="006C6F6D" w:rsidRPr="006C6F6D">
        <w:rPr>
          <w:rFonts w:hint="eastAsia"/>
          <w:b/>
        </w:rPr>
        <w:t>招标文件要求</w:t>
      </w:r>
      <w:r>
        <w:rPr>
          <w:rFonts w:hint="eastAsia"/>
        </w:rPr>
        <w:t>，为云主机的顺利迁移奠定基础。</w:t>
      </w:r>
    </w:p>
    <w:p w14:paraId="353855AF" w14:textId="77777777" w:rsidR="00114B06" w:rsidRPr="00C6550E" w:rsidRDefault="00114B06" w:rsidP="00114B06">
      <w:pPr>
        <w:pStyle w:val="5"/>
        <w:rPr>
          <w:rFonts w:hint="eastAsia"/>
        </w:rPr>
      </w:pPr>
      <w:r w:rsidRPr="00C6550E">
        <w:t>迁移操作流程</w:t>
      </w:r>
    </w:p>
    <w:p w14:paraId="4D3BDEC2" w14:textId="4199A897" w:rsidR="00114B06" w:rsidRDefault="00114B06" w:rsidP="00114B06">
      <w:pPr>
        <w:pStyle w:val="6"/>
        <w:rPr>
          <w:rFonts w:hint="eastAsia"/>
        </w:rPr>
      </w:pPr>
      <w:r w:rsidRPr="00C6550E">
        <w:t>导入迁移源</w:t>
      </w:r>
    </w:p>
    <w:p w14:paraId="334F6F46" w14:textId="2BAF1BD1" w:rsidR="00A84882" w:rsidRDefault="00A84882" w:rsidP="00A84882">
      <w:pPr>
        <w:pStyle w:val="7"/>
        <w:rPr>
          <w:rFonts w:hint="eastAsia"/>
        </w:rPr>
      </w:pPr>
      <w:r>
        <w:t>迁移源定义</w:t>
      </w:r>
    </w:p>
    <w:p w14:paraId="096C91C5" w14:textId="377D41FA" w:rsidR="00A84882" w:rsidRDefault="00A84882" w:rsidP="00A84882">
      <w:pPr>
        <w:ind w:firstLine="420"/>
        <w:rPr>
          <w:rFonts w:hint="eastAsia"/>
        </w:rPr>
      </w:pPr>
      <w:r>
        <w:rPr>
          <w:rFonts w:hint="eastAsia"/>
        </w:rPr>
        <w:t>迁移源是指企业准备迁移至华为云的各类计算资源，包括运行</w:t>
      </w:r>
      <w:proofErr w:type="spellStart"/>
      <w:r>
        <w:t>AWSLinux</w:t>
      </w:r>
      <w:proofErr w:type="spellEnd"/>
      <w:r>
        <w:t>操作系统的其他云平台云主机等。这些迁移源中通常部署了</w:t>
      </w:r>
      <w:proofErr w:type="spellStart"/>
      <w:r>
        <w:t>AWSLinux</w:t>
      </w:r>
      <w:proofErr w:type="spellEnd"/>
      <w:r>
        <w:t>操作系统及企业核心业务应用，需要通过华为云迁移方案将其完整迁移至华为云环境，以实现资源弹性扩展与运维效率提升。</w:t>
      </w:r>
    </w:p>
    <w:p w14:paraId="2520F508" w14:textId="57A39CB1" w:rsidR="00A84882" w:rsidRDefault="00A84882" w:rsidP="00A84882">
      <w:pPr>
        <w:pStyle w:val="7"/>
        <w:rPr>
          <w:rFonts w:hint="eastAsia"/>
        </w:rPr>
      </w:pPr>
      <w:r>
        <w:t>华为云支持的导入迁移源方式及控制台操作步骤</w:t>
      </w:r>
    </w:p>
    <w:p w14:paraId="7C64EBCD" w14:textId="77777777" w:rsidR="00A84882" w:rsidRDefault="00A84882" w:rsidP="00A84882">
      <w:pPr>
        <w:ind w:firstLine="420"/>
        <w:rPr>
          <w:rFonts w:hint="eastAsia"/>
        </w:rPr>
      </w:pPr>
      <w:r>
        <w:rPr>
          <w:rFonts w:hint="eastAsia"/>
        </w:rPr>
        <w:t>华为云支持通过控制台图形化界面导入迁移源，具体步骤如下：</w:t>
      </w:r>
    </w:p>
    <w:p w14:paraId="46B704A5" w14:textId="3D3C11D0" w:rsidR="00A84882" w:rsidRDefault="00A84882" w:rsidP="00A84882">
      <w:pPr>
        <w:ind w:firstLine="420"/>
        <w:rPr>
          <w:rFonts w:hint="eastAsia"/>
        </w:rPr>
      </w:pPr>
      <w:r>
        <w:rPr>
          <w:rFonts w:hint="eastAsia"/>
        </w:rPr>
        <w:t>首先，登录华为云管理控制台，在搜索栏输入</w:t>
      </w:r>
      <w:r>
        <w:t>“迁移”并进入“应用迁移服务”页面。在迁移源管理模块中，点击“导入迁移源”按钮，进入导入配置界面。此时需逐项配置参数：选择合适的工作组（若无可新建），根据迁移源实际类型选择“迁移源类型”，导入方式默认选择“命令行导入”，根据企业迁移需求设置激活数额度（即允许同时导入的迁移源数量），以及有效期（通常建议设置为30天，确保迁移操作有充足时间窗口）。配置完成后，点击“生成激活码”按钮，系统将自动生成包含激活码的命令行语句，点击“复制命令”按钮保存</w:t>
      </w:r>
      <w:r>
        <w:rPr>
          <w:rFonts w:hint="eastAsia"/>
        </w:rPr>
        <w:t>该命令，用于后续在源服务器执行导入操作。</w:t>
      </w:r>
    </w:p>
    <w:p w14:paraId="7639FA71" w14:textId="77777777" w:rsidR="00A84882" w:rsidRDefault="00A84882">
      <w:pPr>
        <w:pStyle w:val="a3"/>
        <w:numPr>
          <w:ilvl w:val="0"/>
          <w:numId w:val="83"/>
        </w:numPr>
        <w:ind w:firstLineChars="0"/>
        <w:rPr>
          <w:rFonts w:hint="eastAsia"/>
        </w:rPr>
      </w:pPr>
      <w:r>
        <w:rPr>
          <w:rFonts w:hint="eastAsia"/>
        </w:rPr>
        <w:t>在源服务器执行导入操作</w:t>
      </w:r>
    </w:p>
    <w:p w14:paraId="2949AC5A" w14:textId="66432171" w:rsidR="00A84882" w:rsidRDefault="00A84882" w:rsidP="00A84882">
      <w:pPr>
        <w:ind w:firstLine="420"/>
        <w:rPr>
          <w:rFonts w:hint="eastAsia"/>
        </w:rPr>
      </w:pPr>
      <w:r>
        <w:rPr>
          <w:rFonts w:hint="eastAsia"/>
        </w:rPr>
        <w:t>通过</w:t>
      </w:r>
      <w:r>
        <w:t>SSH方式登录</w:t>
      </w:r>
      <w:proofErr w:type="spellStart"/>
      <w:r>
        <w:t>AWSLinux</w:t>
      </w:r>
      <w:proofErr w:type="spellEnd"/>
      <w:r>
        <w:t>源服务器，确保以root账号登录系统。打开终端窗口，将从控制台复制的激活码命令粘贴至终端中，按回车键执行。导入过程中系统会自动安装华</w:t>
      </w:r>
      <w:r>
        <w:lastRenderedPageBreak/>
        <w:t>为云迁移代理并完成注册。成功导入后，终端将显示“Successfullyregisteredmigrationsource,agentstatus:online,sourceID:[具体ID]”的提示信息，表明</w:t>
      </w:r>
      <w:proofErr w:type="spellStart"/>
      <w:r>
        <w:t>AWSLinux</w:t>
      </w:r>
      <w:proofErr w:type="spellEnd"/>
      <w:r>
        <w:t>源服务器已成功接入华为云迁移平台。</w:t>
      </w:r>
    </w:p>
    <w:p w14:paraId="0A65B05F" w14:textId="77777777" w:rsidR="00A84882" w:rsidRDefault="00A84882">
      <w:pPr>
        <w:pStyle w:val="a3"/>
        <w:numPr>
          <w:ilvl w:val="0"/>
          <w:numId w:val="83"/>
        </w:numPr>
        <w:ind w:firstLineChars="0"/>
        <w:rPr>
          <w:rFonts w:hint="eastAsia"/>
        </w:rPr>
      </w:pPr>
      <w:r>
        <w:rPr>
          <w:rFonts w:hint="eastAsia"/>
        </w:rPr>
        <w:t>查看迁移源状态</w:t>
      </w:r>
    </w:p>
    <w:p w14:paraId="3EE58338" w14:textId="0DDDB77E" w:rsidR="00A84882" w:rsidRPr="00A84882" w:rsidRDefault="00A84882" w:rsidP="00A84882">
      <w:pPr>
        <w:ind w:firstLine="420"/>
        <w:rPr>
          <w:rFonts w:hint="eastAsia"/>
        </w:rPr>
      </w:pPr>
      <w:r>
        <w:rPr>
          <w:rFonts w:hint="eastAsia"/>
        </w:rPr>
        <w:t>完成源服务器导入操作后，返回华为云管理控制台的迁移源管理页面，刷新页面即可查看迁移源状态。若迁移源状态显示为</w:t>
      </w:r>
      <w:r>
        <w:t>“在线”，且代理状态为“运行中”，则表示导入成功，可继续进行后续的迁移任务；若状态显示为“离线”“注册失败”或“代理异常”，则需参考控制台提示的错误代码，检查源服务器的网络连通性、防火墙设置、管理员权限是否正常，或重新生成激活码后再次执行导入操作，直至迁移源状态显示为正常在线。</w:t>
      </w:r>
    </w:p>
    <w:p w14:paraId="0CDD9D8F" w14:textId="05E7D76F" w:rsidR="00114B06" w:rsidRDefault="00114B06" w:rsidP="00114B06">
      <w:pPr>
        <w:pStyle w:val="6"/>
        <w:rPr>
          <w:rFonts w:hint="eastAsia"/>
        </w:rPr>
      </w:pPr>
      <w:r w:rsidRPr="00007C57">
        <w:t>迁移配置</w:t>
      </w:r>
    </w:p>
    <w:p w14:paraId="649221D4" w14:textId="64923B50" w:rsidR="00A84882" w:rsidRDefault="00A84882" w:rsidP="00A84882">
      <w:pPr>
        <w:ind w:firstLine="420"/>
        <w:rPr>
          <w:rFonts w:hint="eastAsia"/>
        </w:rPr>
      </w:pPr>
      <w:r>
        <w:rPr>
          <w:rFonts w:hint="eastAsia"/>
        </w:rPr>
        <w:t>在完成迁移源导入后，需在华为云控制台进行详细的迁移配置，以确保</w:t>
      </w:r>
      <w:proofErr w:type="spellStart"/>
      <w:r>
        <w:t>AWSLinux</w:t>
      </w:r>
      <w:proofErr w:type="spellEnd"/>
      <w:r>
        <w:t>云主机能够安全、高效地迁移至华为云。迁移配置涵盖基本参数、磁盘分区、高级参数等多层级设置，需按标准化流程逐项完成。</w:t>
      </w:r>
    </w:p>
    <w:p w14:paraId="5528B3AE" w14:textId="1D11E2A1" w:rsidR="00A84882" w:rsidRDefault="00A84882" w:rsidP="00A84882">
      <w:pPr>
        <w:pStyle w:val="7"/>
        <w:rPr>
          <w:rFonts w:hint="eastAsia"/>
        </w:rPr>
      </w:pPr>
      <w:r>
        <w:rPr>
          <w:rFonts w:hint="eastAsia"/>
        </w:rPr>
        <w:t>开始迁移与基本参数配置</w:t>
      </w:r>
    </w:p>
    <w:p w14:paraId="1582091C" w14:textId="470B366D" w:rsidR="00A84882" w:rsidRDefault="00A84882" w:rsidP="00A84882">
      <w:pPr>
        <w:ind w:firstLine="420"/>
        <w:rPr>
          <w:rFonts w:hint="eastAsia"/>
        </w:rPr>
      </w:pPr>
      <w:r>
        <w:rPr>
          <w:rFonts w:hint="eastAsia"/>
        </w:rPr>
        <w:t>在华为云控制台的迁移源列表中，找到目标</w:t>
      </w:r>
      <w:proofErr w:type="spellStart"/>
      <w:r>
        <w:t>AWSLinux</w:t>
      </w:r>
      <w:proofErr w:type="spellEnd"/>
      <w:r>
        <w:t>迁移源，点击操作列的“开始迁移”按钮，进入迁移配置页面。首先需配置基本参数：</w:t>
      </w:r>
    </w:p>
    <w:p w14:paraId="38A4240E" w14:textId="1433CEB7" w:rsidR="00A84882" w:rsidRDefault="00A84882">
      <w:pPr>
        <w:pStyle w:val="a3"/>
        <w:numPr>
          <w:ilvl w:val="0"/>
          <w:numId w:val="84"/>
        </w:numPr>
        <w:ind w:firstLineChars="0"/>
        <w:rPr>
          <w:rFonts w:hint="eastAsia"/>
        </w:rPr>
      </w:pPr>
      <w:r>
        <w:rPr>
          <w:rFonts w:hint="eastAsia"/>
        </w:rPr>
        <w:t>任务名称：可自定义设置迁移任务的名称，建议包含源服务器</w:t>
      </w:r>
      <w:r>
        <w:t>IP、业务系统名称等信息，以便于后续管理和识别。</w:t>
      </w:r>
    </w:p>
    <w:p w14:paraId="0C07FF5C" w14:textId="77777777" w:rsidR="00A84882" w:rsidRDefault="00A84882">
      <w:pPr>
        <w:pStyle w:val="a3"/>
        <w:numPr>
          <w:ilvl w:val="0"/>
          <w:numId w:val="84"/>
        </w:numPr>
        <w:ind w:firstLineChars="0"/>
        <w:rPr>
          <w:rFonts w:hint="eastAsia"/>
        </w:rPr>
      </w:pPr>
      <w:r>
        <w:rPr>
          <w:rFonts w:hint="eastAsia"/>
        </w:rPr>
        <w:t>任务描述：输入迁移任务的详细说明，明确迁移目的和范围。</w:t>
      </w:r>
    </w:p>
    <w:p w14:paraId="29DC30D5" w14:textId="77777777" w:rsidR="00A84882" w:rsidRDefault="00A84882">
      <w:pPr>
        <w:pStyle w:val="a3"/>
        <w:numPr>
          <w:ilvl w:val="0"/>
          <w:numId w:val="84"/>
        </w:numPr>
        <w:ind w:firstLineChars="0"/>
        <w:rPr>
          <w:rFonts w:hint="eastAsia"/>
        </w:rPr>
      </w:pPr>
      <w:r>
        <w:rPr>
          <w:rFonts w:hint="eastAsia"/>
        </w:rPr>
        <w:t>目标类型（必填）：可选择将源服务器转换成华为云自定义镜像、云服务器实例等，需指定目标地域，并设置镜像名称，地域选择需考虑业务访问延迟和容灾需求。</w:t>
      </w:r>
    </w:p>
    <w:p w14:paraId="7F4A2EFF" w14:textId="77777777" w:rsidR="00A84882" w:rsidRDefault="00A84882">
      <w:pPr>
        <w:pStyle w:val="a3"/>
        <w:numPr>
          <w:ilvl w:val="0"/>
          <w:numId w:val="84"/>
        </w:numPr>
        <w:ind w:firstLineChars="0"/>
        <w:rPr>
          <w:rFonts w:hint="eastAsia"/>
        </w:rPr>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w:t>
      </w:r>
    </w:p>
    <w:p w14:paraId="5BF9E1C0" w14:textId="3C215E2B" w:rsidR="00A84882" w:rsidRDefault="00A84882">
      <w:pPr>
        <w:pStyle w:val="a3"/>
        <w:numPr>
          <w:ilvl w:val="0"/>
          <w:numId w:val="84"/>
        </w:numPr>
        <w:ind w:firstLineChars="0"/>
        <w:rPr>
          <w:rFonts w:hint="eastAsia"/>
        </w:rPr>
      </w:pPr>
      <w:r>
        <w:rPr>
          <w:rFonts w:hint="eastAsia"/>
        </w:rPr>
        <w:t>执行方式：若开启迁移演练，执行方式默认选择</w:t>
      </w:r>
      <w:r>
        <w:t>“先演练后迁移”；若已完成演练或无需演练，可选择“直接迁移”，需确保源服务器状态稳定。</w:t>
      </w:r>
    </w:p>
    <w:p w14:paraId="1C5658FF" w14:textId="77777777" w:rsidR="00A84882" w:rsidRDefault="00A84882">
      <w:pPr>
        <w:pStyle w:val="a3"/>
        <w:numPr>
          <w:ilvl w:val="0"/>
          <w:numId w:val="84"/>
        </w:numPr>
        <w:ind w:firstLineChars="0"/>
        <w:rPr>
          <w:rFonts w:hint="eastAsia"/>
        </w:rPr>
      </w:pPr>
      <w:r>
        <w:rPr>
          <w:rFonts w:hint="eastAsia"/>
        </w:rPr>
        <w:t>自动增量同步：默认开启，可配置同步重复频率和最大镜像保留数，确保迁移窗口期内的增量数据被持续同步，减少最终迁移的停机时间。若关闭该功能，系统将在首次同步后仅执行一次性迁移，适用于数据变化极小的场景。</w:t>
      </w:r>
    </w:p>
    <w:p w14:paraId="37A0E4BC" w14:textId="77777777" w:rsidR="00A84882" w:rsidRDefault="00A84882">
      <w:pPr>
        <w:pStyle w:val="a3"/>
        <w:numPr>
          <w:ilvl w:val="0"/>
          <w:numId w:val="84"/>
        </w:numPr>
        <w:ind w:firstLineChars="0"/>
        <w:rPr>
          <w:rFonts w:hint="eastAsia"/>
        </w:rPr>
      </w:pPr>
      <w:r>
        <w:rPr>
          <w:rFonts w:hint="eastAsia"/>
        </w:rPr>
        <w:t>启用迁移模板：当存在重复迁移需求时，可启用已保存的迁移模板，模板中预设了磁盘配置、网络参数等，可直接复用以提升配置效率。</w:t>
      </w:r>
    </w:p>
    <w:p w14:paraId="3273DFAF" w14:textId="13C97507" w:rsidR="00A84882" w:rsidRDefault="00A84882" w:rsidP="00A84882">
      <w:pPr>
        <w:pStyle w:val="7"/>
        <w:rPr>
          <w:rFonts w:hint="eastAsia"/>
        </w:rPr>
      </w:pPr>
      <w:r>
        <w:rPr>
          <w:rFonts w:hint="eastAsia"/>
        </w:rPr>
        <w:t>磁盘分区结构调整</w:t>
      </w:r>
    </w:p>
    <w:p w14:paraId="2258F8D2" w14:textId="4591536E" w:rsidR="00A84882" w:rsidRDefault="00A84882" w:rsidP="00A84882">
      <w:pPr>
        <w:ind w:firstLine="420"/>
        <w:rPr>
          <w:rFonts w:hint="eastAsia"/>
        </w:rPr>
      </w:pPr>
      <w:r>
        <w:rPr>
          <w:rFonts w:hint="eastAsia"/>
        </w:rPr>
        <w:t>根据源服务器的磁盘使用情况，选择是否开启</w:t>
      </w:r>
      <w:r>
        <w:t>“调整磁盘分区结构”功能：若源服务器的磁盘分区需适配华为云的存储架构，可开启该功能并自定义配置分区大小、位置顺序等，以优化存储利用率。该功能默认关闭，建议在迁移前通过磁盘工具对源服务器进行分区规划。</w:t>
      </w:r>
    </w:p>
    <w:p w14:paraId="4A4E4543" w14:textId="64A7E236" w:rsidR="00A84882" w:rsidRDefault="00A84882" w:rsidP="00A84882">
      <w:pPr>
        <w:pStyle w:val="7"/>
        <w:rPr>
          <w:rFonts w:hint="eastAsia"/>
        </w:rPr>
      </w:pPr>
      <w:r>
        <w:rPr>
          <w:rFonts w:hint="eastAsia"/>
        </w:rPr>
        <w:lastRenderedPageBreak/>
        <w:t>高级参数配置（条件必选）</w:t>
      </w:r>
    </w:p>
    <w:p w14:paraId="37C4054A" w14:textId="77777777" w:rsidR="00A84882" w:rsidRDefault="00A84882">
      <w:pPr>
        <w:pStyle w:val="a3"/>
        <w:numPr>
          <w:ilvl w:val="0"/>
          <w:numId w:val="85"/>
        </w:numPr>
        <w:ind w:firstLineChars="0"/>
        <w:rPr>
          <w:rFonts w:hint="eastAsia"/>
        </w:rPr>
      </w:pPr>
      <w:r>
        <w:rPr>
          <w:rFonts w:hint="eastAsia"/>
        </w:rPr>
        <w:t>网络与传输配置</w:t>
      </w:r>
    </w:p>
    <w:p w14:paraId="760BBB93" w14:textId="68764BD1" w:rsidR="00A84882" w:rsidRDefault="00A84882">
      <w:pPr>
        <w:pStyle w:val="a3"/>
        <w:numPr>
          <w:ilvl w:val="1"/>
          <w:numId w:val="85"/>
        </w:numPr>
        <w:ind w:firstLineChars="0"/>
        <w:rPr>
          <w:rFonts w:hint="eastAsia"/>
        </w:rPr>
      </w:pPr>
      <w:r>
        <w:rPr>
          <w:rFonts w:hint="eastAsia"/>
        </w:rPr>
        <w:t>网络模式：默认采用</w:t>
      </w:r>
      <w:r>
        <w:t>“公网传输”模式，若源服务器与华为云之间存在专线或VPN连接，可选择“私网传输”以提升传输稳定性。系统会自动创建中转实例用于数据中转，也可手动指定专有网络（VPC）和交换机（</w:t>
      </w:r>
      <w:proofErr w:type="spellStart"/>
      <w:r>
        <w:t>vSwitch</w:t>
      </w:r>
      <w:proofErr w:type="spellEnd"/>
      <w:r>
        <w:t>），确保网络连通性。</w:t>
      </w:r>
    </w:p>
    <w:p w14:paraId="3B27F27C" w14:textId="33352CDF" w:rsidR="00A84882" w:rsidRDefault="00A84882">
      <w:pPr>
        <w:pStyle w:val="a3"/>
        <w:numPr>
          <w:ilvl w:val="1"/>
          <w:numId w:val="85"/>
        </w:numPr>
        <w:ind w:firstLineChars="0"/>
        <w:rPr>
          <w:rFonts w:hint="eastAsia"/>
        </w:rPr>
      </w:pPr>
      <w:r>
        <w:t>IPv4私网地址：当目标类型为云服务器实例时，需配置IPv4私网地址，可选择“保持不变”（需确保华为云VPC内无IP冲突）或“手动指定”，手动指定时需符合VPC的IP地址段规划。</w:t>
      </w:r>
    </w:p>
    <w:p w14:paraId="068E5119" w14:textId="1A0727E7" w:rsidR="00A84882" w:rsidRDefault="00A84882">
      <w:pPr>
        <w:pStyle w:val="a3"/>
        <w:numPr>
          <w:ilvl w:val="1"/>
          <w:numId w:val="85"/>
        </w:numPr>
        <w:ind w:firstLineChars="0"/>
        <w:rPr>
          <w:rFonts w:hint="eastAsia"/>
        </w:rPr>
      </w:pPr>
      <w:r>
        <w:rPr>
          <w:rFonts w:hint="eastAsia"/>
        </w:rPr>
        <w:t>传输限速：单位为</w:t>
      </w:r>
      <w:r>
        <w:t>Mbps，默认不限制传输速度，若源服务器所在网络带宽有限，可设置限速，避免迁移过程中占用过多带宽影响其他业务。</w:t>
      </w:r>
    </w:p>
    <w:p w14:paraId="1CC9DB97" w14:textId="6A7D8A19" w:rsidR="00A84882" w:rsidRDefault="00A84882">
      <w:pPr>
        <w:pStyle w:val="a3"/>
        <w:numPr>
          <w:ilvl w:val="1"/>
          <w:numId w:val="85"/>
        </w:numPr>
        <w:ind w:firstLineChars="0"/>
        <w:rPr>
          <w:rFonts w:hint="eastAsia"/>
        </w:rPr>
      </w:pPr>
      <w:r>
        <w:rPr>
          <w:rFonts w:hint="eastAsia"/>
        </w:rPr>
        <w:t>压缩率：迁移数据压缩级别可选</w:t>
      </w:r>
      <w:r>
        <w:t>1-9（1为低压缩高速度，9为高压缩低速度），默认值为5。在带宽充足的环境下建议保持默认，若带宽受限可提高压缩率以减少数据传输量，但会增加CPU开销。</w:t>
      </w:r>
    </w:p>
    <w:p w14:paraId="06F9E97B" w14:textId="77777777" w:rsidR="00A84882" w:rsidRDefault="00A84882">
      <w:pPr>
        <w:pStyle w:val="a3"/>
        <w:numPr>
          <w:ilvl w:val="0"/>
          <w:numId w:val="85"/>
        </w:numPr>
        <w:ind w:firstLineChars="0"/>
        <w:rPr>
          <w:rFonts w:hint="eastAsia"/>
        </w:rPr>
      </w:pPr>
      <w:r>
        <w:rPr>
          <w:rFonts w:hint="eastAsia"/>
        </w:rPr>
        <w:t>安全性与合规性配置</w:t>
      </w:r>
    </w:p>
    <w:p w14:paraId="3C7EBAF2" w14:textId="6D27D5E5" w:rsidR="00A84882" w:rsidRDefault="00A84882">
      <w:pPr>
        <w:pStyle w:val="a3"/>
        <w:numPr>
          <w:ilvl w:val="1"/>
          <w:numId w:val="85"/>
        </w:numPr>
        <w:ind w:firstLineChars="0"/>
        <w:rPr>
          <w:rFonts w:hint="eastAsia"/>
        </w:rPr>
      </w:pPr>
      <w:r>
        <w:t>Checksum验证：默认开启，通过哈希算法验证传输数据的完整性，确保迁移过程中数据无损坏或丢失，开启后会增加少量传输耗时，但可显著提升数据可靠性。</w:t>
      </w:r>
    </w:p>
    <w:p w14:paraId="64D6B6A5" w14:textId="041F74F7" w:rsidR="00A84882" w:rsidRDefault="00A84882">
      <w:pPr>
        <w:pStyle w:val="a3"/>
        <w:numPr>
          <w:ilvl w:val="1"/>
          <w:numId w:val="85"/>
        </w:numPr>
        <w:ind w:firstLineChars="0"/>
        <w:rPr>
          <w:rFonts w:hint="eastAsia"/>
        </w:rPr>
      </w:pPr>
      <w:r>
        <w:rPr>
          <w:rFonts w:hint="eastAsia"/>
        </w:rPr>
        <w:t>开启</w:t>
      </w:r>
      <w:r>
        <w:t>SSL加密传输：默认开启，对迁移数据进行端到端加密，防止传输过程中数据被窃取或篡改，适用于包含敏感信息的迁移场景。</w:t>
      </w:r>
    </w:p>
    <w:p w14:paraId="1C29C4E4" w14:textId="62971A85" w:rsidR="00A84882" w:rsidRDefault="00A84882">
      <w:pPr>
        <w:pStyle w:val="a3"/>
        <w:numPr>
          <w:ilvl w:val="1"/>
          <w:numId w:val="85"/>
        </w:numPr>
        <w:ind w:firstLineChars="0"/>
        <w:rPr>
          <w:rFonts w:hint="eastAsia"/>
        </w:rPr>
      </w:pPr>
      <w:r>
        <w:rPr>
          <w:rFonts w:hint="eastAsia"/>
        </w:rPr>
        <w:t>许可证类型：可选择</w:t>
      </w:r>
      <w:r>
        <w:t>“华为云”或“自带许可”（BYOL），</w:t>
      </w:r>
      <w:proofErr w:type="spellStart"/>
      <w:r>
        <w:t>AWSLinux</w:t>
      </w:r>
      <w:proofErr w:type="spellEnd"/>
      <w:r>
        <w:t>迁移建议选择“自带许可”，需确保许可证合规且支持迁移至华为云，选择自带许可时需完成合规性验证。</w:t>
      </w:r>
    </w:p>
    <w:p w14:paraId="0973165B" w14:textId="77777777" w:rsidR="00A84882" w:rsidRDefault="00A84882">
      <w:pPr>
        <w:pStyle w:val="a3"/>
        <w:numPr>
          <w:ilvl w:val="0"/>
          <w:numId w:val="85"/>
        </w:numPr>
        <w:ind w:firstLineChars="0"/>
        <w:rPr>
          <w:rFonts w:hint="eastAsia"/>
        </w:rPr>
      </w:pPr>
      <w:r>
        <w:rPr>
          <w:rFonts w:hint="eastAsia"/>
        </w:rPr>
        <w:t>辅助功能配置</w:t>
      </w:r>
    </w:p>
    <w:p w14:paraId="1F2D4507" w14:textId="5AEAD56C" w:rsidR="00A84882" w:rsidRDefault="00A84882">
      <w:pPr>
        <w:pStyle w:val="a3"/>
        <w:numPr>
          <w:ilvl w:val="1"/>
          <w:numId w:val="85"/>
        </w:numPr>
        <w:ind w:firstLineChars="0"/>
        <w:rPr>
          <w:rFonts w:hint="eastAsia"/>
        </w:rPr>
      </w:pPr>
      <w:r>
        <w:rPr>
          <w:rFonts w:hint="eastAsia"/>
        </w:rPr>
        <w:t>镜像检测：启用后系统会在迁移完成后自动检测镜像的启动性和兼容性，生成检测报告，适用于对迁移质量</w:t>
      </w:r>
      <w:r w:rsidR="006C6F6D" w:rsidRPr="006C6F6D">
        <w:rPr>
          <w:rFonts w:hint="eastAsia"/>
          <w:b/>
        </w:rPr>
        <w:t>招标文件要求</w:t>
      </w:r>
      <w:r>
        <w:rPr>
          <w:rFonts w:hint="eastAsia"/>
        </w:rPr>
        <w:t>较高的核心业务系统，可参考报告进行后续优化。</w:t>
      </w:r>
    </w:p>
    <w:p w14:paraId="26BDD837" w14:textId="35FBA318" w:rsidR="00A84882" w:rsidRDefault="00A84882">
      <w:pPr>
        <w:pStyle w:val="a3"/>
        <w:numPr>
          <w:ilvl w:val="1"/>
          <w:numId w:val="85"/>
        </w:numPr>
        <w:ind w:firstLineChars="0"/>
        <w:rPr>
          <w:rFonts w:hint="eastAsia"/>
        </w:rPr>
      </w:pPr>
      <w:r>
        <w:rPr>
          <w:rFonts w:hint="eastAsia"/>
        </w:rPr>
        <w:t>标签：可为迁移任务绑定标签，最多绑定</w:t>
      </w:r>
      <w:r>
        <w:t>10个标签，便于按业务维度管理迁移任务和资源。</w:t>
      </w:r>
    </w:p>
    <w:p w14:paraId="5C1C7212" w14:textId="77777777" w:rsidR="00A84882" w:rsidRDefault="00A84882">
      <w:pPr>
        <w:pStyle w:val="a3"/>
        <w:numPr>
          <w:ilvl w:val="1"/>
          <w:numId w:val="85"/>
        </w:numPr>
        <w:ind w:firstLineChars="0"/>
        <w:rPr>
          <w:rFonts w:hint="eastAsia"/>
        </w:rPr>
      </w:pPr>
      <w:r>
        <w:rPr>
          <w:rFonts w:hint="eastAsia"/>
        </w:rPr>
        <w:t>中转实例规格：当选择私网传输模式时需配置中转实例规格，建议选择与源服务器配置相近的规格，确保中转效率，重要注意事项：中转实例需预留足够的存储容量以缓存迁移数据。</w:t>
      </w:r>
    </w:p>
    <w:p w14:paraId="4A51104E" w14:textId="2BB3B661" w:rsidR="00A84882" w:rsidRDefault="00A84882">
      <w:pPr>
        <w:pStyle w:val="a3"/>
        <w:numPr>
          <w:ilvl w:val="1"/>
          <w:numId w:val="85"/>
        </w:numPr>
        <w:ind w:firstLineChars="0"/>
        <w:rPr>
          <w:rFonts w:hint="eastAsia"/>
        </w:rPr>
      </w:pPr>
      <w:r>
        <w:rPr>
          <w:rFonts w:hint="eastAsia"/>
        </w:rPr>
        <w:t>上报诊断日志：默认开启，系统会将迁移过程中的诊断日志上报至华为云日志服务（</w:t>
      </w:r>
      <w:r>
        <w:t>LTS），日志保存7天，便于在迁移失败时定位问题，可在LTS控制台查询具体日志内容。</w:t>
      </w:r>
    </w:p>
    <w:p w14:paraId="22EB4C2A" w14:textId="25C9DE57" w:rsidR="00A84882" w:rsidRDefault="00A84882" w:rsidP="00EE6B2A">
      <w:pPr>
        <w:pStyle w:val="7"/>
        <w:rPr>
          <w:rFonts w:hint="eastAsia"/>
        </w:rPr>
      </w:pPr>
      <w:r>
        <w:rPr>
          <w:rFonts w:hint="eastAsia"/>
        </w:rPr>
        <w:t>确认迁移与状态查看</w:t>
      </w:r>
    </w:p>
    <w:p w14:paraId="2A4079DE" w14:textId="4C3DED29" w:rsidR="00A84882" w:rsidRPr="00A84882" w:rsidRDefault="00A84882" w:rsidP="00A84882">
      <w:pPr>
        <w:ind w:firstLine="420"/>
        <w:rPr>
          <w:rFonts w:hint="eastAsia"/>
        </w:rPr>
      </w:pPr>
      <w:r>
        <w:rPr>
          <w:rFonts w:hint="eastAsia"/>
        </w:rPr>
        <w:t>完成所有参数配置后，仔细阅读迁移提示，点击</w:t>
      </w:r>
      <w:r>
        <w:t>“确认迁移”按钮启动迁移任务。在服务器迁移页面可查看实时迁移状态，包括数据传输进度、剩余时间、已同步数据量等。迁移耗时受数据量大小、网络带宽、压缩率等因素影响。</w:t>
      </w:r>
    </w:p>
    <w:p w14:paraId="2CF22BB3" w14:textId="77777777" w:rsidR="00114B06" w:rsidRPr="00007C57" w:rsidRDefault="00114B06" w:rsidP="00114B06">
      <w:pPr>
        <w:pStyle w:val="5"/>
        <w:rPr>
          <w:rFonts w:hint="eastAsia"/>
        </w:rPr>
      </w:pPr>
      <w:r w:rsidRPr="00007C57">
        <w:lastRenderedPageBreak/>
        <w:t>迁移结果验证</w:t>
      </w:r>
    </w:p>
    <w:p w14:paraId="61834712" w14:textId="0F73DC6C" w:rsidR="00114B06" w:rsidRDefault="00114B06" w:rsidP="00114B06">
      <w:pPr>
        <w:pStyle w:val="6"/>
        <w:rPr>
          <w:rFonts w:hint="eastAsia"/>
        </w:rPr>
      </w:pPr>
      <w:r w:rsidRPr="00007C57">
        <w:t>迁移成功判断</w:t>
      </w:r>
    </w:p>
    <w:p w14:paraId="6CFD8884" w14:textId="455537E8" w:rsidR="00EE6B2A" w:rsidRDefault="00EE6B2A" w:rsidP="00EE6B2A">
      <w:pPr>
        <w:ind w:firstLine="420"/>
        <w:rPr>
          <w:rFonts w:hint="eastAsia"/>
        </w:rPr>
      </w:pPr>
      <w:r>
        <w:rPr>
          <w:rFonts w:hint="eastAsia"/>
        </w:rPr>
        <w:t>在华为云迁移方案中，迁移成功的判断需结合迁移任务的实时状态、目标资源的可用性及业务功能的完整性，形成多层级的验证体系。当迁移实时状态显示为</w:t>
      </w:r>
      <w:r>
        <w:t>“已完成”时，仅作为迁移成功的初步判断依据，还需进一步从以下维度完成全面验证，确保</w:t>
      </w:r>
      <w:proofErr w:type="spellStart"/>
      <w:r>
        <w:t>AWSLinux</w:t>
      </w:r>
      <w:proofErr w:type="spellEnd"/>
      <w:r>
        <w:t>云主机在华为云环境中正常运行。</w:t>
      </w:r>
    </w:p>
    <w:p w14:paraId="556B1794" w14:textId="7346AE54" w:rsidR="00EE6B2A" w:rsidRDefault="00EE6B2A" w:rsidP="00EE6B2A">
      <w:pPr>
        <w:ind w:firstLine="420"/>
        <w:rPr>
          <w:rFonts w:hint="eastAsia"/>
        </w:rPr>
      </w:pPr>
      <w:r>
        <w:rPr>
          <w:rFonts w:hint="eastAsia"/>
        </w:rPr>
        <w:t>首先，以华为云控制台的迁移任务状态为基础判断标准。在服务器迁移页面，若迁移任务的实时状态栏明确显示</w:t>
      </w:r>
      <w:r>
        <w:t>“已完成”，且进度条显示100%，同时无任何错误提示，则表明迁移任务已按流程执行完毕。此时需同步查看“迁移详情”中的关键指标：数据传输总耗时应与预估时间基本吻合，增量同步次数需符合预设频率，且最终同步的增量数据量应与源端变更量一致，避免因增量同步失败导致的数据丢失。</w:t>
      </w:r>
    </w:p>
    <w:p w14:paraId="08746AB3" w14:textId="2C3AAD05" w:rsidR="00EE6B2A" w:rsidRDefault="00EE6B2A" w:rsidP="00EE6B2A">
      <w:pPr>
        <w:ind w:firstLine="420"/>
        <w:rPr>
          <w:rFonts w:hint="eastAsia"/>
        </w:rPr>
      </w:pPr>
      <w:r>
        <w:rPr>
          <w:rFonts w:hint="eastAsia"/>
        </w:rPr>
        <w:t>其次，验证目标资源的创建与配置准确性。若迁移目标类型为自定义镜像，需在华为云</w:t>
      </w:r>
      <w:r>
        <w:t>“镜像服务”控制台查看镜像状态，确保镜像状态为“正常”，且镜像大小与源服务器磁盘实际使用容量一致。点击镜像详情，检查操作系统类型显示为“</w:t>
      </w:r>
      <w:proofErr w:type="spellStart"/>
      <w:r>
        <w:t>AWSLinux</w:t>
      </w:r>
      <w:proofErr w:type="spellEnd"/>
      <w:r>
        <w:t>”，镜像文件完整性校验值与源服务器备份镜像的校验值一致，确保镜像无损坏或篡改。若目标类型为云服务器实例，需在“云服务器”控制台确认实例状态为“运行中”，实例规格与迁移配置一致，数据盘挂载数量及容量满足迁移源</w:t>
      </w:r>
      <w:r w:rsidR="006C6F6D" w:rsidRPr="006C6F6D">
        <w:rPr>
          <w:b/>
        </w:rPr>
        <w:t>招标文件要求</w:t>
      </w:r>
      <w:r>
        <w:t>，且磁盘分区结构与迁移配置中的调整方案一致。</w:t>
      </w:r>
    </w:p>
    <w:p w14:paraId="752E1803" w14:textId="5FDD89D7" w:rsidR="00EE6B2A" w:rsidRDefault="00EE6B2A" w:rsidP="00EE6B2A">
      <w:pPr>
        <w:ind w:firstLine="420"/>
        <w:rPr>
          <w:rFonts w:hint="eastAsia"/>
        </w:rPr>
      </w:pPr>
      <w:r>
        <w:rPr>
          <w:rFonts w:hint="eastAsia"/>
        </w:rPr>
        <w:t>再者，进行操作系统与驱动的兼容性验证。通过</w:t>
      </w:r>
      <w:r>
        <w:t>SSH连接至迁移后的</w:t>
      </w:r>
      <w:proofErr w:type="spellStart"/>
      <w:r>
        <w:t>AWSLinux</w:t>
      </w:r>
      <w:proofErr w:type="spellEnd"/>
      <w:r>
        <w:t>云主机，确认操作系统启动正常，无异常报错。系统应显示正常的运行状态，若采用“自带许可”模式，需检查许可证有效性。同时，查看硬件驱动是否完整安装，特别是网卡、存储控制器等关键驱动需与华为云虚拟化环境兼容，必要时可从华为云官网下载最新的驱动包进行更新，确保硬件性能充分释放。</w:t>
      </w:r>
    </w:p>
    <w:p w14:paraId="045C13C5" w14:textId="7074145E" w:rsidR="00EE6B2A" w:rsidRDefault="00EE6B2A" w:rsidP="00EE6B2A">
      <w:pPr>
        <w:ind w:firstLine="420"/>
        <w:rPr>
          <w:rFonts w:hint="eastAsia"/>
        </w:rPr>
      </w:pPr>
      <w:r>
        <w:rPr>
          <w:rFonts w:hint="eastAsia"/>
        </w:rPr>
        <w:t>此外，需验证业务应用的功能完整性。对于部署在</w:t>
      </w:r>
      <w:proofErr w:type="spellStart"/>
      <w:r>
        <w:t>AWSLinux</w:t>
      </w:r>
      <w:proofErr w:type="spellEnd"/>
      <w:r>
        <w:t>上的核心业务应用，逐一启动应用服务并执行功能测试，确保应用在华为云环境中运行正常。对于有状态的应用，需检查迁移前后的状态一致性，避免因迁移导致业务中断或数据不一致。</w:t>
      </w:r>
    </w:p>
    <w:p w14:paraId="6ADBC917" w14:textId="5BEC99A2" w:rsidR="00A84882" w:rsidRPr="00EE6B2A" w:rsidRDefault="00EE6B2A" w:rsidP="00EE6B2A">
      <w:pPr>
        <w:ind w:firstLine="420"/>
        <w:rPr>
          <w:rFonts w:hint="eastAsia"/>
        </w:rPr>
      </w:pPr>
      <w:r>
        <w:rPr>
          <w:rFonts w:hint="eastAsia"/>
        </w:rPr>
        <w:t>最后，完成网络连通性与</w:t>
      </w:r>
      <w:r>
        <w:t>IP配置验证。确认迁移后的云主机可通过华为云内网（VPC）与其他资源正常通信，若配置了公网IP，需测试公网访问能力。对于迁移过程中选择“保持IPv4私网地址不变”的场景，需验证云主机的内网IP与源服务器一致且无冲突；若手动指定IP，需确认IP地址在VPC网段内且已正确配置路由表。同时，检查防火墙规则是否已按业务需求配置，避免因防火墙设置导致的网络访问异常。</w:t>
      </w:r>
    </w:p>
    <w:p w14:paraId="044A5D9A" w14:textId="0CBE577E" w:rsidR="00114B06" w:rsidRDefault="00114B06" w:rsidP="00114B06">
      <w:pPr>
        <w:pStyle w:val="6"/>
        <w:rPr>
          <w:rFonts w:hint="eastAsia"/>
        </w:rPr>
      </w:pPr>
      <w:r w:rsidRPr="00007C57">
        <w:t>查看迁移交付物</w:t>
      </w:r>
    </w:p>
    <w:p w14:paraId="268B9238" w14:textId="7DC93A31" w:rsidR="00EE6B2A" w:rsidRDefault="00EE6B2A" w:rsidP="00EE6B2A">
      <w:pPr>
        <w:ind w:firstLine="420"/>
        <w:rPr>
          <w:rFonts w:hint="eastAsia"/>
        </w:rPr>
      </w:pPr>
      <w:r>
        <w:rPr>
          <w:rFonts w:hint="eastAsia"/>
        </w:rPr>
        <w:t>当迁移目标类型选择为云主机镜像且迁移任务显示</w:t>
      </w:r>
      <w:r>
        <w:t>“已完成”后，需通过华为云控制台查看生成的自定义镜像及相关交付物，确保镜像质量与迁移结果符合预期。迁移交付物的验证涵盖镜像基本信息、检测报告、完整性校验等多个维度，具体操作与判断标准如下：</w:t>
      </w:r>
    </w:p>
    <w:p w14:paraId="53752F3B" w14:textId="675924AC" w:rsidR="00EE6B2A" w:rsidRDefault="00EE6B2A" w:rsidP="00EE6B2A">
      <w:pPr>
        <w:ind w:firstLine="420"/>
        <w:rPr>
          <w:rFonts w:hint="eastAsia"/>
        </w:rPr>
      </w:pPr>
      <w:r>
        <w:rPr>
          <w:rFonts w:hint="eastAsia"/>
        </w:rPr>
        <w:t>首先，在华为云管理控制台搜索并进入</w:t>
      </w:r>
      <w:r>
        <w:t>“镜像服务”页面，在自定义镜像列表中找到迁移生成的镜像。点击镜像名称进入详情页，查看镜像的基本信息：镜像状态需显示为“正常”；操作系统类型应正确显示为“</w:t>
      </w:r>
      <w:proofErr w:type="spellStart"/>
      <w:r>
        <w:t>AWSLinux</w:t>
      </w:r>
      <w:proofErr w:type="spellEnd"/>
      <w:r>
        <w:t>”，镜像格式为华为云支持的qcow2或raw；镜像大小需与源服务器的磁盘实际使用容量匹配，考虑到文件系统开销，允许存在5%-10%的误差。</w:t>
      </w:r>
    </w:p>
    <w:p w14:paraId="51A1CFD0" w14:textId="65B9B197" w:rsidR="00EE6B2A" w:rsidRDefault="00EE6B2A" w:rsidP="00EE6B2A">
      <w:pPr>
        <w:ind w:firstLine="420"/>
        <w:rPr>
          <w:rFonts w:hint="eastAsia"/>
        </w:rPr>
      </w:pPr>
      <w:r>
        <w:rPr>
          <w:rFonts w:hint="eastAsia"/>
        </w:rPr>
        <w:t>其次，查看镜像检测报告（若迁移配置中启用了</w:t>
      </w:r>
      <w:r>
        <w:t>“镜像检测”功能）。在镜像详情页的“检</w:t>
      </w:r>
      <w:r>
        <w:lastRenderedPageBreak/>
        <w:t>测信息”标签页中，系统会自动生成检测报告，内容包括：</w:t>
      </w:r>
    </w:p>
    <w:p w14:paraId="47AE2F2F" w14:textId="414C4194" w:rsidR="00EE6B2A" w:rsidRDefault="00EE6B2A">
      <w:pPr>
        <w:pStyle w:val="a3"/>
        <w:numPr>
          <w:ilvl w:val="0"/>
          <w:numId w:val="86"/>
        </w:numPr>
        <w:ind w:firstLineChars="0"/>
        <w:rPr>
          <w:rFonts w:hint="eastAsia"/>
        </w:rPr>
      </w:pPr>
      <w:r>
        <w:rPr>
          <w:rFonts w:hint="eastAsia"/>
        </w:rPr>
        <w:t>启动性检测：验证镜像能否在华为云虚拟化环境中正常启动，报告显示</w:t>
      </w:r>
      <w:r>
        <w:t>“启动成功”且无报错日志；</w:t>
      </w:r>
    </w:p>
    <w:p w14:paraId="00550900" w14:textId="77777777" w:rsidR="00EE6B2A" w:rsidRDefault="00EE6B2A">
      <w:pPr>
        <w:pStyle w:val="a3"/>
        <w:numPr>
          <w:ilvl w:val="0"/>
          <w:numId w:val="86"/>
        </w:numPr>
        <w:ind w:firstLineChars="0"/>
        <w:rPr>
          <w:rFonts w:hint="eastAsia"/>
        </w:rPr>
      </w:pPr>
      <w:r>
        <w:rPr>
          <w:rFonts w:hint="eastAsia"/>
        </w:rPr>
        <w:t>驱动兼容性：列出镜像中已安装的驱动程序，重点检查网卡、存储控制器等关键驱动是否为华为云推荐版本，若存在问题，需手动更新；</w:t>
      </w:r>
    </w:p>
    <w:p w14:paraId="59470031" w14:textId="29830465" w:rsidR="00EE6B2A" w:rsidRDefault="00EE6B2A">
      <w:pPr>
        <w:pStyle w:val="a3"/>
        <w:numPr>
          <w:ilvl w:val="0"/>
          <w:numId w:val="86"/>
        </w:numPr>
        <w:ind w:firstLineChars="0"/>
        <w:rPr>
          <w:rFonts w:hint="eastAsia"/>
        </w:rPr>
      </w:pPr>
      <w:r>
        <w:rPr>
          <w:rFonts w:hint="eastAsia"/>
        </w:rPr>
        <w:t>服务状态：检测</w:t>
      </w:r>
      <w:r>
        <w:t>Linux系统服务是否正常启动，无“禁用”或“启动失败”的服务；</w:t>
      </w:r>
    </w:p>
    <w:p w14:paraId="13DF44AD" w14:textId="77777777" w:rsidR="00EE6B2A" w:rsidRDefault="00EE6B2A">
      <w:pPr>
        <w:pStyle w:val="a3"/>
        <w:numPr>
          <w:ilvl w:val="0"/>
          <w:numId w:val="86"/>
        </w:numPr>
        <w:ind w:firstLineChars="0"/>
        <w:rPr>
          <w:rFonts w:hint="eastAsia"/>
        </w:rPr>
      </w:pPr>
      <w:r>
        <w:rPr>
          <w:rFonts w:hint="eastAsia"/>
        </w:rPr>
        <w:t>磁盘分区：确认镜像中的磁盘分区结构与迁移配置一致，分区格式正确且文件系统无错误。</w:t>
      </w:r>
    </w:p>
    <w:p w14:paraId="775A5FC9" w14:textId="77777777" w:rsidR="00EE6B2A" w:rsidRDefault="00EE6B2A" w:rsidP="00EE6B2A">
      <w:pPr>
        <w:ind w:firstLine="420"/>
        <w:rPr>
          <w:rFonts w:hint="eastAsia"/>
        </w:rPr>
      </w:pPr>
      <w:r>
        <w:rPr>
          <w:rFonts w:hint="eastAsia"/>
        </w:rPr>
        <w:t>若检测报告中存在警告，需根据提示进行修复；若出现错误，则需重新执行迁移任务并检查源服务器状态。</w:t>
      </w:r>
    </w:p>
    <w:p w14:paraId="61199209" w14:textId="40B6D51D" w:rsidR="00EE6B2A" w:rsidRDefault="00EE6B2A" w:rsidP="00EE6B2A">
      <w:pPr>
        <w:ind w:firstLine="420"/>
        <w:rPr>
          <w:rFonts w:hint="eastAsia"/>
        </w:rPr>
      </w:pPr>
      <w:r>
        <w:rPr>
          <w:rFonts w:hint="eastAsia"/>
        </w:rPr>
        <w:t>再者，验证镜像的完整性与一致性。在镜像详情页中，获取镜像的</w:t>
      </w:r>
      <w:r>
        <w:t>MD5或SHA256校验值，并与源服务器迁移前的备份镜像校验值对比，两者需完全一致，确保迁移过程中数据未被篡改或丢失。</w:t>
      </w:r>
    </w:p>
    <w:p w14:paraId="2D045264" w14:textId="33AB9A83" w:rsidR="00EE6B2A" w:rsidRDefault="00EE6B2A" w:rsidP="00EE6B2A">
      <w:pPr>
        <w:ind w:firstLine="420"/>
        <w:rPr>
          <w:rFonts w:hint="eastAsia"/>
        </w:rPr>
      </w:pPr>
      <w:r>
        <w:rPr>
          <w:rFonts w:hint="eastAsia"/>
        </w:rPr>
        <w:t>此外，对于启用了</w:t>
      </w:r>
      <w:r>
        <w:t>“自动增量同步”功能的迁移任务，需确认镜像是否包含最新的增量数据。在迁移任务详情中，查看最后一次增量同步的时间与源服务器的业务变更时间是否一致，避免因增量同步未完成导致镜像数据过时。</w:t>
      </w:r>
    </w:p>
    <w:p w14:paraId="7D2F320B" w14:textId="71579E18" w:rsidR="00A84882" w:rsidRPr="00EE6B2A" w:rsidRDefault="00EE6B2A" w:rsidP="00EE6B2A">
      <w:pPr>
        <w:ind w:firstLine="420"/>
        <w:rPr>
          <w:rFonts w:hint="eastAsia"/>
        </w:rPr>
      </w:pPr>
      <w:r>
        <w:rPr>
          <w:rFonts w:hint="eastAsia"/>
        </w:rPr>
        <w:t>最后，若迁移配置中选择了</w:t>
      </w:r>
      <w:r>
        <w:t>“生成报告”选项，可在迁移任务详情页下载完整的迁移交付报告。报告内容包括迁移概览、技术指标、验证结果、注意事项等。</w:t>
      </w:r>
    </w:p>
    <w:p w14:paraId="33F58B2D" w14:textId="169FD5D2" w:rsidR="00114B06" w:rsidRDefault="00114B06" w:rsidP="00114B06">
      <w:pPr>
        <w:pStyle w:val="6"/>
        <w:rPr>
          <w:rFonts w:hint="eastAsia"/>
        </w:rPr>
      </w:pPr>
      <w:r w:rsidRPr="00007C57">
        <w:t>业务验证与配置调整</w:t>
      </w:r>
    </w:p>
    <w:p w14:paraId="62627A9F" w14:textId="08B24DBB" w:rsidR="00EE6B2A" w:rsidRDefault="00EE6B2A" w:rsidP="00EE6B2A">
      <w:pPr>
        <w:ind w:firstLine="420"/>
        <w:rPr>
          <w:rFonts w:hint="eastAsia"/>
        </w:rPr>
      </w:pPr>
      <w:r>
        <w:rPr>
          <w:rFonts w:hint="eastAsia"/>
        </w:rPr>
        <w:t>在确认迁移生成的华为云自定义镜像或云主机实例状态正常后，需进一步对业务功能进行全面验证，并根据华为云环境特性调整相关配置，确保迁移后的</w:t>
      </w:r>
      <w:proofErr w:type="spellStart"/>
      <w:r>
        <w:t>AWSLinux</w:t>
      </w:r>
      <w:proofErr w:type="spellEnd"/>
      <w:r>
        <w:t>云主机能稳定承载业务运行。</w:t>
      </w:r>
    </w:p>
    <w:p w14:paraId="77071BFF" w14:textId="57C81511" w:rsidR="00EE6B2A" w:rsidRDefault="00EE6B2A" w:rsidP="00EE6B2A">
      <w:pPr>
        <w:pStyle w:val="7"/>
        <w:rPr>
          <w:rFonts w:hint="eastAsia"/>
        </w:rPr>
      </w:pPr>
      <w:r>
        <w:rPr>
          <w:rFonts w:hint="eastAsia"/>
        </w:rPr>
        <w:t>数据校验</w:t>
      </w:r>
    </w:p>
    <w:p w14:paraId="66C9F79A" w14:textId="77777777" w:rsidR="00EE6B2A" w:rsidRDefault="00EE6B2A" w:rsidP="00EE6B2A">
      <w:pPr>
        <w:ind w:firstLine="420"/>
        <w:rPr>
          <w:rFonts w:hint="eastAsia"/>
        </w:rPr>
      </w:pPr>
      <w:r>
        <w:rPr>
          <w:rFonts w:hint="eastAsia"/>
        </w:rPr>
        <w:t>通过多维度数据校验机制，验证迁移后的数据与源端的一致性。对于数据库数据，可通过以下方式验证：</w:t>
      </w:r>
    </w:p>
    <w:p w14:paraId="6D2CB36C" w14:textId="77777777" w:rsidR="00EE6B2A" w:rsidRDefault="00EE6B2A">
      <w:pPr>
        <w:pStyle w:val="a3"/>
        <w:numPr>
          <w:ilvl w:val="0"/>
          <w:numId w:val="87"/>
        </w:numPr>
        <w:ind w:firstLineChars="0"/>
        <w:rPr>
          <w:rFonts w:hint="eastAsia"/>
        </w:rPr>
      </w:pPr>
      <w:r>
        <w:rPr>
          <w:rFonts w:hint="eastAsia"/>
        </w:rPr>
        <w:t>连接迁移后的数据库实例，对比源端与目标端的数据库列表、表结构及数据量，执行查询语句验证关键表的数据行数是否一致；</w:t>
      </w:r>
    </w:p>
    <w:p w14:paraId="66EC2653" w14:textId="77777777" w:rsidR="00EE6B2A" w:rsidRDefault="00EE6B2A">
      <w:pPr>
        <w:pStyle w:val="a3"/>
        <w:numPr>
          <w:ilvl w:val="0"/>
          <w:numId w:val="87"/>
        </w:numPr>
        <w:ind w:firstLineChars="0"/>
        <w:rPr>
          <w:rFonts w:hint="eastAsia"/>
        </w:rPr>
      </w:pPr>
      <w:r>
        <w:rPr>
          <w:rFonts w:hint="eastAsia"/>
        </w:rPr>
        <w:t>对重要业务数据进行抽样对比，可通过导出文件或使用数据库对比工具自动比对，确保无数据丢失或篡改。</w:t>
      </w:r>
    </w:p>
    <w:p w14:paraId="0C87342B" w14:textId="77777777" w:rsidR="00EE6B2A" w:rsidRDefault="00EE6B2A" w:rsidP="00EE6B2A">
      <w:pPr>
        <w:ind w:firstLine="420"/>
        <w:rPr>
          <w:rFonts w:hint="eastAsia"/>
        </w:rPr>
      </w:pPr>
      <w:r>
        <w:rPr>
          <w:rFonts w:hint="eastAsia"/>
        </w:rPr>
        <w:t>对于文件数据，需检查迁移后的数据盘目录结构是否与源端一致，重点验证高频访问或关键业务文件的完整性：</w:t>
      </w:r>
    </w:p>
    <w:p w14:paraId="39E90C52" w14:textId="77777777" w:rsidR="00EE6B2A" w:rsidRDefault="00EE6B2A">
      <w:pPr>
        <w:pStyle w:val="a3"/>
        <w:numPr>
          <w:ilvl w:val="0"/>
          <w:numId w:val="88"/>
        </w:numPr>
        <w:ind w:firstLineChars="0"/>
        <w:rPr>
          <w:rFonts w:hint="eastAsia"/>
        </w:rPr>
      </w:pPr>
      <w:r>
        <w:rPr>
          <w:rFonts w:hint="eastAsia"/>
        </w:rPr>
        <w:t>在文件系统中逐层比对源服务器与迁移后云主机的数据目录，确认文件夹结构、文件数量一致；</w:t>
      </w:r>
    </w:p>
    <w:p w14:paraId="3C8A7032" w14:textId="77777777" w:rsidR="00EE6B2A" w:rsidRDefault="00EE6B2A">
      <w:pPr>
        <w:pStyle w:val="a3"/>
        <w:numPr>
          <w:ilvl w:val="0"/>
          <w:numId w:val="88"/>
        </w:numPr>
        <w:ind w:firstLineChars="0"/>
        <w:rPr>
          <w:rFonts w:hint="eastAsia"/>
        </w:rPr>
      </w:pPr>
      <w:r>
        <w:rPr>
          <w:rFonts w:hint="eastAsia"/>
        </w:rPr>
        <w:t>随机选取关键文件，查看创建时间、修改时间及文件大小是否与源端一致；</w:t>
      </w:r>
    </w:p>
    <w:p w14:paraId="25FEEFCE" w14:textId="77777777" w:rsidR="00EE6B2A" w:rsidRDefault="00EE6B2A">
      <w:pPr>
        <w:pStyle w:val="a3"/>
        <w:numPr>
          <w:ilvl w:val="0"/>
          <w:numId w:val="88"/>
        </w:numPr>
        <w:ind w:firstLineChars="0"/>
        <w:rPr>
          <w:rFonts w:hint="eastAsia"/>
        </w:rPr>
      </w:pPr>
      <w:r>
        <w:rPr>
          <w:rFonts w:hint="eastAsia"/>
        </w:rPr>
        <w:t>对业务文件打开并验证内容完整性，确保文件可正常读取且无损坏。</w:t>
      </w:r>
    </w:p>
    <w:p w14:paraId="404269CF" w14:textId="1258B4B0" w:rsidR="00EE6B2A" w:rsidRDefault="00EE6B2A" w:rsidP="00EE6B2A">
      <w:pPr>
        <w:pStyle w:val="7"/>
        <w:rPr>
          <w:rFonts w:hint="eastAsia"/>
        </w:rPr>
      </w:pPr>
      <w:r>
        <w:rPr>
          <w:rFonts w:hint="eastAsia"/>
        </w:rPr>
        <w:t>应用和服务启动</w:t>
      </w:r>
    </w:p>
    <w:p w14:paraId="4EE1F7F9" w14:textId="77777777" w:rsidR="00EE6B2A" w:rsidRDefault="00EE6B2A" w:rsidP="00EE6B2A">
      <w:pPr>
        <w:ind w:firstLine="420"/>
        <w:rPr>
          <w:rFonts w:hint="eastAsia"/>
        </w:rPr>
      </w:pPr>
      <w:r>
        <w:rPr>
          <w:rFonts w:hint="eastAsia"/>
        </w:rPr>
        <w:t>若迁移前源服务器中的应用或服务未设置自启动，迁移至华为云后需手动启动并配置启动策略：</w:t>
      </w:r>
    </w:p>
    <w:p w14:paraId="4DF2FA20" w14:textId="0275C94C" w:rsidR="00EE6B2A" w:rsidRDefault="00EE6B2A">
      <w:pPr>
        <w:pStyle w:val="a3"/>
        <w:numPr>
          <w:ilvl w:val="0"/>
          <w:numId w:val="89"/>
        </w:numPr>
        <w:ind w:firstLineChars="0"/>
        <w:rPr>
          <w:rFonts w:hint="eastAsia"/>
        </w:rPr>
      </w:pPr>
      <w:r>
        <w:rPr>
          <w:rFonts w:hint="eastAsia"/>
        </w:rPr>
        <w:lastRenderedPageBreak/>
        <w:t>登录迁移后的</w:t>
      </w:r>
      <w:proofErr w:type="spellStart"/>
      <w:r>
        <w:t>AWSLinux</w:t>
      </w:r>
      <w:proofErr w:type="spellEnd"/>
      <w:r>
        <w:t>云主机，通过</w:t>
      </w:r>
      <w:proofErr w:type="spellStart"/>
      <w:r>
        <w:t>systemctl</w:t>
      </w:r>
      <w:proofErr w:type="spellEnd"/>
      <w:r>
        <w:t>命令查看所有服务状态，对业务相关服务检查是否设置为“自动”启动类型，若为“手动”或“禁用”，修改启动类型并启动服务；</w:t>
      </w:r>
    </w:p>
    <w:p w14:paraId="7D728253" w14:textId="77777777" w:rsidR="00EE6B2A" w:rsidRDefault="00EE6B2A">
      <w:pPr>
        <w:pStyle w:val="a3"/>
        <w:numPr>
          <w:ilvl w:val="0"/>
          <w:numId w:val="89"/>
        </w:numPr>
        <w:ind w:firstLineChars="0"/>
        <w:rPr>
          <w:rFonts w:hint="eastAsia"/>
        </w:rPr>
      </w:pPr>
      <w:r>
        <w:rPr>
          <w:rFonts w:hint="eastAsia"/>
        </w:rPr>
        <w:t>对于需要随系统启动的第三方应用，检查其是否设置启动项，若缺失则手动添加；</w:t>
      </w:r>
    </w:p>
    <w:p w14:paraId="2CFEAF27" w14:textId="77777777" w:rsidR="00EE6B2A" w:rsidRDefault="00EE6B2A">
      <w:pPr>
        <w:pStyle w:val="a3"/>
        <w:numPr>
          <w:ilvl w:val="0"/>
          <w:numId w:val="89"/>
        </w:numPr>
        <w:ind w:firstLineChars="0"/>
        <w:rPr>
          <w:rFonts w:hint="eastAsia"/>
        </w:rPr>
      </w:pPr>
      <w:r>
        <w:rPr>
          <w:rFonts w:hint="eastAsia"/>
        </w:rPr>
        <w:t>启动应用后，执行基础功能测试，确保应用在华为云环境中运行流畅。</w:t>
      </w:r>
    </w:p>
    <w:p w14:paraId="41922E87" w14:textId="7BB81F27" w:rsidR="00EE6B2A" w:rsidRDefault="00EE6B2A" w:rsidP="00EE6B2A">
      <w:pPr>
        <w:pStyle w:val="7"/>
        <w:rPr>
          <w:rFonts w:hint="eastAsia"/>
        </w:rPr>
      </w:pPr>
      <w:r>
        <w:t>IP地址相关配置修改</w:t>
      </w:r>
    </w:p>
    <w:p w14:paraId="200FD633" w14:textId="71CFE4AA" w:rsidR="00EE6B2A" w:rsidRDefault="00EE6B2A">
      <w:pPr>
        <w:pStyle w:val="a3"/>
        <w:numPr>
          <w:ilvl w:val="0"/>
          <w:numId w:val="90"/>
        </w:numPr>
        <w:ind w:firstLineChars="0"/>
        <w:rPr>
          <w:rFonts w:hint="eastAsia"/>
        </w:rPr>
      </w:pPr>
      <w:r>
        <w:rPr>
          <w:rFonts w:hint="eastAsia"/>
        </w:rPr>
        <w:t>业务域名与公网</w:t>
      </w:r>
      <w:r>
        <w:t>IP配置</w:t>
      </w:r>
    </w:p>
    <w:p w14:paraId="1A991E3F" w14:textId="2042B303" w:rsidR="00EE6B2A" w:rsidRDefault="00EE6B2A" w:rsidP="00EE6B2A">
      <w:pPr>
        <w:ind w:firstLine="420"/>
        <w:rPr>
          <w:rFonts w:hint="eastAsia"/>
        </w:rPr>
      </w:pPr>
      <w:r>
        <w:rPr>
          <w:rFonts w:hint="eastAsia"/>
        </w:rPr>
        <w:t>若业务涉及</w:t>
      </w:r>
      <w:r>
        <w:t>IP地址直接访问，或使用域名解析服务，需根据华为云分配的公网IP地址修改相关配置：</w:t>
      </w:r>
    </w:p>
    <w:p w14:paraId="7F2A27CE" w14:textId="76A0DAA0" w:rsidR="00EE6B2A" w:rsidRDefault="00EE6B2A">
      <w:pPr>
        <w:pStyle w:val="a3"/>
        <w:numPr>
          <w:ilvl w:val="1"/>
          <w:numId w:val="90"/>
        </w:numPr>
        <w:ind w:firstLineChars="0"/>
        <w:rPr>
          <w:rFonts w:hint="eastAsia"/>
        </w:rPr>
      </w:pPr>
      <w:r>
        <w:rPr>
          <w:rFonts w:hint="eastAsia"/>
        </w:rPr>
        <w:t>登录域名服务提供商的管理平台，将域名解析记录中的</w:t>
      </w:r>
      <w:r>
        <w:t>IP地址修改为迁移后云主机的公网IP，记录类型选择“A记录”，TTL值建议设置为10分钟以便快速生效；</w:t>
      </w:r>
    </w:p>
    <w:p w14:paraId="0F4610A3" w14:textId="3B8DE5AA" w:rsidR="00EE6B2A" w:rsidRDefault="00EE6B2A">
      <w:pPr>
        <w:pStyle w:val="a3"/>
        <w:numPr>
          <w:ilvl w:val="1"/>
          <w:numId w:val="90"/>
        </w:numPr>
        <w:ind w:firstLineChars="0"/>
        <w:rPr>
          <w:rFonts w:hint="eastAsia"/>
        </w:rPr>
      </w:pPr>
      <w:r>
        <w:rPr>
          <w:rFonts w:hint="eastAsia"/>
        </w:rPr>
        <w:t>若业务系统备案信息中登记的服务器</w:t>
      </w:r>
      <w:r>
        <w:t>IP与迁移后不符，需提交IP变更申请，按流程完成ICP备案信息修改，避免因备案信息不一致导致业务访问异常；</w:t>
      </w:r>
    </w:p>
    <w:p w14:paraId="0DF8E801" w14:textId="53804CC8" w:rsidR="00EE6B2A" w:rsidRDefault="00EE6B2A">
      <w:pPr>
        <w:pStyle w:val="a3"/>
        <w:numPr>
          <w:ilvl w:val="1"/>
          <w:numId w:val="90"/>
        </w:numPr>
        <w:ind w:firstLineChars="0"/>
        <w:rPr>
          <w:rFonts w:hint="eastAsia"/>
        </w:rPr>
      </w:pPr>
      <w:r>
        <w:rPr>
          <w:rFonts w:hint="eastAsia"/>
        </w:rPr>
        <w:t>对于通过公网</w:t>
      </w:r>
      <w:r>
        <w:t>IP直接访问的业务，需确保华为云安全组规则已放行相关端口，可通过测试公网IP的连通性。</w:t>
      </w:r>
    </w:p>
    <w:p w14:paraId="20E916FA" w14:textId="516CA767" w:rsidR="00EE6B2A" w:rsidRDefault="00EE6B2A">
      <w:pPr>
        <w:pStyle w:val="a3"/>
        <w:numPr>
          <w:ilvl w:val="0"/>
          <w:numId w:val="90"/>
        </w:numPr>
        <w:ind w:firstLineChars="0"/>
        <w:rPr>
          <w:rFonts w:hint="eastAsia"/>
        </w:rPr>
      </w:pPr>
      <w:r>
        <w:rPr>
          <w:rFonts w:hint="eastAsia"/>
        </w:rPr>
        <w:t>私网</w:t>
      </w:r>
      <w:r>
        <w:t>IP地址保持与修改策略</w:t>
      </w:r>
    </w:p>
    <w:p w14:paraId="29233988" w14:textId="65D8D921" w:rsidR="00EE6B2A" w:rsidRDefault="00EE6B2A" w:rsidP="00EE6B2A">
      <w:pPr>
        <w:ind w:firstLine="420"/>
        <w:rPr>
          <w:rFonts w:hint="eastAsia"/>
        </w:rPr>
      </w:pPr>
      <w:r>
        <w:rPr>
          <w:rFonts w:hint="eastAsia"/>
        </w:rPr>
        <w:t>根据迁移目标类型的不同，私网</w:t>
      </w:r>
      <w:r>
        <w:t>IP地址的配置方式如下：</w:t>
      </w:r>
    </w:p>
    <w:p w14:paraId="4762DF89" w14:textId="162B8350" w:rsidR="00EE6B2A" w:rsidRDefault="00EE6B2A">
      <w:pPr>
        <w:pStyle w:val="a3"/>
        <w:numPr>
          <w:ilvl w:val="1"/>
          <w:numId w:val="90"/>
        </w:numPr>
        <w:ind w:firstLineChars="0"/>
        <w:rPr>
          <w:rFonts w:hint="eastAsia"/>
        </w:rPr>
      </w:pPr>
      <w:r>
        <w:rPr>
          <w:rFonts w:hint="eastAsia"/>
        </w:rPr>
        <w:t>目标类型为自定义镜像：通过该镜像创建云主机实例时，可在华为云控制台的网络配置中选择</w:t>
      </w:r>
      <w:r>
        <w:t>“保持私网IP不变”或“手动指定”：</w:t>
      </w:r>
    </w:p>
    <w:p w14:paraId="37266F66" w14:textId="4F6B2C29" w:rsidR="00EE6B2A" w:rsidRDefault="00EE6B2A">
      <w:pPr>
        <w:pStyle w:val="a3"/>
        <w:numPr>
          <w:ilvl w:val="2"/>
          <w:numId w:val="90"/>
        </w:numPr>
        <w:ind w:firstLineChars="0"/>
        <w:rPr>
          <w:rFonts w:hint="eastAsia"/>
        </w:rPr>
      </w:pPr>
      <w:r>
        <w:rPr>
          <w:rFonts w:hint="eastAsia"/>
        </w:rPr>
        <w:t>若选择</w:t>
      </w:r>
      <w:r>
        <w:t>“保持不变”，需确保华为云专有网络（VPC）的IP地址段与源服务器所在网络一致，且无IP冲突；</w:t>
      </w:r>
    </w:p>
    <w:p w14:paraId="588C73B8" w14:textId="2BB52585" w:rsidR="00EE6B2A" w:rsidRDefault="00EE6B2A">
      <w:pPr>
        <w:pStyle w:val="a3"/>
        <w:numPr>
          <w:ilvl w:val="2"/>
          <w:numId w:val="90"/>
        </w:numPr>
        <w:ind w:firstLineChars="0"/>
        <w:rPr>
          <w:rFonts w:hint="eastAsia"/>
        </w:rPr>
      </w:pPr>
      <w:r>
        <w:rPr>
          <w:rFonts w:hint="eastAsia"/>
        </w:rPr>
        <w:t>若选择</w:t>
      </w:r>
      <w:r>
        <w:t>“手动指定”，需根据VPC的子网掩码和网关设置新的私网IP，确保与同一VPC内的其他资源网络互通。</w:t>
      </w:r>
    </w:p>
    <w:p w14:paraId="1F40479E" w14:textId="039144BD" w:rsidR="00EE6B2A" w:rsidRDefault="00EE6B2A">
      <w:pPr>
        <w:pStyle w:val="a3"/>
        <w:numPr>
          <w:ilvl w:val="1"/>
          <w:numId w:val="90"/>
        </w:numPr>
        <w:ind w:firstLineChars="0"/>
        <w:rPr>
          <w:rFonts w:hint="eastAsia"/>
        </w:rPr>
      </w:pPr>
      <w:r>
        <w:rPr>
          <w:rFonts w:hint="eastAsia"/>
        </w:rPr>
        <w:t>目标类型为云服务器实例：迁移过程中若已配置</w:t>
      </w:r>
      <w:r>
        <w:t>“IPv4私网地址保持不变”，实例创建后会自动采用源服务器的私网IP；若需修改，可在实例运行状态下通过控制台操作，修改后需在Linux系统内验证网络配置，确保业务系统的内网通信正常。</w:t>
      </w:r>
    </w:p>
    <w:p w14:paraId="00082FD9" w14:textId="61FFBAE6" w:rsidR="00EE6B2A" w:rsidRDefault="00EE6B2A" w:rsidP="00EE6B2A">
      <w:pPr>
        <w:pStyle w:val="7"/>
        <w:rPr>
          <w:rFonts w:hint="eastAsia"/>
        </w:rPr>
      </w:pPr>
      <w:r>
        <w:rPr>
          <w:rFonts w:hint="eastAsia"/>
        </w:rPr>
        <w:t>综合验证与优化</w:t>
      </w:r>
    </w:p>
    <w:p w14:paraId="55205B31" w14:textId="59FCCCEB" w:rsidR="00EE6B2A" w:rsidRDefault="00EE6B2A" w:rsidP="00EE6B2A">
      <w:pPr>
        <w:ind w:firstLine="420"/>
        <w:rPr>
          <w:rFonts w:hint="eastAsia"/>
        </w:rPr>
      </w:pPr>
      <w:r>
        <w:rPr>
          <w:rFonts w:hint="eastAsia"/>
        </w:rPr>
        <w:t>完成上述操作后，需进行至少</w:t>
      </w:r>
      <w:r>
        <w:t>24小时的业务稳定性观察，记录以下指标：</w:t>
      </w:r>
    </w:p>
    <w:p w14:paraId="55574BF4" w14:textId="58615DE0" w:rsidR="00EE6B2A" w:rsidRDefault="00EE6B2A">
      <w:pPr>
        <w:pStyle w:val="a3"/>
        <w:numPr>
          <w:ilvl w:val="0"/>
          <w:numId w:val="91"/>
        </w:numPr>
        <w:ind w:firstLineChars="0"/>
        <w:rPr>
          <w:rFonts w:hint="eastAsia"/>
        </w:rPr>
      </w:pPr>
      <w:r>
        <w:rPr>
          <w:rFonts w:hint="eastAsia"/>
        </w:rPr>
        <w:t>系统资源利用率：监控</w:t>
      </w:r>
      <w:r>
        <w:t>CPU、内存、磁盘IO的使用率，确保在业务高峰期资源占用不超过70%-80%；</w:t>
      </w:r>
    </w:p>
    <w:p w14:paraId="1109BF5D" w14:textId="77777777" w:rsidR="00EE6B2A" w:rsidRDefault="00EE6B2A">
      <w:pPr>
        <w:pStyle w:val="a3"/>
        <w:numPr>
          <w:ilvl w:val="0"/>
          <w:numId w:val="91"/>
        </w:numPr>
        <w:ind w:firstLineChars="0"/>
        <w:rPr>
          <w:rFonts w:hint="eastAsia"/>
        </w:rPr>
      </w:pPr>
      <w:r>
        <w:rPr>
          <w:rFonts w:hint="eastAsia"/>
        </w:rPr>
        <w:t>业务交易成功率：统计核心业务的交易次数与失败率；</w:t>
      </w:r>
    </w:p>
    <w:p w14:paraId="3DFEFF98" w14:textId="703396AE" w:rsidR="00EE6B2A" w:rsidRDefault="00EE6B2A">
      <w:pPr>
        <w:pStyle w:val="a3"/>
        <w:numPr>
          <w:ilvl w:val="0"/>
          <w:numId w:val="91"/>
        </w:numPr>
        <w:ind w:firstLineChars="0"/>
        <w:rPr>
          <w:rFonts w:hint="eastAsia"/>
        </w:rPr>
      </w:pPr>
      <w:r>
        <w:rPr>
          <w:rFonts w:hint="eastAsia"/>
        </w:rPr>
        <w:t>网络延迟：使用</w:t>
      </w:r>
      <w:r>
        <w:t>ping和</w:t>
      </w:r>
      <w:proofErr w:type="spellStart"/>
      <w:r>
        <w:t>tracert</w:t>
      </w:r>
      <w:proofErr w:type="spellEnd"/>
      <w:r>
        <w:t>命令测试内外网延迟。</w:t>
      </w:r>
    </w:p>
    <w:p w14:paraId="0CDA9CA7" w14:textId="05BCC85A" w:rsidR="00A84882" w:rsidRPr="00EE6B2A" w:rsidRDefault="00EE6B2A" w:rsidP="00EE6B2A">
      <w:pPr>
        <w:ind w:firstLine="420"/>
        <w:rPr>
          <w:rFonts w:hint="eastAsia"/>
        </w:rPr>
      </w:pPr>
      <w:r>
        <w:rPr>
          <w:rFonts w:hint="eastAsia"/>
        </w:rPr>
        <w:t>若发现异常，可参考华为云监控服务（</w:t>
      </w:r>
      <w:r>
        <w:t>CES）的告警信息，排查网络配置、安全组规则或应用日志，及时调整配置直至业务运行稳定。通过完整的业务验证与配置调整，确保</w:t>
      </w:r>
      <w:proofErr w:type="spellStart"/>
      <w:r>
        <w:t>AWSLinux</w:t>
      </w:r>
      <w:proofErr w:type="spellEnd"/>
      <w:r>
        <w:t>云主机在华为云环境中实现平滑过渡，满足企业业务连续性与性能需求。</w:t>
      </w:r>
    </w:p>
    <w:p w14:paraId="273F3527" w14:textId="77777777" w:rsidR="00007C57" w:rsidRDefault="00007C57" w:rsidP="00007C57">
      <w:pPr>
        <w:pStyle w:val="4"/>
        <w:rPr>
          <w:rFonts w:hint="eastAsia"/>
        </w:rPr>
      </w:pPr>
      <w:r>
        <w:rPr>
          <w:rFonts w:hint="eastAsia"/>
        </w:rPr>
        <w:lastRenderedPageBreak/>
        <w:t>云盘迁移方案</w:t>
      </w:r>
    </w:p>
    <w:p w14:paraId="420ECD56" w14:textId="7777777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在云计算架构迭代与业务迁移需求日益增长的背景下，实现云盘数据从第三方云平台到华为云的安全迁移，已成为企业数字化转型中的关键环节。华为云基于多年技术积累，构建了一套完整的弹性云硬盘（</w:t>
      </w:r>
      <w:r w:rsidRPr="00EE6B2A">
        <w:rPr>
          <w:rFonts w:ascii="Segoe UI" w:hAnsi="Segoe UI" w:cs="Segoe UI"/>
          <w:color w:val="000000"/>
        </w:rPr>
        <w:t>EVS</w:t>
      </w:r>
      <w:r w:rsidRPr="00EE6B2A">
        <w:rPr>
          <w:rFonts w:ascii="Segoe UI" w:hAnsi="Segoe UI" w:cs="Segoe UI"/>
          <w:color w:val="000000"/>
        </w:rPr>
        <w:t>）迁移体系，旨在帮助用户在保持业务连续性的前提下，完成数据资产的跨平台迁移，同时确保迁移后业务系统的稳定运行与数据完整性。以下方案将从迁移准备、实施流程、风险管控到后续验证等维度，为您提供全流程的技术指导。</w:t>
      </w:r>
    </w:p>
    <w:p w14:paraId="4CE83FBF" w14:textId="77777777" w:rsidR="00EE6B2A" w:rsidRPr="00EE6B2A" w:rsidRDefault="00EE6B2A" w:rsidP="00EE6B2A">
      <w:pPr>
        <w:pStyle w:val="5"/>
        <w:rPr>
          <w:rFonts w:hint="eastAsia"/>
        </w:rPr>
      </w:pPr>
      <w:r w:rsidRPr="00EE6B2A">
        <w:rPr>
          <w:rFonts w:hint="eastAsia"/>
        </w:rPr>
        <w:t>迁移前的系统性准备</w:t>
      </w:r>
    </w:p>
    <w:p w14:paraId="04E2649F" w14:textId="5FC30870"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成功的云盘迁移始于全面的前期评估与环境准备。用户需首先确认源端云平台的技术架构与华为云的兼容性，重点关注计算架构的一致性（如</w:t>
      </w:r>
      <w:r w:rsidRPr="00EE6B2A">
        <w:rPr>
          <w:rFonts w:ascii="Segoe UI" w:hAnsi="Segoe UI" w:cs="Segoe UI"/>
          <w:color w:val="000000"/>
        </w:rPr>
        <w:t>x86</w:t>
      </w:r>
      <w:r w:rsidRPr="00EE6B2A">
        <w:rPr>
          <w:rFonts w:ascii="Segoe UI" w:hAnsi="Segoe UI" w:cs="Segoe UI"/>
          <w:color w:val="000000"/>
        </w:rPr>
        <w:t>平台间的迁移适配），目前华为云暂不支持跨架构（如</w:t>
      </w:r>
      <w:r w:rsidRPr="00EE6B2A">
        <w:rPr>
          <w:rFonts w:ascii="Segoe UI" w:hAnsi="Segoe UI" w:cs="Segoe UI"/>
          <w:color w:val="000000"/>
        </w:rPr>
        <w:t>x86</w:t>
      </w:r>
      <w:r w:rsidRPr="00EE6B2A">
        <w:rPr>
          <w:rFonts w:ascii="Segoe UI" w:hAnsi="Segoe UI" w:cs="Segoe UI"/>
          <w:color w:val="000000"/>
        </w:rPr>
        <w:t>至</w:t>
      </w:r>
      <w:r w:rsidRPr="00EE6B2A">
        <w:rPr>
          <w:rFonts w:ascii="Segoe UI" w:hAnsi="Segoe UI" w:cs="Segoe UI"/>
          <w:color w:val="000000"/>
        </w:rPr>
        <w:t>ARM</w:t>
      </w:r>
      <w:r w:rsidRPr="00EE6B2A">
        <w:rPr>
          <w:rFonts w:ascii="Segoe UI" w:hAnsi="Segoe UI" w:cs="Segoe UI"/>
          <w:color w:val="000000"/>
        </w:rPr>
        <w:t>）的直接迁移。在权限配置层面，需在源端平台获取具备完整存储操作权限的账号凭证，若使用子账号，需确保其拥有等同于</w:t>
      </w:r>
      <w:r w:rsidRPr="00EE6B2A">
        <w:rPr>
          <w:rFonts w:ascii="Segoe UI" w:hAnsi="Segoe UI" w:cs="Segoe UI"/>
          <w:color w:val="000000"/>
        </w:rPr>
        <w:t>“</w:t>
      </w:r>
      <w:r w:rsidRPr="00EE6B2A">
        <w:rPr>
          <w:rFonts w:ascii="Segoe UI" w:hAnsi="Segoe UI" w:cs="Segoe UI"/>
          <w:color w:val="000000"/>
        </w:rPr>
        <w:t>云服务器全访问</w:t>
      </w:r>
      <w:r w:rsidRPr="00EE6B2A">
        <w:rPr>
          <w:rFonts w:ascii="Segoe UI" w:hAnsi="Segoe UI" w:cs="Segoe UI"/>
          <w:color w:val="000000"/>
        </w:rPr>
        <w:t>”</w:t>
      </w:r>
      <w:r w:rsidRPr="00EE6B2A">
        <w:rPr>
          <w:rFonts w:ascii="Segoe UI" w:hAnsi="Segoe UI" w:cs="Segoe UI"/>
          <w:color w:val="000000"/>
        </w:rPr>
        <w:t>与</w:t>
      </w:r>
      <w:r w:rsidRPr="00EE6B2A">
        <w:rPr>
          <w:rFonts w:ascii="Segoe UI" w:hAnsi="Segoe UI" w:cs="Segoe UI"/>
          <w:color w:val="000000"/>
        </w:rPr>
        <w:t>“</w:t>
      </w:r>
      <w:r w:rsidRPr="00EE6B2A">
        <w:rPr>
          <w:rFonts w:ascii="Segoe UI" w:hAnsi="Segoe UI" w:cs="Segoe UI"/>
          <w:color w:val="000000"/>
        </w:rPr>
        <w:t>存储资源管理</w:t>
      </w:r>
      <w:r w:rsidRPr="00EE6B2A">
        <w:rPr>
          <w:rFonts w:ascii="Segoe UI" w:hAnsi="Segoe UI" w:cs="Segoe UI"/>
          <w:color w:val="000000"/>
        </w:rPr>
        <w:t>”</w:t>
      </w:r>
      <w:r w:rsidRPr="00EE6B2A">
        <w:rPr>
          <w:rFonts w:ascii="Segoe UI" w:hAnsi="Segoe UI" w:cs="Segoe UI"/>
          <w:color w:val="000000"/>
        </w:rPr>
        <w:t>的权限集合，以保障迁移过程中的数据读取与传输权限。</w:t>
      </w:r>
    </w:p>
    <w:p w14:paraId="7C3AE041" w14:textId="4398ED1B"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针对源端服务器环境，需完成关键组件的预置与配置：在源端实例中部署华为云迁移工具客户端，该工具集成了驱动适配与数据传输功能，可自动检测并安装</w:t>
      </w:r>
      <w:proofErr w:type="spellStart"/>
      <w:r w:rsidRPr="00EE6B2A">
        <w:rPr>
          <w:rFonts w:ascii="Segoe UI" w:hAnsi="Segoe UI" w:cs="Segoe UI"/>
          <w:color w:val="000000"/>
        </w:rPr>
        <w:t>virtio</w:t>
      </w:r>
      <w:proofErr w:type="spellEnd"/>
      <w:r w:rsidRPr="00EE6B2A">
        <w:rPr>
          <w:rFonts w:ascii="Segoe UI" w:hAnsi="Segoe UI" w:cs="Segoe UI"/>
          <w:color w:val="000000"/>
        </w:rPr>
        <w:t>驱动以适配华为云虚拟化架构；同时需部署</w:t>
      </w:r>
      <w:r w:rsidRPr="00EE6B2A">
        <w:rPr>
          <w:rFonts w:ascii="Segoe UI" w:hAnsi="Segoe UI" w:cs="Segoe UI"/>
          <w:color w:val="000000"/>
        </w:rPr>
        <w:t>cloud-</w:t>
      </w:r>
      <w:proofErr w:type="spellStart"/>
      <w:r w:rsidRPr="00EE6B2A">
        <w:rPr>
          <w:rFonts w:ascii="Segoe UI" w:hAnsi="Segoe UI" w:cs="Segoe UI"/>
          <w:color w:val="000000"/>
        </w:rPr>
        <w:t>init</w:t>
      </w:r>
      <w:proofErr w:type="spellEnd"/>
      <w:r w:rsidRPr="00EE6B2A">
        <w:rPr>
          <w:rFonts w:ascii="Segoe UI" w:hAnsi="Segoe UI" w:cs="Segoe UI"/>
          <w:color w:val="000000"/>
        </w:rPr>
        <w:t>工具，确保镜像在华为云环境中的自动化初始化能力。此外，建议对源端云盘进行完整性校验，通过华为云提供的镜像检测工具扫描源镜像，修复磁盘坏道、文件系统错误等潜在问题，为后续迁移奠定基础。</w:t>
      </w:r>
    </w:p>
    <w:p w14:paraId="79BA1C2A" w14:textId="77777777" w:rsidR="00EE6B2A" w:rsidRPr="00EE6B2A" w:rsidRDefault="00EE6B2A" w:rsidP="00EE6B2A">
      <w:pPr>
        <w:pStyle w:val="5"/>
        <w:rPr>
          <w:rFonts w:hint="eastAsia"/>
        </w:rPr>
      </w:pPr>
      <w:r w:rsidRPr="00EE6B2A">
        <w:rPr>
          <w:rFonts w:hint="eastAsia"/>
        </w:rPr>
        <w:t>双模式迁移路径的技术实现</w:t>
      </w:r>
    </w:p>
    <w:p w14:paraId="73D76F84" w14:textId="28E116FD"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华为云为用户提供</w:t>
      </w:r>
      <w:r w:rsidRPr="00EE6B2A">
        <w:rPr>
          <w:rFonts w:ascii="Segoe UI" w:hAnsi="Segoe UI" w:cs="Segoe UI"/>
          <w:color w:val="000000"/>
        </w:rPr>
        <w:t>“</w:t>
      </w:r>
      <w:r w:rsidRPr="00EE6B2A">
        <w:rPr>
          <w:rFonts w:ascii="Segoe UI" w:hAnsi="Segoe UI" w:cs="Segoe UI"/>
          <w:color w:val="000000"/>
        </w:rPr>
        <w:t>镜像迁移</w:t>
      </w:r>
      <w:r w:rsidRPr="00EE6B2A">
        <w:rPr>
          <w:rFonts w:ascii="Segoe UI" w:hAnsi="Segoe UI" w:cs="Segoe UI"/>
          <w:color w:val="000000"/>
        </w:rPr>
        <w:t>”</w:t>
      </w:r>
      <w:r w:rsidRPr="00EE6B2A">
        <w:rPr>
          <w:rFonts w:ascii="Segoe UI" w:hAnsi="Segoe UI" w:cs="Segoe UI"/>
          <w:color w:val="000000"/>
        </w:rPr>
        <w:t>与</w:t>
      </w:r>
      <w:r w:rsidRPr="00EE6B2A">
        <w:rPr>
          <w:rFonts w:ascii="Segoe UI" w:hAnsi="Segoe UI" w:cs="Segoe UI"/>
          <w:color w:val="000000"/>
        </w:rPr>
        <w:t>“</w:t>
      </w:r>
      <w:r w:rsidRPr="00EE6B2A">
        <w:rPr>
          <w:rFonts w:ascii="Segoe UI" w:hAnsi="Segoe UI" w:cs="Segoe UI"/>
          <w:color w:val="000000"/>
        </w:rPr>
        <w:t>实时数据同步</w:t>
      </w:r>
      <w:r w:rsidRPr="00EE6B2A">
        <w:rPr>
          <w:rFonts w:ascii="Segoe UI" w:hAnsi="Segoe UI" w:cs="Segoe UI"/>
          <w:color w:val="000000"/>
        </w:rPr>
        <w:t>”</w:t>
      </w:r>
      <w:r w:rsidRPr="00EE6B2A">
        <w:rPr>
          <w:rFonts w:ascii="Segoe UI" w:hAnsi="Segoe UI" w:cs="Segoe UI"/>
          <w:color w:val="000000"/>
        </w:rPr>
        <w:t>两种核心迁移模式，用户可根据业务特性与停机窗口需求选择适配方案。</w:t>
      </w:r>
    </w:p>
    <w:p w14:paraId="2ADE0953" w14:textId="77777777" w:rsidR="00EE6B2A" w:rsidRPr="00EE6B2A" w:rsidRDefault="00EE6B2A" w:rsidP="00EE6B2A">
      <w:pPr>
        <w:pStyle w:val="5"/>
        <w:rPr>
          <w:rFonts w:hint="eastAsia"/>
        </w:rPr>
      </w:pPr>
      <w:r w:rsidRPr="00EE6B2A">
        <w:rPr>
          <w:rFonts w:hint="eastAsia"/>
        </w:rPr>
        <w:t>镜像迁移的全流程操作</w:t>
      </w:r>
    </w:p>
    <w:p w14:paraId="23187E0F" w14:textId="65B6B062"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采用镜像迁移模式时，首先需在源端环境完成镜像封装。通过源端云平台的镜像创建功能，将目标云盘数据打包为</w:t>
      </w:r>
      <w:r w:rsidRPr="00EE6B2A">
        <w:rPr>
          <w:rFonts w:ascii="Segoe UI" w:hAnsi="Segoe UI" w:cs="Segoe UI"/>
          <w:color w:val="000000"/>
        </w:rPr>
        <w:t>RAW</w:t>
      </w:r>
      <w:r w:rsidRPr="00EE6B2A">
        <w:rPr>
          <w:rFonts w:ascii="Segoe UI" w:hAnsi="Segoe UI" w:cs="Segoe UI"/>
          <w:color w:val="000000"/>
        </w:rPr>
        <w:t>、</w:t>
      </w:r>
      <w:r w:rsidRPr="00EE6B2A">
        <w:rPr>
          <w:rFonts w:ascii="Segoe UI" w:hAnsi="Segoe UI" w:cs="Segoe UI"/>
          <w:color w:val="000000"/>
        </w:rPr>
        <w:t>VHD</w:t>
      </w:r>
      <w:r w:rsidRPr="00EE6B2A">
        <w:rPr>
          <w:rFonts w:ascii="Segoe UI" w:hAnsi="Segoe UI" w:cs="Segoe UI"/>
          <w:color w:val="000000"/>
        </w:rPr>
        <w:t>或</w:t>
      </w:r>
      <w:r w:rsidRPr="00EE6B2A">
        <w:rPr>
          <w:rFonts w:ascii="Segoe UI" w:hAnsi="Segoe UI" w:cs="Segoe UI"/>
          <w:color w:val="000000"/>
        </w:rPr>
        <w:t>QCOW2</w:t>
      </w:r>
      <w:r w:rsidRPr="00EE6B2A">
        <w:rPr>
          <w:rFonts w:ascii="Segoe UI" w:hAnsi="Segoe UI" w:cs="Segoe UI"/>
          <w:color w:val="000000"/>
        </w:rPr>
        <w:t>等标准格式，同步完成镜像的轻量化处理，移除源端特有的配置文件（如</w:t>
      </w:r>
      <w:r w:rsidRPr="00EE6B2A">
        <w:rPr>
          <w:rFonts w:ascii="Segoe UI" w:hAnsi="Segoe UI" w:cs="Segoe UI"/>
          <w:color w:val="000000"/>
        </w:rPr>
        <w:t>AWS</w:t>
      </w:r>
      <w:r w:rsidRPr="00EE6B2A">
        <w:rPr>
          <w:rFonts w:ascii="Segoe UI" w:hAnsi="Segoe UI" w:cs="Segoe UI"/>
          <w:color w:val="000000"/>
        </w:rPr>
        <w:t>的</w:t>
      </w:r>
      <w:proofErr w:type="spellStart"/>
      <w:r w:rsidRPr="00EE6B2A">
        <w:rPr>
          <w:rFonts w:ascii="Segoe UI" w:hAnsi="Segoe UI" w:cs="Segoe UI"/>
          <w:color w:val="000000"/>
        </w:rPr>
        <w:t>ssm</w:t>
      </w:r>
      <w:proofErr w:type="spellEnd"/>
      <w:r w:rsidRPr="00EE6B2A">
        <w:rPr>
          <w:rFonts w:ascii="Segoe UI" w:hAnsi="Segoe UI" w:cs="Segoe UI"/>
          <w:color w:val="000000"/>
        </w:rPr>
        <w:t>-agent</w:t>
      </w:r>
      <w:r w:rsidRPr="00EE6B2A">
        <w:rPr>
          <w:rFonts w:ascii="Segoe UI" w:hAnsi="Segoe UI" w:cs="Segoe UI"/>
          <w:color w:val="000000"/>
        </w:rPr>
        <w:t>服务配置），避免与华为云环境产生冲突。镜像导出后，存储至源端对象存储桶或华为云</w:t>
      </w:r>
      <w:r w:rsidRPr="00EE6B2A">
        <w:rPr>
          <w:rFonts w:ascii="Segoe UI" w:hAnsi="Segoe UI" w:cs="Segoe UI"/>
          <w:color w:val="000000"/>
        </w:rPr>
        <w:t>OBS</w:t>
      </w:r>
      <w:r w:rsidRPr="00EE6B2A">
        <w:rPr>
          <w:rFonts w:ascii="Segoe UI" w:hAnsi="Segoe UI" w:cs="Segoe UI"/>
          <w:color w:val="000000"/>
        </w:rPr>
        <w:t>桶，利用华为云</w:t>
      </w:r>
      <w:r w:rsidRPr="00EE6B2A">
        <w:rPr>
          <w:rFonts w:ascii="Segoe UI" w:hAnsi="Segoe UI" w:cs="Segoe UI"/>
          <w:color w:val="000000"/>
        </w:rPr>
        <w:t>“</w:t>
      </w:r>
      <w:r w:rsidRPr="00EE6B2A">
        <w:rPr>
          <w:rFonts w:ascii="Segoe UI" w:hAnsi="Segoe UI" w:cs="Segoe UI"/>
          <w:color w:val="000000"/>
        </w:rPr>
        <w:t>自定义镜像导入</w:t>
      </w:r>
      <w:r w:rsidRPr="00EE6B2A">
        <w:rPr>
          <w:rFonts w:ascii="Segoe UI" w:hAnsi="Segoe UI" w:cs="Segoe UI"/>
          <w:color w:val="000000"/>
        </w:rPr>
        <w:t>”</w:t>
      </w:r>
      <w:r w:rsidRPr="00EE6B2A">
        <w:rPr>
          <w:rFonts w:ascii="Segoe UI" w:hAnsi="Segoe UI" w:cs="Segoe UI"/>
          <w:color w:val="000000"/>
        </w:rPr>
        <w:t>功能，将镜像上传至目标区域的镜像仓库。导入过程中，系统将自动完成镜像格式转换与兼容性校验，待镜像状态变为</w:t>
      </w:r>
      <w:r w:rsidRPr="00EE6B2A">
        <w:rPr>
          <w:rFonts w:ascii="Segoe UI" w:hAnsi="Segoe UI" w:cs="Segoe UI"/>
          <w:color w:val="000000"/>
        </w:rPr>
        <w:t>“</w:t>
      </w:r>
      <w:r w:rsidRPr="00EE6B2A">
        <w:rPr>
          <w:rFonts w:ascii="Segoe UI" w:hAnsi="Segoe UI" w:cs="Segoe UI"/>
          <w:color w:val="000000"/>
        </w:rPr>
        <w:t>可用</w:t>
      </w:r>
      <w:r w:rsidRPr="00EE6B2A">
        <w:rPr>
          <w:rFonts w:ascii="Segoe UI" w:hAnsi="Segoe UI" w:cs="Segoe UI"/>
          <w:color w:val="000000"/>
        </w:rPr>
        <w:t>”</w:t>
      </w:r>
      <w:r w:rsidRPr="00EE6B2A">
        <w:rPr>
          <w:rFonts w:ascii="Segoe UI" w:hAnsi="Segoe UI" w:cs="Segoe UI"/>
          <w:color w:val="000000"/>
        </w:rPr>
        <w:t>后，即可基于该镜像创建新的弹性云盘或</w:t>
      </w:r>
      <w:r w:rsidRPr="00EE6B2A">
        <w:rPr>
          <w:rFonts w:ascii="Segoe UI" w:hAnsi="Segoe UI" w:cs="Segoe UI"/>
          <w:color w:val="000000"/>
        </w:rPr>
        <w:t>ECS</w:t>
      </w:r>
      <w:r w:rsidRPr="00EE6B2A">
        <w:rPr>
          <w:rFonts w:ascii="Segoe UI" w:hAnsi="Segoe UI" w:cs="Segoe UI"/>
          <w:color w:val="000000"/>
        </w:rPr>
        <w:t>实例，实现数据的完整落盘。</w:t>
      </w:r>
    </w:p>
    <w:p w14:paraId="7DA8D52B" w14:textId="77777777" w:rsidR="00EE6B2A" w:rsidRPr="00EE6B2A" w:rsidRDefault="00EE6B2A" w:rsidP="00EE6B2A">
      <w:pPr>
        <w:pStyle w:val="5"/>
        <w:rPr>
          <w:rFonts w:hint="eastAsia"/>
        </w:rPr>
      </w:pPr>
      <w:r w:rsidRPr="00EE6B2A">
        <w:rPr>
          <w:rFonts w:hint="eastAsia"/>
        </w:rPr>
        <w:t>实时数据同步的连续性迁移</w:t>
      </w:r>
    </w:p>
    <w:p w14:paraId="5106DD03" w14:textId="42AAD83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对于</w:t>
      </w:r>
      <w:r w:rsidR="006C6F6D" w:rsidRPr="006C6F6D">
        <w:rPr>
          <w:rFonts w:ascii="Segoe UI" w:hAnsi="Segoe UI" w:cs="Segoe UI" w:hint="eastAsia"/>
          <w:b/>
          <w:color w:val="000000"/>
        </w:rPr>
        <w:t>招标文件要求</w:t>
      </w:r>
      <w:r w:rsidRPr="00EE6B2A">
        <w:rPr>
          <w:rFonts w:ascii="Segoe UI" w:hAnsi="Segoe UI" w:cs="Segoe UI" w:hint="eastAsia"/>
          <w:color w:val="000000"/>
        </w:rPr>
        <w:t>业务零中断的场景，可采用华为云数据复制服务（</w:t>
      </w:r>
      <w:r w:rsidRPr="00EE6B2A">
        <w:rPr>
          <w:rFonts w:ascii="Segoe UI" w:hAnsi="Segoe UI" w:cs="Segoe UI"/>
          <w:color w:val="000000"/>
        </w:rPr>
        <w:t>DRS</w:t>
      </w:r>
      <w:r w:rsidRPr="00EE6B2A">
        <w:rPr>
          <w:rFonts w:ascii="Segoe UI" w:hAnsi="Segoe UI" w:cs="Segoe UI"/>
          <w:color w:val="000000"/>
        </w:rPr>
        <w:t>）实现实时同</w:t>
      </w:r>
      <w:r w:rsidRPr="00EE6B2A">
        <w:rPr>
          <w:rFonts w:ascii="Segoe UI" w:hAnsi="Segoe UI" w:cs="Segoe UI"/>
          <w:color w:val="000000"/>
        </w:rPr>
        <w:lastRenderedPageBreak/>
        <w:t>步迁移。在华为云控制台的</w:t>
      </w:r>
      <w:r w:rsidRPr="00EE6B2A">
        <w:rPr>
          <w:rFonts w:ascii="Segoe UI" w:hAnsi="Segoe UI" w:cs="Segoe UI"/>
          <w:color w:val="000000"/>
        </w:rPr>
        <w:t>“</w:t>
      </w:r>
      <w:r w:rsidRPr="00EE6B2A">
        <w:rPr>
          <w:rFonts w:ascii="Segoe UI" w:hAnsi="Segoe UI" w:cs="Segoe UI"/>
          <w:color w:val="000000"/>
        </w:rPr>
        <w:t>云服务器迁移</w:t>
      </w:r>
      <w:r w:rsidRPr="00EE6B2A">
        <w:rPr>
          <w:rFonts w:ascii="Segoe UI" w:hAnsi="Segoe UI" w:cs="Segoe UI"/>
          <w:color w:val="000000"/>
        </w:rPr>
        <w:t>”</w:t>
      </w:r>
      <w:r w:rsidRPr="00EE6B2A">
        <w:rPr>
          <w:rFonts w:ascii="Segoe UI" w:hAnsi="Segoe UI" w:cs="Segoe UI"/>
          <w:color w:val="000000"/>
        </w:rPr>
        <w:t>模块中创建迁移任务，配置目标区域、目标实例等参数，特别建议开启</w:t>
      </w:r>
      <w:r w:rsidRPr="00EE6B2A">
        <w:rPr>
          <w:rFonts w:ascii="Segoe UI" w:hAnsi="Segoe UI" w:cs="Segoe UI"/>
          <w:color w:val="000000"/>
        </w:rPr>
        <w:t>“</w:t>
      </w:r>
      <w:r w:rsidRPr="00EE6B2A">
        <w:rPr>
          <w:rFonts w:ascii="Segoe UI" w:hAnsi="Segoe UI" w:cs="Segoe UI"/>
          <w:color w:val="000000"/>
        </w:rPr>
        <w:t>增量同步</w:t>
      </w:r>
      <w:r w:rsidRPr="00EE6B2A">
        <w:rPr>
          <w:rFonts w:ascii="Segoe UI" w:hAnsi="Segoe UI" w:cs="Segoe UI"/>
          <w:color w:val="000000"/>
        </w:rPr>
        <w:t>”</w:t>
      </w:r>
      <w:r w:rsidRPr="00EE6B2A">
        <w:rPr>
          <w:rFonts w:ascii="Segoe UI" w:hAnsi="Segoe UI" w:cs="Segoe UI"/>
          <w:color w:val="000000"/>
        </w:rPr>
        <w:t>功能，该功能可自动捕获源端数据变化，以分钟级频率同步至华为云目标存储。任务创建后，系统将自动启动迁移演练，通过模拟数据传输评估迁移耗时与带宽需求，演练过程中可实时监控数据校验结果，确保迁移逻辑的正确性。正式迁移阶段，可选择</w:t>
      </w:r>
      <w:r w:rsidRPr="00EE6B2A">
        <w:rPr>
          <w:rFonts w:ascii="Segoe UI" w:hAnsi="Segoe UI" w:cs="Segoe UI"/>
          <w:color w:val="000000"/>
        </w:rPr>
        <w:t>“</w:t>
      </w:r>
      <w:r w:rsidRPr="00EE6B2A">
        <w:rPr>
          <w:rFonts w:ascii="Segoe UI" w:hAnsi="Segoe UI" w:cs="Segoe UI"/>
          <w:color w:val="000000"/>
        </w:rPr>
        <w:t>立即执行</w:t>
      </w:r>
      <w:r w:rsidRPr="00EE6B2A">
        <w:rPr>
          <w:rFonts w:ascii="Segoe UI" w:hAnsi="Segoe UI" w:cs="Segoe UI"/>
          <w:color w:val="000000"/>
        </w:rPr>
        <w:t>”</w:t>
      </w:r>
      <w:r w:rsidRPr="00EE6B2A">
        <w:rPr>
          <w:rFonts w:ascii="Segoe UI" w:hAnsi="Segoe UI" w:cs="Segoe UI"/>
          <w:color w:val="000000"/>
        </w:rPr>
        <w:t>或</w:t>
      </w:r>
      <w:r w:rsidRPr="00EE6B2A">
        <w:rPr>
          <w:rFonts w:ascii="Segoe UI" w:hAnsi="Segoe UI" w:cs="Segoe UI"/>
          <w:color w:val="000000"/>
        </w:rPr>
        <w:t>“</w:t>
      </w:r>
      <w:r w:rsidRPr="00EE6B2A">
        <w:rPr>
          <w:rFonts w:ascii="Segoe UI" w:hAnsi="Segoe UI" w:cs="Segoe UI"/>
          <w:color w:val="000000"/>
        </w:rPr>
        <w:t>预约时段</w:t>
      </w:r>
      <w:r w:rsidRPr="00EE6B2A">
        <w:rPr>
          <w:rFonts w:ascii="Segoe UI" w:hAnsi="Segoe UI" w:cs="Segoe UI"/>
          <w:color w:val="000000"/>
        </w:rPr>
        <w:t>”</w:t>
      </w:r>
      <w:r w:rsidRPr="00EE6B2A">
        <w:rPr>
          <w:rFonts w:ascii="Segoe UI" w:hAnsi="Segoe UI" w:cs="Segoe UI"/>
          <w:color w:val="000000"/>
        </w:rPr>
        <w:t>启动，迁移过程中源端与目标端数据将保持实时一致，最终通过计划性切</w:t>
      </w:r>
      <w:r w:rsidRPr="00EE6B2A">
        <w:rPr>
          <w:rFonts w:ascii="Segoe UI" w:hAnsi="Segoe UI" w:cs="Segoe UI" w:hint="eastAsia"/>
          <w:color w:val="000000"/>
        </w:rPr>
        <w:t>换完成业务割接。</w:t>
      </w:r>
    </w:p>
    <w:p w14:paraId="0F59A8D0" w14:textId="77777777" w:rsidR="00EE6B2A" w:rsidRPr="00EE6B2A" w:rsidRDefault="00EE6B2A" w:rsidP="00EE6B2A">
      <w:pPr>
        <w:pStyle w:val="5"/>
        <w:rPr>
          <w:rFonts w:hint="eastAsia"/>
        </w:rPr>
      </w:pPr>
      <w:r w:rsidRPr="00EE6B2A">
        <w:rPr>
          <w:rFonts w:hint="eastAsia"/>
        </w:rPr>
        <w:t>迁移过程中的风险管控要点</w:t>
      </w:r>
    </w:p>
    <w:p w14:paraId="7DADFC8A" w14:textId="3417C5C2"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跨云平台迁移涉及复杂的技术衔接，需关注以下关键风险点以保障迁移质量。网络层面需确保源端服务器具备公网访问能力，且已加入华为云</w:t>
      </w:r>
      <w:r w:rsidRPr="00EE6B2A">
        <w:rPr>
          <w:rFonts w:ascii="Segoe UI" w:hAnsi="Segoe UI" w:cs="Segoe UI"/>
          <w:color w:val="000000"/>
        </w:rPr>
        <w:t>VPC</w:t>
      </w:r>
      <w:r w:rsidRPr="00EE6B2A">
        <w:rPr>
          <w:rFonts w:ascii="Segoe UI" w:hAnsi="Segoe UI" w:cs="Segoe UI"/>
          <w:color w:val="000000"/>
        </w:rPr>
        <w:t>网络的对等连接，避免因网络隔离导致的数据传输中断；在系统盘迁移场景中，华为云迁移工具将自动完成操作系统适配，但源端系统盘的自动快照策略会在迁移过程中被清除，建议用户提前手动备份重要快照，防止意外数据丢失。</w:t>
      </w:r>
    </w:p>
    <w:p w14:paraId="16BE3731" w14:textId="0F0A6232"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迁移过程中，系统会自动创建临时中转实例（命名规则为</w:t>
      </w:r>
      <w:r w:rsidRPr="00EE6B2A">
        <w:rPr>
          <w:rFonts w:ascii="Segoe UI" w:hAnsi="Segoe UI" w:cs="Segoe UI"/>
          <w:color w:val="000000"/>
        </w:rPr>
        <w:t>“</w:t>
      </w:r>
      <w:proofErr w:type="spellStart"/>
      <w:r w:rsidRPr="00EE6B2A">
        <w:rPr>
          <w:rFonts w:ascii="Segoe UI" w:hAnsi="Segoe UI" w:cs="Segoe UI"/>
          <w:color w:val="000000"/>
        </w:rPr>
        <w:t>HuaweiCloud_SMC_Transition_Instance</w:t>
      </w:r>
      <w:proofErr w:type="spellEnd"/>
      <w:r w:rsidRPr="00EE6B2A">
        <w:rPr>
          <w:rFonts w:ascii="Segoe UI" w:hAnsi="Segoe UI" w:cs="Segoe UI"/>
          <w:color w:val="000000"/>
        </w:rPr>
        <w:t>”</w:t>
      </w:r>
      <w:r w:rsidRPr="00EE6B2A">
        <w:rPr>
          <w:rFonts w:ascii="Segoe UI" w:hAnsi="Segoe UI" w:cs="Segoe UI"/>
          <w:color w:val="000000"/>
        </w:rPr>
        <w:t>），该实例用于数据中转与格式转换，用户需避免对其进行任何操作，以免影响迁移流程。此外，针对不同操作系统的驱动兼容性，华为云迁移工具会在预检测阶段生成详细报告，用户需根据报告提示完成内核参数调整或驱动升级，确保目标实例启动时的硬件兼容性。</w:t>
      </w:r>
    </w:p>
    <w:p w14:paraId="1A580C6C" w14:textId="77777777" w:rsidR="00EE6B2A" w:rsidRPr="00EE6B2A" w:rsidRDefault="00EE6B2A" w:rsidP="00EE6B2A">
      <w:pPr>
        <w:pStyle w:val="5"/>
        <w:rPr>
          <w:rFonts w:hint="eastAsia"/>
        </w:rPr>
      </w:pPr>
      <w:r w:rsidRPr="00EE6B2A">
        <w:rPr>
          <w:rFonts w:hint="eastAsia"/>
        </w:rPr>
        <w:t>迁移后的验证与优化体系</w:t>
      </w:r>
    </w:p>
    <w:p w14:paraId="3EE158DC" w14:textId="3F228CC8"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迁移完成后，需构建多层级的验证体系确保业务可用性。首先登录目标实例，通过文件校验工具（如</w:t>
      </w:r>
      <w:r w:rsidRPr="00EE6B2A">
        <w:rPr>
          <w:rFonts w:ascii="Segoe UI" w:hAnsi="Segoe UI" w:cs="Segoe UI"/>
          <w:color w:val="000000"/>
        </w:rPr>
        <w:t>md5sum</w:t>
      </w:r>
      <w:r w:rsidRPr="00EE6B2A">
        <w:rPr>
          <w:rFonts w:ascii="Segoe UI" w:hAnsi="Segoe UI" w:cs="Segoe UI"/>
          <w:color w:val="000000"/>
        </w:rPr>
        <w:t>）比对源端与目标端关键数据的一致性，同时检查应用服务的启动状态与业务逻辑正确性，特别注意因</w:t>
      </w:r>
      <w:r w:rsidRPr="00EE6B2A">
        <w:rPr>
          <w:rFonts w:ascii="Segoe UI" w:hAnsi="Segoe UI" w:cs="Segoe UI"/>
          <w:color w:val="000000"/>
        </w:rPr>
        <w:t>IP</w:t>
      </w:r>
      <w:r w:rsidRPr="00EE6B2A">
        <w:rPr>
          <w:rFonts w:ascii="Segoe UI" w:hAnsi="Segoe UI" w:cs="Segoe UI"/>
          <w:color w:val="000000"/>
        </w:rPr>
        <w:t>地址变更导致的网络配置调整（如防火墙规则、域名解析等）。</w:t>
      </w:r>
    </w:p>
    <w:p w14:paraId="661AD0A7" w14:textId="2A2BF98E"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为提升数据安全性与后续运维效率，建议完成以下优化操作：对迁移后的弹性云盘创建全量快照，存储至跨可用区的快照库；基于业务访问特征，为目标云盘配置华为云的存储性能优化策略（如</w:t>
      </w:r>
      <w:r w:rsidRPr="00EE6B2A">
        <w:rPr>
          <w:rFonts w:ascii="Segoe UI" w:hAnsi="Segoe UI" w:cs="Segoe UI"/>
          <w:color w:val="000000"/>
        </w:rPr>
        <w:t>SSD</w:t>
      </w:r>
      <w:r w:rsidRPr="00EE6B2A">
        <w:rPr>
          <w:rFonts w:ascii="Segoe UI" w:hAnsi="Segoe UI" w:cs="Segoe UI"/>
          <w:color w:val="000000"/>
        </w:rPr>
        <w:t>加速、</w:t>
      </w:r>
      <w:r w:rsidRPr="00EE6B2A">
        <w:rPr>
          <w:rFonts w:ascii="Segoe UI" w:hAnsi="Segoe UI" w:cs="Segoe UI"/>
          <w:color w:val="000000"/>
        </w:rPr>
        <w:t>IOPS</w:t>
      </w:r>
      <w:r w:rsidRPr="00EE6B2A">
        <w:rPr>
          <w:rFonts w:ascii="Segoe UI" w:hAnsi="Segoe UI" w:cs="Segoe UI"/>
          <w:color w:val="000000"/>
        </w:rPr>
        <w:t>调整）；若涉及批量迁移，可通过华为云</w:t>
      </w:r>
      <w:r w:rsidRPr="00EE6B2A">
        <w:rPr>
          <w:rFonts w:ascii="Segoe UI" w:hAnsi="Segoe UI" w:cs="Segoe UI"/>
          <w:color w:val="000000"/>
        </w:rPr>
        <w:t>“</w:t>
      </w:r>
      <w:r w:rsidRPr="00EE6B2A">
        <w:rPr>
          <w:rFonts w:ascii="Segoe UI" w:hAnsi="Segoe UI" w:cs="Segoe UI"/>
          <w:color w:val="000000"/>
        </w:rPr>
        <w:t>迁移任务监控</w:t>
      </w:r>
      <w:r w:rsidRPr="00EE6B2A">
        <w:rPr>
          <w:rFonts w:ascii="Segoe UI" w:hAnsi="Segoe UI" w:cs="Segoe UI"/>
          <w:color w:val="000000"/>
        </w:rPr>
        <w:t>”</w:t>
      </w:r>
      <w:r w:rsidRPr="00EE6B2A">
        <w:rPr>
          <w:rFonts w:ascii="Segoe UI" w:hAnsi="Segoe UI" w:cs="Segoe UI"/>
          <w:color w:val="000000"/>
        </w:rPr>
        <w:t>面板生成迁移报告，分析各实例的迁移耗时、数据量等指标，为后续同类迁移提供参考。</w:t>
      </w:r>
    </w:p>
    <w:p w14:paraId="26FCE86D" w14:textId="5D60B7D6" w:rsidR="00007C57"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华为云技术支持团队可为用户提供</w:t>
      </w:r>
      <w:r w:rsidRPr="00EE6B2A">
        <w:rPr>
          <w:rFonts w:ascii="Segoe UI" w:hAnsi="Segoe UI" w:cs="Segoe UI"/>
          <w:color w:val="000000"/>
        </w:rPr>
        <w:t>7×24</w:t>
      </w:r>
      <w:r w:rsidRPr="00EE6B2A">
        <w:rPr>
          <w:rFonts w:ascii="Segoe UI" w:hAnsi="Segoe UI" w:cs="Segoe UI"/>
          <w:color w:val="000000"/>
        </w:rPr>
        <w:t>小时的迁移技术支撑，针对复杂业务场景（如数据库集群迁移、海量数据迁移）可定制专项方案，确保迁移过程的全程可控与业务的无缝衔接。通过这套完整的迁移解决方案，企业可高效实现云盘资产向华为云的迁移，充分释放华为云在存储可靠性、弹性扩展与安全防护方面的技术优势。</w:t>
      </w:r>
    </w:p>
    <w:p w14:paraId="3409333D" w14:textId="77777777" w:rsidR="00007C57" w:rsidRDefault="00007C57" w:rsidP="00007C57">
      <w:pPr>
        <w:pStyle w:val="4"/>
        <w:rPr>
          <w:rFonts w:hint="eastAsia"/>
        </w:rPr>
      </w:pPr>
      <w:r>
        <w:rPr>
          <w:rFonts w:hint="eastAsia"/>
        </w:rPr>
        <w:lastRenderedPageBreak/>
        <w:t>对象存储迁移方案</w:t>
      </w:r>
    </w:p>
    <w:p w14:paraId="6FE3CDE4" w14:textId="68A252EE" w:rsidR="005D060C" w:rsidRPr="005D060C" w:rsidRDefault="005D060C" w:rsidP="005D060C">
      <w:pPr>
        <w:pStyle w:val="5"/>
        <w:rPr>
          <w:rFonts w:hint="eastAsia"/>
        </w:rPr>
      </w:pPr>
      <w:r w:rsidRPr="005D060C">
        <w:rPr>
          <w:rFonts w:hint="eastAsia"/>
        </w:rPr>
        <w:t>迁移项目概述与目标</w:t>
      </w:r>
    </w:p>
    <w:p w14:paraId="115E980C" w14:textId="7F05ED3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在数字化转型进程中，企业数据存储架构的升级与跨平台迁移需求日益凸显。华为云对象存储迁移方案聚焦于为客户提供从第三方存储平台（如</w:t>
      </w:r>
      <w:r w:rsidRPr="005D060C">
        <w:rPr>
          <w:rFonts w:ascii="Segoe UI" w:hAnsi="Segoe UI" w:cs="Segoe UI"/>
          <w:color w:val="000000"/>
        </w:rPr>
        <w:t>AWSS3</w:t>
      </w:r>
      <w:r w:rsidRPr="005D060C">
        <w:rPr>
          <w:rFonts w:ascii="Segoe UI" w:hAnsi="Segoe UI" w:cs="Segoe UI"/>
          <w:color w:val="000000"/>
        </w:rPr>
        <w:t>、腾讯</w:t>
      </w:r>
      <w:r w:rsidRPr="005D060C">
        <w:rPr>
          <w:rFonts w:ascii="Segoe UI" w:hAnsi="Segoe UI" w:cs="Segoe UI"/>
          <w:color w:val="000000"/>
        </w:rPr>
        <w:t>COS</w:t>
      </w:r>
      <w:r w:rsidRPr="005D060C">
        <w:rPr>
          <w:rFonts w:ascii="Segoe UI" w:hAnsi="Segoe UI" w:cs="Segoe UI"/>
          <w:color w:val="000000"/>
        </w:rPr>
        <w:t>等）向华为云对象存储服务（</w:t>
      </w:r>
      <w:r w:rsidRPr="005D060C">
        <w:rPr>
          <w:rFonts w:ascii="Segoe UI" w:hAnsi="Segoe UI" w:cs="Segoe UI"/>
          <w:color w:val="000000"/>
        </w:rPr>
        <w:t>OBS</w:t>
      </w:r>
      <w:r w:rsidRPr="005D060C">
        <w:rPr>
          <w:rFonts w:ascii="Segoe UI" w:hAnsi="Segoe UI" w:cs="Segoe UI"/>
          <w:color w:val="000000"/>
        </w:rPr>
        <w:t>）的全流程迁移服务，旨在构建安全、高效、可靠的数据迁移通道。本方案以</w:t>
      </w:r>
      <w:r w:rsidRPr="005D060C">
        <w:rPr>
          <w:rFonts w:ascii="Segoe UI" w:hAnsi="Segoe UI" w:cs="Segoe UI"/>
          <w:color w:val="000000"/>
        </w:rPr>
        <w:t>“</w:t>
      </w:r>
      <w:r w:rsidRPr="005D060C">
        <w:rPr>
          <w:rFonts w:ascii="Segoe UI" w:hAnsi="Segoe UI" w:cs="Segoe UI"/>
          <w:color w:val="000000"/>
        </w:rPr>
        <w:t>零数据丢失、业务零中断、全程可追溯</w:t>
      </w:r>
      <w:r w:rsidRPr="005D060C">
        <w:rPr>
          <w:rFonts w:ascii="Segoe UI" w:hAnsi="Segoe UI" w:cs="Segoe UI"/>
          <w:color w:val="000000"/>
        </w:rPr>
        <w:t>”</w:t>
      </w:r>
      <w:r w:rsidRPr="005D060C">
        <w:rPr>
          <w:rFonts w:ascii="Segoe UI" w:hAnsi="Segoe UI" w:cs="Segoe UI"/>
          <w:color w:val="000000"/>
        </w:rPr>
        <w:t>为核心目标，通过华为云自研的智能迁移工具链，实现海量非结构化数据的平滑迁移，同时确保迁移后业务系统的无缝衔接，充分释放华为云</w:t>
      </w:r>
      <w:r w:rsidRPr="005D060C">
        <w:rPr>
          <w:rFonts w:ascii="Segoe UI" w:hAnsi="Segoe UI" w:cs="Segoe UI"/>
          <w:color w:val="000000"/>
        </w:rPr>
        <w:t>OBS</w:t>
      </w:r>
      <w:r w:rsidRPr="005D060C">
        <w:rPr>
          <w:rFonts w:ascii="Segoe UI" w:hAnsi="Segoe UI" w:cs="Segoe UI"/>
          <w:color w:val="000000"/>
        </w:rPr>
        <w:t>在弹性扩展、高可用性及智能运维方面的技术优势。</w:t>
      </w:r>
    </w:p>
    <w:p w14:paraId="74FBAD58" w14:textId="66CB4F86" w:rsidR="005D060C" w:rsidRPr="005D060C" w:rsidRDefault="005D060C" w:rsidP="005D060C">
      <w:pPr>
        <w:pStyle w:val="5"/>
        <w:rPr>
          <w:rFonts w:hint="eastAsia"/>
        </w:rPr>
      </w:pPr>
      <w:r w:rsidRPr="005D060C">
        <w:rPr>
          <w:rFonts w:hint="eastAsia"/>
        </w:rPr>
        <w:t>迁移方案设计原则与架构</w:t>
      </w:r>
    </w:p>
    <w:p w14:paraId="7635F084" w14:textId="2C5B13A2" w:rsidR="005D060C" w:rsidRPr="005D060C" w:rsidRDefault="005D060C" w:rsidP="005D060C">
      <w:pPr>
        <w:pStyle w:val="6"/>
        <w:rPr>
          <w:rFonts w:hint="eastAsia"/>
        </w:rPr>
      </w:pPr>
      <w:r w:rsidRPr="005D060C">
        <w:rPr>
          <w:rFonts w:hint="eastAsia"/>
        </w:rPr>
        <w:t>方案设计核心原则</w:t>
      </w:r>
    </w:p>
    <w:p w14:paraId="0E58F95C" w14:textId="05D0ACB9"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安全性优先：采用端到端加密传输机制，结合华为云多层级安全防护体系，确保迁移过程中数据完整性与隐私性，满足等保</w:t>
      </w:r>
      <w:r w:rsidRPr="005D060C">
        <w:rPr>
          <w:rFonts w:ascii="Segoe UI" w:hAnsi="Segoe UI" w:cs="Segoe UI"/>
          <w:color w:val="000000"/>
        </w:rPr>
        <w:t>2.0</w:t>
      </w:r>
      <w:r w:rsidRPr="005D060C">
        <w:rPr>
          <w:rFonts w:ascii="Segoe UI" w:hAnsi="Segoe UI" w:cs="Segoe UI"/>
          <w:color w:val="000000"/>
        </w:rPr>
        <w:t>及行业特殊安全</w:t>
      </w:r>
      <w:r w:rsidR="006C6F6D" w:rsidRPr="006C6F6D">
        <w:rPr>
          <w:rFonts w:ascii="Segoe UI" w:hAnsi="Segoe UI" w:cs="Segoe UI"/>
          <w:b/>
          <w:color w:val="000000"/>
        </w:rPr>
        <w:t>招标文件要求</w:t>
      </w:r>
      <w:r w:rsidRPr="005D060C">
        <w:rPr>
          <w:rFonts w:ascii="Segoe UI" w:hAnsi="Segoe UI" w:cs="Segoe UI"/>
          <w:color w:val="000000"/>
        </w:rPr>
        <w:t>。</w:t>
      </w:r>
    </w:p>
    <w:p w14:paraId="0662E636" w14:textId="6AA90AA7"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智能化调度：基于华为云</w:t>
      </w:r>
      <w:r w:rsidRPr="005D060C">
        <w:rPr>
          <w:rFonts w:ascii="Segoe UI" w:hAnsi="Segoe UI" w:cs="Segoe UI"/>
          <w:color w:val="000000"/>
        </w:rPr>
        <w:t>AI</w:t>
      </w:r>
      <w:r w:rsidRPr="005D060C">
        <w:rPr>
          <w:rFonts w:ascii="Segoe UI" w:hAnsi="Segoe UI" w:cs="Segoe UI"/>
          <w:color w:val="000000"/>
        </w:rPr>
        <w:t>算法构建动态资源调度模型，根据数据规模、网络质量自动优化迁移策略，实现带宽资源的高效利用与迁移效率的最大化。</w:t>
      </w:r>
    </w:p>
    <w:p w14:paraId="1B266A67" w14:textId="77777777"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可扩展性架构：方案设计充分考虑企业未来数据增长需求，支持千万级对象规模的并行迁移，且迁移架构可随业务发展无缝扩展。</w:t>
      </w:r>
    </w:p>
    <w:p w14:paraId="2BCCC185" w14:textId="77777777"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全流程可控：通过可视化迁移管理平台，提供实时迁移进度监控、异常告警及日志审计功能，确保迁移过程可追溯、可管理。</w:t>
      </w:r>
    </w:p>
    <w:p w14:paraId="6928C575" w14:textId="3F58BCE3" w:rsidR="005D060C" w:rsidRPr="005D060C" w:rsidRDefault="005D060C" w:rsidP="005D060C">
      <w:pPr>
        <w:pStyle w:val="6"/>
        <w:rPr>
          <w:rFonts w:hint="eastAsia"/>
        </w:rPr>
      </w:pPr>
      <w:r w:rsidRPr="005D060C">
        <w:rPr>
          <w:rFonts w:hint="eastAsia"/>
        </w:rPr>
        <w:t>技术架构说明</w:t>
      </w:r>
    </w:p>
    <w:p w14:paraId="5C2C17E8" w14:textId="1AB8CA52"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华为云对象存储迁移架构采用</w:t>
      </w:r>
      <w:r w:rsidRPr="005D060C">
        <w:rPr>
          <w:rFonts w:ascii="Segoe UI" w:hAnsi="Segoe UI" w:cs="Segoe UI"/>
          <w:color w:val="000000"/>
        </w:rPr>
        <w:t>“</w:t>
      </w:r>
      <w:r w:rsidRPr="005D060C">
        <w:rPr>
          <w:rFonts w:ascii="Segoe UI" w:hAnsi="Segoe UI" w:cs="Segoe UI"/>
          <w:color w:val="000000"/>
        </w:rPr>
        <w:t>三层协同</w:t>
      </w:r>
      <w:r w:rsidRPr="005D060C">
        <w:rPr>
          <w:rFonts w:ascii="Segoe UI" w:hAnsi="Segoe UI" w:cs="Segoe UI"/>
          <w:color w:val="000000"/>
        </w:rPr>
        <w:t>”</w:t>
      </w:r>
      <w:r w:rsidRPr="005D060C">
        <w:rPr>
          <w:rFonts w:ascii="Segoe UI" w:hAnsi="Segoe UI" w:cs="Segoe UI"/>
          <w:color w:val="000000"/>
        </w:rPr>
        <w:t>设计：</w:t>
      </w:r>
    </w:p>
    <w:p w14:paraId="229E0988" w14:textId="5DCB7F45" w:rsidR="005D060C" w:rsidRPr="005D060C" w:rsidRDefault="005D060C">
      <w:pPr>
        <w:pStyle w:val="a3"/>
        <w:numPr>
          <w:ilvl w:val="0"/>
          <w:numId w:val="93"/>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接入层：支持多样化数据源接入，包括第三方云存储</w:t>
      </w:r>
      <w:r w:rsidRPr="005D060C">
        <w:rPr>
          <w:rFonts w:ascii="Segoe UI" w:hAnsi="Segoe UI" w:cs="Segoe UI"/>
          <w:color w:val="000000"/>
        </w:rPr>
        <w:t>API</w:t>
      </w:r>
      <w:r w:rsidRPr="005D060C">
        <w:rPr>
          <w:rFonts w:ascii="Segoe UI" w:hAnsi="Segoe UI" w:cs="Segoe UI"/>
          <w:color w:val="000000"/>
        </w:rPr>
        <w:t>对接、专线直连、</w:t>
      </w:r>
      <w:r w:rsidRPr="005D060C">
        <w:rPr>
          <w:rFonts w:ascii="Segoe UI" w:hAnsi="Segoe UI" w:cs="Segoe UI"/>
          <w:color w:val="000000"/>
        </w:rPr>
        <w:t>VPN</w:t>
      </w:r>
      <w:r w:rsidRPr="005D060C">
        <w:rPr>
          <w:rFonts w:ascii="Segoe UI" w:hAnsi="Segoe UI" w:cs="Segoe UI"/>
          <w:color w:val="000000"/>
        </w:rPr>
        <w:t>加密通道等，适配不同网络环境下的迁移需求。</w:t>
      </w:r>
    </w:p>
    <w:p w14:paraId="23E06F9D" w14:textId="77777777" w:rsidR="005D060C" w:rsidRPr="005D060C" w:rsidRDefault="005D060C">
      <w:pPr>
        <w:pStyle w:val="a3"/>
        <w:numPr>
          <w:ilvl w:val="0"/>
          <w:numId w:val="93"/>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处理层：核心迁移引擎具备智能分片、断点续传、增量同步等功能，结合华为云分布式计算能力，实现海量数据的并行处理。特别针对大文件迁移优化传输协议，降低网络抖动影响。</w:t>
      </w:r>
    </w:p>
    <w:p w14:paraId="74269F44" w14:textId="05F82073" w:rsidR="005D060C" w:rsidRPr="005D060C" w:rsidRDefault="005D060C">
      <w:pPr>
        <w:pStyle w:val="a3"/>
        <w:numPr>
          <w:ilvl w:val="0"/>
          <w:numId w:val="93"/>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目标层：基于华为云</w:t>
      </w:r>
      <w:r w:rsidRPr="005D060C">
        <w:rPr>
          <w:rFonts w:ascii="Segoe UI" w:hAnsi="Segoe UI" w:cs="Segoe UI"/>
          <w:color w:val="000000"/>
        </w:rPr>
        <w:t>OBS</w:t>
      </w:r>
      <w:r w:rsidRPr="005D060C">
        <w:rPr>
          <w:rFonts w:ascii="Segoe UI" w:hAnsi="Segoe UI" w:cs="Segoe UI"/>
          <w:color w:val="000000"/>
        </w:rPr>
        <w:t>的分布式存储集群，提供高可用存储底座，支持迁移后数据的生命周期管理、智能分层及细粒度访问控制。</w:t>
      </w:r>
    </w:p>
    <w:p w14:paraId="08B8ED9D" w14:textId="14911311" w:rsidR="005D060C" w:rsidRPr="005D060C" w:rsidRDefault="005D060C" w:rsidP="005D060C">
      <w:pPr>
        <w:pStyle w:val="5"/>
        <w:rPr>
          <w:rFonts w:hint="eastAsia"/>
        </w:rPr>
      </w:pPr>
      <w:r w:rsidRPr="005D060C">
        <w:rPr>
          <w:rFonts w:hint="eastAsia"/>
        </w:rPr>
        <w:lastRenderedPageBreak/>
        <w:t>迁移实施全流程详解</w:t>
      </w:r>
    </w:p>
    <w:p w14:paraId="398067E4" w14:textId="63FFEFE4" w:rsidR="005D060C" w:rsidRPr="005D060C" w:rsidRDefault="005D060C" w:rsidP="005D060C">
      <w:pPr>
        <w:pStyle w:val="6"/>
        <w:rPr>
          <w:rFonts w:hint="eastAsia"/>
        </w:rPr>
      </w:pPr>
      <w:r w:rsidRPr="005D060C">
        <w:rPr>
          <w:rFonts w:hint="eastAsia"/>
        </w:rPr>
        <w:t>前期准备阶段</w:t>
      </w:r>
    </w:p>
    <w:p w14:paraId="0E1E7717" w14:textId="77777777" w:rsidR="005D060C" w:rsidRPr="005D060C" w:rsidRDefault="005D060C">
      <w:pPr>
        <w:pStyle w:val="a3"/>
        <w:numPr>
          <w:ilvl w:val="0"/>
          <w:numId w:val="9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环境评估与规划</w:t>
      </w:r>
    </w:p>
    <w:p w14:paraId="41CB57FD"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华为云技术团队将协同客户开展迁移前的全面评估，包括：</w:t>
      </w:r>
    </w:p>
    <w:p w14:paraId="30FB6C50" w14:textId="77777777" w:rsidR="005D060C" w:rsidRPr="005D060C" w:rsidRDefault="005D060C">
      <w:pPr>
        <w:pStyle w:val="a3"/>
        <w:numPr>
          <w:ilvl w:val="0"/>
          <w:numId w:val="9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源端存储环境调研：分析数据总量、对象数量、文件大小分布、访问频率等关键指标，识别迁移难点（如超大文件、海量小文件场景）。</w:t>
      </w:r>
    </w:p>
    <w:p w14:paraId="38770604" w14:textId="253DA9A9" w:rsidR="005D060C" w:rsidRPr="005D060C" w:rsidRDefault="005D060C">
      <w:pPr>
        <w:pStyle w:val="a3"/>
        <w:numPr>
          <w:ilvl w:val="0"/>
          <w:numId w:val="9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网络环境测试：评估源端与华为云之间的网络带宽、延迟及稳定性，推荐最优网络接入方案（如华为云专线</w:t>
      </w:r>
      <w:r w:rsidRPr="005D060C">
        <w:rPr>
          <w:rFonts w:ascii="Segoe UI" w:hAnsi="Segoe UI" w:cs="Segoe UI"/>
          <w:color w:val="000000"/>
        </w:rPr>
        <w:t>DC</w:t>
      </w:r>
      <w:r w:rsidRPr="005D060C">
        <w:rPr>
          <w:rFonts w:ascii="Segoe UI" w:hAnsi="Segoe UI" w:cs="Segoe UI"/>
          <w:color w:val="000000"/>
        </w:rPr>
        <w:t>、</w:t>
      </w:r>
      <w:r w:rsidRPr="005D060C">
        <w:rPr>
          <w:rFonts w:ascii="Segoe UI" w:hAnsi="Segoe UI" w:cs="Segoe UI"/>
          <w:color w:val="000000"/>
        </w:rPr>
        <w:t>VPN</w:t>
      </w:r>
      <w:r w:rsidRPr="005D060C">
        <w:rPr>
          <w:rFonts w:ascii="Segoe UI" w:hAnsi="Segoe UI" w:cs="Segoe UI"/>
          <w:color w:val="000000"/>
        </w:rPr>
        <w:t>或公网加速）。</w:t>
      </w:r>
    </w:p>
    <w:p w14:paraId="492E8FD5" w14:textId="77777777" w:rsidR="005D060C" w:rsidRPr="005D060C" w:rsidRDefault="005D060C">
      <w:pPr>
        <w:pStyle w:val="a3"/>
        <w:numPr>
          <w:ilvl w:val="0"/>
          <w:numId w:val="9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业务影响分析：梳理依赖存储的业务系统，制定迁移窗口期计划，确保核心业务在迁移过程中的连续性。</w:t>
      </w:r>
    </w:p>
    <w:p w14:paraId="1A50CA0E" w14:textId="77777777" w:rsidR="005D060C" w:rsidRPr="005D060C" w:rsidRDefault="005D060C">
      <w:pPr>
        <w:pStyle w:val="a3"/>
        <w:numPr>
          <w:ilvl w:val="0"/>
          <w:numId w:val="9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账号与权限配置</w:t>
      </w:r>
    </w:p>
    <w:p w14:paraId="28642F3D" w14:textId="77B4F44F" w:rsidR="005D060C" w:rsidRPr="005D060C" w:rsidRDefault="005D060C">
      <w:pPr>
        <w:pStyle w:val="a3"/>
        <w:numPr>
          <w:ilvl w:val="0"/>
          <w:numId w:val="96"/>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在华为云控制台创建</w:t>
      </w:r>
      <w:r w:rsidRPr="005D060C">
        <w:rPr>
          <w:rFonts w:ascii="Segoe UI" w:hAnsi="Segoe UI" w:cs="Segoe UI"/>
          <w:color w:val="000000"/>
        </w:rPr>
        <w:t>IAM</w:t>
      </w:r>
      <w:r w:rsidRPr="005D060C">
        <w:rPr>
          <w:rFonts w:ascii="Segoe UI" w:hAnsi="Segoe UI" w:cs="Segoe UI"/>
          <w:color w:val="000000"/>
        </w:rPr>
        <w:t>用户，分配对象存储迁移所需的权限策略，遵循最小权限原则。</w:t>
      </w:r>
    </w:p>
    <w:p w14:paraId="2674FAD3" w14:textId="648ACC9B" w:rsidR="005D060C" w:rsidRPr="005D060C" w:rsidRDefault="005D060C">
      <w:pPr>
        <w:pStyle w:val="a3"/>
        <w:numPr>
          <w:ilvl w:val="0"/>
          <w:numId w:val="96"/>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生成源端存储访问密钥（如</w:t>
      </w:r>
      <w:r w:rsidRPr="005D060C">
        <w:rPr>
          <w:rFonts w:ascii="Segoe UI" w:hAnsi="Segoe UI" w:cs="Segoe UI"/>
          <w:color w:val="000000"/>
        </w:rPr>
        <w:t>AWSIAM</w:t>
      </w:r>
      <w:r w:rsidRPr="005D060C">
        <w:rPr>
          <w:rFonts w:ascii="Segoe UI" w:hAnsi="Segoe UI" w:cs="Segoe UI"/>
          <w:color w:val="000000"/>
        </w:rPr>
        <w:t>密钥），并在华为云迁移管理平台完成密钥对接与权限验证，确保迁移工具具备源端数据读取权限。</w:t>
      </w:r>
    </w:p>
    <w:p w14:paraId="70C724F3" w14:textId="77777777" w:rsidR="005D060C" w:rsidRPr="005D060C" w:rsidRDefault="005D060C">
      <w:pPr>
        <w:pStyle w:val="a3"/>
        <w:numPr>
          <w:ilvl w:val="0"/>
          <w:numId w:val="9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目标存储桶规划</w:t>
      </w:r>
    </w:p>
    <w:p w14:paraId="22E1763D" w14:textId="6FAD941F" w:rsidR="005D060C" w:rsidRPr="005D060C" w:rsidRDefault="005D060C">
      <w:pPr>
        <w:pStyle w:val="a3"/>
        <w:numPr>
          <w:ilvl w:val="0"/>
          <w:numId w:val="97"/>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根据业务属性创建</w:t>
      </w:r>
      <w:r w:rsidRPr="005D060C">
        <w:rPr>
          <w:rFonts w:ascii="Segoe UI" w:hAnsi="Segoe UI" w:cs="Segoe UI"/>
          <w:color w:val="000000"/>
        </w:rPr>
        <w:t>OBS</w:t>
      </w:r>
      <w:r w:rsidRPr="005D060C">
        <w:rPr>
          <w:rFonts w:ascii="Segoe UI" w:hAnsi="Segoe UI" w:cs="Segoe UI"/>
          <w:color w:val="000000"/>
        </w:rPr>
        <w:t>存储桶，配置合适的存储类别（标准存储、低频访问存储等），优化存储成本。</w:t>
      </w:r>
    </w:p>
    <w:p w14:paraId="3E81D4A8" w14:textId="4DD84B54" w:rsidR="005D060C" w:rsidRPr="005D060C" w:rsidRDefault="005D060C">
      <w:pPr>
        <w:pStyle w:val="a3"/>
        <w:numPr>
          <w:ilvl w:val="0"/>
          <w:numId w:val="97"/>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设定存储桶访问策略、加密方式（支持服务器端加密</w:t>
      </w:r>
      <w:r w:rsidRPr="005D060C">
        <w:rPr>
          <w:rFonts w:ascii="Segoe UI" w:hAnsi="Segoe UI" w:cs="Segoe UI"/>
          <w:color w:val="000000"/>
        </w:rPr>
        <w:t>SSE-HCS</w:t>
      </w:r>
      <w:r w:rsidRPr="005D060C">
        <w:rPr>
          <w:rFonts w:ascii="Segoe UI" w:hAnsi="Segoe UI" w:cs="Segoe UI"/>
          <w:color w:val="000000"/>
        </w:rPr>
        <w:t>与客户端加密）及版本控制策略，满足数据安全与合规</w:t>
      </w:r>
      <w:r w:rsidR="006C6F6D" w:rsidRPr="006C6F6D">
        <w:rPr>
          <w:rFonts w:ascii="Segoe UI" w:hAnsi="Segoe UI" w:cs="Segoe UI"/>
          <w:b/>
          <w:color w:val="000000"/>
        </w:rPr>
        <w:t>招标文件要求</w:t>
      </w:r>
      <w:r w:rsidRPr="005D060C">
        <w:rPr>
          <w:rFonts w:ascii="Segoe UI" w:hAnsi="Segoe UI" w:cs="Segoe UI"/>
          <w:color w:val="000000"/>
        </w:rPr>
        <w:t>。</w:t>
      </w:r>
    </w:p>
    <w:p w14:paraId="15C80A59" w14:textId="08C25024" w:rsidR="005D060C" w:rsidRPr="005D060C" w:rsidRDefault="005D060C" w:rsidP="005D060C">
      <w:pPr>
        <w:pStyle w:val="6"/>
        <w:rPr>
          <w:rFonts w:hint="eastAsia"/>
        </w:rPr>
      </w:pPr>
      <w:r w:rsidRPr="005D060C">
        <w:rPr>
          <w:rFonts w:hint="eastAsia"/>
        </w:rPr>
        <w:t>迁移执行阶段</w:t>
      </w:r>
    </w:p>
    <w:p w14:paraId="3641BF97" w14:textId="77777777" w:rsidR="005D060C" w:rsidRPr="005D060C" w:rsidRDefault="005D060C">
      <w:pPr>
        <w:pStyle w:val="a3"/>
        <w:numPr>
          <w:ilvl w:val="0"/>
          <w:numId w:val="9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智能迁移任务创建</w:t>
      </w:r>
    </w:p>
    <w:p w14:paraId="135FD3BB" w14:textId="77777777"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登录华为云数据迁移服务控制台，进入对象存储迁移模块，按以下步骤操作：</w:t>
      </w:r>
    </w:p>
    <w:p w14:paraId="5E4A7889" w14:textId="7DB40185"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配置源端信息：选择源存储类型（如</w:t>
      </w:r>
      <w:r w:rsidRPr="005D060C">
        <w:rPr>
          <w:rFonts w:ascii="Segoe UI" w:hAnsi="Segoe UI" w:cs="Segoe UI"/>
          <w:color w:val="000000"/>
        </w:rPr>
        <w:t>AWSS3</w:t>
      </w:r>
      <w:r w:rsidRPr="005D060C">
        <w:rPr>
          <w:rFonts w:ascii="Segoe UI" w:hAnsi="Segoe UI" w:cs="Segoe UI"/>
          <w:color w:val="000000"/>
        </w:rPr>
        <w:t>），输入源存储桶域名、访问密钥及待迁移桶名称，可指定数据前缀实现部分数据迁移。</w:t>
      </w:r>
    </w:p>
    <w:p w14:paraId="69FF042C" w14:textId="2E8B89EE"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定义目标端参数：选择目标</w:t>
      </w:r>
      <w:r w:rsidRPr="005D060C">
        <w:rPr>
          <w:rFonts w:ascii="Segoe UI" w:hAnsi="Segoe UI" w:cs="Segoe UI"/>
          <w:color w:val="000000"/>
        </w:rPr>
        <w:t>OBS</w:t>
      </w:r>
      <w:r w:rsidRPr="005D060C">
        <w:rPr>
          <w:rFonts w:ascii="Segoe UI" w:hAnsi="Segoe UI" w:cs="Segoe UI"/>
          <w:color w:val="000000"/>
        </w:rPr>
        <w:t>存储桶地域、名称，支持自定义迁移路径前缀，确保数据按业务逻辑规整存储。</w:t>
      </w:r>
    </w:p>
    <w:p w14:paraId="774FF51B" w14:textId="77777777"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设定迁移策略：</w:t>
      </w:r>
    </w:p>
    <w:p w14:paraId="517B06F1" w14:textId="77777777" w:rsidR="005D060C" w:rsidRPr="005D060C" w:rsidRDefault="005D060C">
      <w:pPr>
        <w:pStyle w:val="a3"/>
        <w:numPr>
          <w:ilvl w:val="1"/>
          <w:numId w:val="99"/>
        </w:numPr>
        <w:shd w:val="clear" w:color="auto" w:fill="F9FAFB"/>
        <w:tabs>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带宽控制：可自定义迁移带宽上限，或启用智能带宽模式，系统根据网络状况动态调整，避免抢占业务带宽。</w:t>
      </w:r>
    </w:p>
    <w:p w14:paraId="77C62862" w14:textId="77777777" w:rsidR="005D060C" w:rsidRPr="005D060C" w:rsidRDefault="005D060C">
      <w:pPr>
        <w:pStyle w:val="a3"/>
        <w:numPr>
          <w:ilvl w:val="1"/>
          <w:numId w:val="99"/>
        </w:numPr>
        <w:shd w:val="clear" w:color="auto" w:fill="F9FAFB"/>
        <w:tabs>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并发控制：针对海量小文件场景，可优化每秒迁移文件数，平衡迁移效率与系</w:t>
      </w:r>
      <w:r w:rsidRPr="005D060C">
        <w:rPr>
          <w:rFonts w:ascii="Segoe UI" w:hAnsi="Segoe UI" w:cs="Segoe UI" w:hint="eastAsia"/>
          <w:color w:val="000000"/>
        </w:rPr>
        <w:lastRenderedPageBreak/>
        <w:t>统资源消耗。</w:t>
      </w:r>
    </w:p>
    <w:p w14:paraId="080839D5" w14:textId="716395ED" w:rsidR="005D060C" w:rsidRPr="005D060C" w:rsidRDefault="005D060C">
      <w:pPr>
        <w:pStyle w:val="a3"/>
        <w:numPr>
          <w:ilvl w:val="1"/>
          <w:numId w:val="99"/>
        </w:numPr>
        <w:shd w:val="clear" w:color="auto" w:fill="F9FAFB"/>
        <w:tabs>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覆盖策略：提供</w:t>
      </w:r>
      <w:r w:rsidRPr="005D060C">
        <w:rPr>
          <w:rFonts w:ascii="Segoe UI" w:hAnsi="Segoe UI" w:cs="Segoe UI"/>
          <w:color w:val="000000"/>
        </w:rPr>
        <w:t>“</w:t>
      </w:r>
      <w:r w:rsidRPr="005D060C">
        <w:rPr>
          <w:rFonts w:ascii="Segoe UI" w:hAnsi="Segoe UI" w:cs="Segoe UI"/>
          <w:color w:val="000000"/>
        </w:rPr>
        <w:t>不覆盖</w:t>
      </w:r>
      <w:r w:rsidRPr="005D060C">
        <w:rPr>
          <w:rFonts w:ascii="Segoe UI" w:hAnsi="Segoe UI" w:cs="Segoe UI"/>
          <w:color w:val="000000"/>
        </w:rPr>
        <w:t>”“</w:t>
      </w:r>
      <w:r w:rsidRPr="005D060C">
        <w:rPr>
          <w:rFonts w:ascii="Segoe UI" w:hAnsi="Segoe UI" w:cs="Segoe UI"/>
          <w:color w:val="000000"/>
        </w:rPr>
        <w:t>全量覆盖</w:t>
      </w:r>
      <w:r w:rsidRPr="005D060C">
        <w:rPr>
          <w:rFonts w:ascii="Segoe UI" w:hAnsi="Segoe UI" w:cs="Segoe UI"/>
          <w:color w:val="000000"/>
        </w:rPr>
        <w:t>”“</w:t>
      </w:r>
      <w:r w:rsidRPr="005D060C">
        <w:rPr>
          <w:rFonts w:ascii="Segoe UI" w:hAnsi="Segoe UI" w:cs="Segoe UI"/>
          <w:color w:val="000000"/>
        </w:rPr>
        <w:t>按修改时间覆盖</w:t>
      </w:r>
      <w:r w:rsidRPr="005D060C">
        <w:rPr>
          <w:rFonts w:ascii="Segoe UI" w:hAnsi="Segoe UI" w:cs="Segoe UI"/>
          <w:color w:val="000000"/>
        </w:rPr>
        <w:t>”</w:t>
      </w:r>
      <w:r w:rsidRPr="005D060C">
        <w:rPr>
          <w:rFonts w:ascii="Segoe UI" w:hAnsi="Segoe UI" w:cs="Segoe UI"/>
          <w:color w:val="000000"/>
        </w:rPr>
        <w:t>三种模式，默认按修改时间智能同步，确保目标端数据始终为最新版本。</w:t>
      </w:r>
    </w:p>
    <w:p w14:paraId="3E9F482B" w14:textId="77777777" w:rsidR="005D060C" w:rsidRPr="005D060C" w:rsidRDefault="005D060C">
      <w:pPr>
        <w:pStyle w:val="a3"/>
        <w:numPr>
          <w:ilvl w:val="0"/>
          <w:numId w:val="9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迁移任务调度与监控</w:t>
      </w:r>
    </w:p>
    <w:p w14:paraId="7FA05E67" w14:textId="77777777" w:rsidR="005D060C" w:rsidRPr="005D060C" w:rsidRDefault="005D060C">
      <w:pPr>
        <w:pStyle w:val="a3"/>
        <w:numPr>
          <w:ilvl w:val="0"/>
          <w:numId w:val="10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支持灵活的任务执行模式：立即执行、定时调度或周期性迁移（按小时、天、周设置），满足不同业务场景需求。</w:t>
      </w:r>
    </w:p>
    <w:p w14:paraId="46528BE1" w14:textId="622BBEA3" w:rsidR="005D060C" w:rsidRPr="005D060C" w:rsidRDefault="005D060C">
      <w:pPr>
        <w:pStyle w:val="a3"/>
        <w:numPr>
          <w:ilvl w:val="0"/>
          <w:numId w:val="10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通过迁移监控大屏实时查看迁移进度，包括已迁移数据量、剩余任务量、迁移速率、成功</w:t>
      </w:r>
      <w:r w:rsidRPr="005D060C">
        <w:rPr>
          <w:rFonts w:ascii="Segoe UI" w:hAnsi="Segoe UI" w:cs="Segoe UI"/>
          <w:color w:val="000000"/>
        </w:rPr>
        <w:t>/</w:t>
      </w:r>
      <w:r w:rsidRPr="005D060C">
        <w:rPr>
          <w:rFonts w:ascii="Segoe UI" w:hAnsi="Segoe UI" w:cs="Segoe UI"/>
          <w:color w:val="000000"/>
        </w:rPr>
        <w:t>失败任务数等指标。系统自动识别迁移异常（如网络中断、权限不足），并触发告警机制，支持断点续传自动恢复。</w:t>
      </w:r>
    </w:p>
    <w:p w14:paraId="67CD1752" w14:textId="0C4F1603" w:rsidR="005D060C" w:rsidRPr="005D060C" w:rsidRDefault="005D060C" w:rsidP="005D060C">
      <w:pPr>
        <w:pStyle w:val="6"/>
        <w:rPr>
          <w:rFonts w:hint="eastAsia"/>
        </w:rPr>
      </w:pPr>
      <w:r w:rsidRPr="005D060C">
        <w:rPr>
          <w:rFonts w:hint="eastAsia"/>
        </w:rPr>
        <w:t>数据一致性校验</w:t>
      </w:r>
    </w:p>
    <w:p w14:paraId="420483CC"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迁移任务完成后，华为云提供多层级校验机制确保数据完整性：</w:t>
      </w:r>
    </w:p>
    <w:p w14:paraId="42410F3D" w14:textId="64FE7EC5"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哈希值比对：自动计算源端与目标端对象的</w:t>
      </w:r>
      <w:r w:rsidRPr="005D060C">
        <w:rPr>
          <w:rFonts w:ascii="Segoe UI" w:hAnsi="Segoe UI" w:cs="Segoe UI"/>
          <w:color w:val="000000"/>
        </w:rPr>
        <w:t>MD5/SHA256</w:t>
      </w:r>
      <w:r w:rsidRPr="005D060C">
        <w:rPr>
          <w:rFonts w:ascii="Segoe UI" w:hAnsi="Segoe UI" w:cs="Segoe UI"/>
          <w:color w:val="000000"/>
        </w:rPr>
        <w:t>哈希值，逐对象比对校验，误差率控制在</w:t>
      </w:r>
      <w:r w:rsidRPr="005D060C">
        <w:rPr>
          <w:rFonts w:ascii="Segoe UI" w:hAnsi="Segoe UI" w:cs="Segoe UI"/>
          <w:color w:val="000000"/>
        </w:rPr>
        <w:t>0.0001%</w:t>
      </w:r>
      <w:r w:rsidRPr="005D060C">
        <w:rPr>
          <w:rFonts w:ascii="Segoe UI" w:hAnsi="Segoe UI" w:cs="Segoe UI"/>
          <w:color w:val="000000"/>
        </w:rPr>
        <w:t>以下。</w:t>
      </w:r>
    </w:p>
    <w:p w14:paraId="54F260BD" w14:textId="1252440E"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元数据校验：验证文件大小、修改时间、</w:t>
      </w:r>
      <w:r w:rsidRPr="005D060C">
        <w:rPr>
          <w:rFonts w:ascii="Segoe UI" w:hAnsi="Segoe UI" w:cs="Segoe UI"/>
          <w:color w:val="000000"/>
        </w:rPr>
        <w:t>Content-Type</w:t>
      </w:r>
      <w:r w:rsidRPr="005D060C">
        <w:rPr>
          <w:rFonts w:ascii="Segoe UI" w:hAnsi="Segoe UI" w:cs="Segoe UI"/>
          <w:color w:val="000000"/>
        </w:rPr>
        <w:t>等元数据一致性，针对异常对象生成详细差异报告。</w:t>
      </w:r>
    </w:p>
    <w:p w14:paraId="71761ABC" w14:textId="77777777"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抽样深度校验：按一定比例随机抽取迁移数据进行深度验证，结合业务场景测试数据可用性（如图片预览、视频播放、文件下载等）。</w:t>
      </w:r>
    </w:p>
    <w:p w14:paraId="5AEC8399" w14:textId="77777777"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增量同步校验：若迁移过程中有新数据写入源端，通过增量同步机制完成最终校验，确保迁移前后数据完全一致。</w:t>
      </w:r>
    </w:p>
    <w:p w14:paraId="3E81749A" w14:textId="3E952291" w:rsidR="005D060C" w:rsidRPr="005D060C" w:rsidRDefault="005D060C" w:rsidP="005D060C">
      <w:pPr>
        <w:pStyle w:val="5"/>
        <w:rPr>
          <w:rFonts w:hint="eastAsia"/>
        </w:rPr>
      </w:pPr>
      <w:r w:rsidRPr="005D060C">
        <w:rPr>
          <w:rFonts w:hint="eastAsia"/>
        </w:rPr>
        <w:t>迁移后验证与优化</w:t>
      </w:r>
    </w:p>
    <w:p w14:paraId="076300A1" w14:textId="407830FA" w:rsidR="005D060C" w:rsidRPr="005D060C" w:rsidRDefault="005D060C" w:rsidP="005D060C">
      <w:pPr>
        <w:pStyle w:val="6"/>
        <w:rPr>
          <w:rFonts w:hint="eastAsia"/>
        </w:rPr>
      </w:pPr>
      <w:r w:rsidRPr="005D060C">
        <w:rPr>
          <w:rFonts w:hint="eastAsia"/>
        </w:rPr>
        <w:t>业务系统验证</w:t>
      </w:r>
    </w:p>
    <w:p w14:paraId="7C1BDB4E" w14:textId="58A559B6"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协同客户对依赖</w:t>
      </w:r>
      <w:r w:rsidRPr="005D060C">
        <w:rPr>
          <w:rFonts w:ascii="Segoe UI" w:hAnsi="Segoe UI" w:cs="Segoe UI"/>
          <w:color w:val="000000"/>
        </w:rPr>
        <w:t>OBS</w:t>
      </w:r>
      <w:r w:rsidRPr="005D060C">
        <w:rPr>
          <w:rFonts w:ascii="Segoe UI" w:hAnsi="Segoe UI" w:cs="Segoe UI"/>
          <w:color w:val="000000"/>
        </w:rPr>
        <w:t>的业务系统进行全链路测试，包括数据读写性能测试、</w:t>
      </w:r>
      <w:r w:rsidRPr="005D060C">
        <w:rPr>
          <w:rFonts w:ascii="Segoe UI" w:hAnsi="Segoe UI" w:cs="Segoe UI"/>
          <w:color w:val="000000"/>
        </w:rPr>
        <w:t>API</w:t>
      </w:r>
      <w:r w:rsidRPr="005D060C">
        <w:rPr>
          <w:rFonts w:ascii="Segoe UI" w:hAnsi="Segoe UI" w:cs="Segoe UI"/>
          <w:color w:val="000000"/>
        </w:rPr>
        <w:t>接口兼容性验证、批量数据处理流程测试等，确保业务功能正常运行。</w:t>
      </w:r>
    </w:p>
    <w:p w14:paraId="53B92FBA" w14:textId="1C4B38E0"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特别关注因存储地址变更导致的配置调整（如应用代码中的存储端点</w:t>
      </w:r>
      <w:r w:rsidRPr="005D060C">
        <w:rPr>
          <w:rFonts w:ascii="Segoe UI" w:hAnsi="Segoe UI" w:cs="Segoe UI"/>
          <w:color w:val="000000"/>
        </w:rPr>
        <w:t>URL</w:t>
      </w:r>
      <w:r w:rsidRPr="005D060C">
        <w:rPr>
          <w:rFonts w:ascii="Segoe UI" w:hAnsi="Segoe UI" w:cs="Segoe UI"/>
          <w:color w:val="000000"/>
        </w:rPr>
        <w:t>更新、</w:t>
      </w:r>
      <w:r w:rsidRPr="005D060C">
        <w:rPr>
          <w:rFonts w:ascii="Segoe UI" w:hAnsi="Segoe UI" w:cs="Segoe UI"/>
          <w:color w:val="000000"/>
        </w:rPr>
        <w:t>DNS</w:t>
      </w:r>
      <w:r w:rsidRPr="005D060C">
        <w:rPr>
          <w:rFonts w:ascii="Segoe UI" w:hAnsi="Segoe UI" w:cs="Segoe UI"/>
          <w:color w:val="000000"/>
        </w:rPr>
        <w:t>解析配置修改等），提供详细的配置变更指南。</w:t>
      </w:r>
    </w:p>
    <w:p w14:paraId="0268DE19" w14:textId="77777777" w:rsidR="005D060C" w:rsidRPr="005D060C" w:rsidRDefault="005D060C" w:rsidP="005D060C">
      <w:pPr>
        <w:pStyle w:val="6"/>
        <w:rPr>
          <w:rFonts w:hint="eastAsia"/>
        </w:rPr>
      </w:pPr>
      <w:r w:rsidRPr="005D060C">
        <w:rPr>
          <w:rFonts w:hint="eastAsia"/>
        </w:rPr>
        <w:t>（二）性能优化与成本管理</w:t>
      </w:r>
    </w:p>
    <w:p w14:paraId="0C1D0B4D" w14:textId="19D3A802"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基于迁移后的数据访问模式，优化</w:t>
      </w:r>
      <w:r w:rsidRPr="005D060C">
        <w:rPr>
          <w:rFonts w:ascii="Segoe UI" w:hAnsi="Segoe UI" w:cs="Segoe UI"/>
          <w:color w:val="000000"/>
        </w:rPr>
        <w:t>OBS</w:t>
      </w:r>
      <w:r w:rsidRPr="005D060C">
        <w:rPr>
          <w:rFonts w:ascii="Segoe UI" w:hAnsi="Segoe UI" w:cs="Segoe UI"/>
          <w:color w:val="000000"/>
        </w:rPr>
        <w:t>存储层级（如将冷数据自动归档至</w:t>
      </w:r>
      <w:r w:rsidRPr="005D060C">
        <w:rPr>
          <w:rFonts w:ascii="Segoe UI" w:hAnsi="Segoe UI" w:cs="Segoe UI"/>
          <w:color w:val="000000"/>
        </w:rPr>
        <w:t>Glacier</w:t>
      </w:r>
      <w:r w:rsidRPr="005D060C">
        <w:rPr>
          <w:rFonts w:ascii="Segoe UI" w:hAnsi="Segoe UI" w:cs="Segoe UI"/>
          <w:color w:val="000000"/>
        </w:rPr>
        <w:t>存储类），降低存储成本。</w:t>
      </w:r>
    </w:p>
    <w:p w14:paraId="51472E83" w14:textId="412F4B9A"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启用华为云</w:t>
      </w:r>
      <w:r w:rsidRPr="005D060C">
        <w:rPr>
          <w:rFonts w:ascii="Segoe UI" w:hAnsi="Segoe UI" w:cs="Segoe UI"/>
          <w:color w:val="000000"/>
        </w:rPr>
        <w:t>OBS</w:t>
      </w:r>
      <w:r w:rsidRPr="005D060C">
        <w:rPr>
          <w:rFonts w:ascii="Segoe UI" w:hAnsi="Segoe UI" w:cs="Segoe UI"/>
          <w:color w:val="000000"/>
        </w:rPr>
        <w:t>的智能缓存、并行访问优化等功能，提升热点数据访问效率，确保业务系统性能不低于迁移前水平。</w:t>
      </w:r>
    </w:p>
    <w:p w14:paraId="32D04880" w14:textId="2B2E55F5" w:rsidR="005D060C" w:rsidRPr="005D060C" w:rsidRDefault="005D060C" w:rsidP="005D060C">
      <w:pPr>
        <w:pStyle w:val="6"/>
        <w:rPr>
          <w:rFonts w:hint="eastAsia"/>
        </w:rPr>
      </w:pPr>
      <w:r w:rsidRPr="005D060C">
        <w:rPr>
          <w:rFonts w:hint="eastAsia"/>
        </w:rPr>
        <w:lastRenderedPageBreak/>
        <w:t>灾备与运维体系衔接</w:t>
      </w:r>
    </w:p>
    <w:p w14:paraId="7B7A16C9" w14:textId="5B5F7BC0"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将迁移后的</w:t>
      </w:r>
      <w:r w:rsidRPr="005D060C">
        <w:rPr>
          <w:rFonts w:ascii="Segoe UI" w:hAnsi="Segoe UI" w:cs="Segoe UI"/>
          <w:color w:val="000000"/>
        </w:rPr>
        <w:t>OBS</w:t>
      </w:r>
      <w:r w:rsidRPr="005D060C">
        <w:rPr>
          <w:rFonts w:ascii="Segoe UI" w:hAnsi="Segoe UI" w:cs="Segoe UI"/>
          <w:color w:val="000000"/>
        </w:rPr>
        <w:t>存储桶接入华为云备份与恢复服务，配置定期备份策略，结合跨区域复制功能，构建异地灾备体系。</w:t>
      </w:r>
    </w:p>
    <w:p w14:paraId="15C91761" w14:textId="27272E1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对接华为云运维管理平台，设置存储容量告警、访问频率监控等指标，实现</w:t>
      </w:r>
      <w:r w:rsidRPr="005D060C">
        <w:rPr>
          <w:rFonts w:ascii="Segoe UI" w:hAnsi="Segoe UI" w:cs="Segoe UI"/>
          <w:color w:val="000000"/>
        </w:rPr>
        <w:t>OBS</w:t>
      </w:r>
      <w:r w:rsidRPr="005D060C">
        <w:rPr>
          <w:rFonts w:ascii="Segoe UI" w:hAnsi="Segoe UI" w:cs="Segoe UI"/>
          <w:color w:val="000000"/>
        </w:rPr>
        <w:t>服务的全生命周期智能运维。</w:t>
      </w:r>
    </w:p>
    <w:p w14:paraId="5E92AF8A" w14:textId="3B444608" w:rsidR="005D060C" w:rsidRPr="005D060C" w:rsidRDefault="005D060C" w:rsidP="005D060C">
      <w:pPr>
        <w:pStyle w:val="5"/>
        <w:rPr>
          <w:rFonts w:hint="eastAsia"/>
        </w:rPr>
      </w:pPr>
      <w:r w:rsidRPr="005D060C">
        <w:rPr>
          <w:rFonts w:hint="eastAsia"/>
        </w:rPr>
        <w:t>方案优势与保障措施</w:t>
      </w:r>
    </w:p>
    <w:p w14:paraId="3C653007" w14:textId="288EB4F0" w:rsidR="005D060C" w:rsidRPr="005D060C" w:rsidRDefault="005D060C" w:rsidP="005D060C">
      <w:pPr>
        <w:pStyle w:val="6"/>
        <w:rPr>
          <w:rFonts w:hint="eastAsia"/>
        </w:rPr>
      </w:pPr>
      <w:r w:rsidRPr="005D060C">
        <w:rPr>
          <w:rFonts w:hint="eastAsia"/>
        </w:rPr>
        <w:t>华为云核心优势</w:t>
      </w:r>
    </w:p>
    <w:p w14:paraId="10F04FCB" w14:textId="13E07601"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技术领先性：依托华为云自研的分布式存储架构，迁移性能较行业平均水平提升</w:t>
      </w:r>
      <w:r w:rsidRPr="005D060C">
        <w:rPr>
          <w:rFonts w:ascii="Segoe UI" w:hAnsi="Segoe UI" w:cs="Segoe UI"/>
          <w:color w:val="000000"/>
        </w:rPr>
        <w:t>30%</w:t>
      </w:r>
      <w:r w:rsidRPr="005D060C">
        <w:rPr>
          <w:rFonts w:ascii="Segoe UI" w:hAnsi="Segoe UI" w:cs="Segoe UI"/>
          <w:color w:val="000000"/>
        </w:rPr>
        <w:t>，支持单任务</w:t>
      </w:r>
      <w:r w:rsidRPr="005D060C">
        <w:rPr>
          <w:rFonts w:ascii="Segoe UI" w:hAnsi="Segoe UI" w:cs="Segoe UI"/>
          <w:color w:val="000000"/>
        </w:rPr>
        <w:t>PB</w:t>
      </w:r>
      <w:r w:rsidRPr="005D060C">
        <w:rPr>
          <w:rFonts w:ascii="Segoe UI" w:hAnsi="Segoe UI" w:cs="Segoe UI"/>
          <w:color w:val="000000"/>
        </w:rPr>
        <w:t>级数据迁移。</w:t>
      </w:r>
    </w:p>
    <w:p w14:paraId="6E31CAA7" w14:textId="31EFF5B8"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服务可靠性：提供</w:t>
      </w:r>
      <w:r w:rsidRPr="005D060C">
        <w:rPr>
          <w:rFonts w:ascii="Segoe UI" w:hAnsi="Segoe UI" w:cs="Segoe UI"/>
          <w:color w:val="000000"/>
        </w:rPr>
        <w:t>7×24</w:t>
      </w:r>
      <w:r w:rsidRPr="005D060C">
        <w:rPr>
          <w:rFonts w:ascii="Segoe UI" w:hAnsi="Segoe UI" w:cs="Segoe UI"/>
          <w:color w:val="000000"/>
        </w:rPr>
        <w:t>小时迁移技术支持，配备专业解决方案架构师全程跟进，确保迁移项目按计划交付。</w:t>
      </w:r>
    </w:p>
    <w:p w14:paraId="07385372"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生态兼容性：与华为云大数据、</w:t>
      </w:r>
      <w:r w:rsidRPr="005D060C">
        <w:rPr>
          <w:rFonts w:ascii="Segoe UI" w:hAnsi="Segoe UI" w:cs="Segoe UI"/>
          <w:color w:val="000000"/>
        </w:rPr>
        <w:t>AI</w:t>
      </w:r>
      <w:r w:rsidRPr="005D060C">
        <w:rPr>
          <w:rFonts w:ascii="Segoe UI" w:hAnsi="Segoe UI" w:cs="Segoe UI"/>
          <w:color w:val="000000"/>
        </w:rPr>
        <w:t>、容器服务等深度集成，迁移后数据可直接接入华为云全栈服务，释放数据价值。</w:t>
      </w:r>
    </w:p>
    <w:p w14:paraId="16E5E9C0" w14:textId="4F7900E3" w:rsidR="005D060C" w:rsidRPr="005D060C" w:rsidRDefault="005D060C" w:rsidP="005D060C">
      <w:pPr>
        <w:pStyle w:val="6"/>
        <w:rPr>
          <w:rFonts w:hint="eastAsia"/>
        </w:rPr>
      </w:pPr>
      <w:r w:rsidRPr="005D060C">
        <w:rPr>
          <w:rFonts w:hint="eastAsia"/>
        </w:rPr>
        <w:t>风险保障措施</w:t>
      </w:r>
    </w:p>
    <w:p w14:paraId="0D451A1C"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数据备份机制：迁移前对源端数据进行全量备份，迁移过程中保留源端数据直至校验完成，避免因迁移异常导致数据丢失。</w:t>
      </w:r>
    </w:p>
    <w:p w14:paraId="2F074FDB"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回滚预案：制定详细的回滚操作流程，若迁移后业务验证发现重大问题，可快速将业务切换回源端存储，保障业务连续性。</w:t>
      </w:r>
    </w:p>
    <w:p w14:paraId="468F5A6D" w14:textId="217FC03D"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合规性保障：方案符合</w:t>
      </w:r>
      <w:r w:rsidRPr="005D060C">
        <w:rPr>
          <w:rFonts w:ascii="Segoe UI" w:hAnsi="Segoe UI" w:cs="Segoe UI"/>
          <w:color w:val="000000"/>
        </w:rPr>
        <w:t>GDPR</w:t>
      </w:r>
      <w:r w:rsidRPr="005D060C">
        <w:rPr>
          <w:rFonts w:ascii="Segoe UI" w:hAnsi="Segoe UI" w:cs="Segoe UI"/>
          <w:color w:val="000000"/>
        </w:rPr>
        <w:t>、等保</w:t>
      </w:r>
      <w:r w:rsidRPr="005D060C">
        <w:rPr>
          <w:rFonts w:ascii="Segoe UI" w:hAnsi="Segoe UI" w:cs="Segoe UI"/>
          <w:color w:val="000000"/>
        </w:rPr>
        <w:t>2.0</w:t>
      </w:r>
      <w:r w:rsidRPr="005D060C">
        <w:rPr>
          <w:rFonts w:ascii="Segoe UI" w:hAnsi="Segoe UI" w:cs="Segoe UI"/>
          <w:color w:val="000000"/>
        </w:rPr>
        <w:t>、金融行业等相关合规</w:t>
      </w:r>
      <w:r w:rsidR="006C6F6D" w:rsidRPr="006C6F6D">
        <w:rPr>
          <w:rFonts w:ascii="Segoe UI" w:hAnsi="Segoe UI" w:cs="Segoe UI"/>
          <w:b/>
          <w:color w:val="000000"/>
        </w:rPr>
        <w:t>招标文件要求</w:t>
      </w:r>
      <w:r w:rsidRPr="005D060C">
        <w:rPr>
          <w:rFonts w:ascii="Segoe UI" w:hAnsi="Segoe UI" w:cs="Segoe UI"/>
          <w:color w:val="000000"/>
        </w:rPr>
        <w:t>，迁移过程中的数据传输与存储均满足加密与审计</w:t>
      </w:r>
      <w:r w:rsidR="006C6F6D" w:rsidRPr="006C6F6D">
        <w:rPr>
          <w:rFonts w:ascii="Segoe UI" w:hAnsi="Segoe UI" w:cs="Segoe UI"/>
          <w:b/>
          <w:color w:val="000000"/>
        </w:rPr>
        <w:t>招标文件要求</w:t>
      </w:r>
      <w:r w:rsidRPr="005D060C">
        <w:rPr>
          <w:rFonts w:ascii="Segoe UI" w:hAnsi="Segoe UI" w:cs="Segoe UI"/>
          <w:color w:val="000000"/>
        </w:rPr>
        <w:t>。</w:t>
      </w:r>
    </w:p>
    <w:p w14:paraId="3494A07B" w14:textId="048CE796" w:rsidR="00007C57"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通过以上全流程方案设计，华为云致力于为客户提供从评估、迁移到运维的一站式对象存储迁移服务，助力企业数据架构向云原生转型，充分释放云计算的技术红利。</w:t>
      </w:r>
    </w:p>
    <w:p w14:paraId="6E75DA33" w14:textId="77777777" w:rsidR="00007C57" w:rsidRDefault="00007C57" w:rsidP="00007C57">
      <w:pPr>
        <w:pStyle w:val="4"/>
        <w:rPr>
          <w:rFonts w:hint="eastAsia"/>
        </w:rPr>
      </w:pPr>
      <w:r>
        <w:rPr>
          <w:rFonts w:hint="eastAsia"/>
        </w:rPr>
        <w:t>文件存储迁移方案</w:t>
      </w:r>
    </w:p>
    <w:p w14:paraId="41124A2A" w14:textId="5D655606"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数字化转型进程中，企业对文件存储系统的迁移需求日益凸显，华为云基于自身技术架构与服务体系，为用户提供一套完整、高效且安全的文件存储迁移方案。该方案聚焦于将异构平台的文件存储数据平滑迁移至华为云文件存储服务，充分考虑业务连续性、数据完整性及系统扩展性，确保迁移过程对现有业务影响最小化，同时满足企业对存储服务高性能、高可用的</w:t>
      </w:r>
      <w:r w:rsidR="006C6F6D" w:rsidRPr="006C6F6D">
        <w:rPr>
          <w:rFonts w:ascii="Segoe UI" w:hAnsi="Segoe UI" w:cs="Segoe UI" w:hint="eastAsia"/>
          <w:b/>
          <w:color w:val="000000"/>
        </w:rPr>
        <w:t>招标文件要求</w:t>
      </w:r>
      <w:r w:rsidRPr="005D060C">
        <w:rPr>
          <w:rFonts w:ascii="Segoe UI" w:hAnsi="Segoe UI" w:cs="Segoe UI" w:hint="eastAsia"/>
          <w:color w:val="000000"/>
        </w:rPr>
        <w:t>。</w:t>
      </w:r>
    </w:p>
    <w:p w14:paraId="75B3F8A2" w14:textId="77777777" w:rsidR="005D060C" w:rsidRPr="005D060C" w:rsidRDefault="005D060C" w:rsidP="005D060C">
      <w:pPr>
        <w:pStyle w:val="5"/>
        <w:rPr>
          <w:rFonts w:hint="eastAsia"/>
        </w:rPr>
      </w:pPr>
      <w:r w:rsidRPr="005D060C">
        <w:rPr>
          <w:rFonts w:hint="eastAsia"/>
        </w:rPr>
        <w:lastRenderedPageBreak/>
        <w:t>方案整体架构设计</w:t>
      </w:r>
    </w:p>
    <w:p w14:paraId="145654B7" w14:textId="0ED21E61"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华为云文件存储迁移方案采用</w:t>
      </w:r>
      <w:r w:rsidRPr="005D060C">
        <w:rPr>
          <w:rFonts w:ascii="Segoe UI" w:hAnsi="Segoe UI" w:cs="Segoe UI"/>
          <w:color w:val="000000"/>
        </w:rPr>
        <w:t>“</w:t>
      </w:r>
      <w:r w:rsidRPr="005D060C">
        <w:rPr>
          <w:rFonts w:ascii="Segoe UI" w:hAnsi="Segoe UI" w:cs="Segoe UI"/>
          <w:color w:val="000000"/>
        </w:rPr>
        <w:t>中转节点</w:t>
      </w:r>
      <w:r w:rsidRPr="005D060C">
        <w:rPr>
          <w:rFonts w:ascii="Segoe UI" w:hAnsi="Segoe UI" w:cs="Segoe UI"/>
          <w:color w:val="000000"/>
        </w:rPr>
        <w:t>+</w:t>
      </w:r>
      <w:r w:rsidRPr="005D060C">
        <w:rPr>
          <w:rFonts w:ascii="Segoe UI" w:hAnsi="Segoe UI" w:cs="Segoe UI"/>
          <w:color w:val="000000"/>
        </w:rPr>
        <w:t>专业工具</w:t>
      </w:r>
      <w:r w:rsidRPr="005D060C">
        <w:rPr>
          <w:rFonts w:ascii="Segoe UI" w:hAnsi="Segoe UI" w:cs="Segoe UI"/>
          <w:color w:val="000000"/>
        </w:rPr>
        <w:t>”</w:t>
      </w:r>
      <w:r w:rsidRPr="005D060C">
        <w:rPr>
          <w:rFonts w:ascii="Segoe UI" w:hAnsi="Segoe UI" w:cs="Segoe UI"/>
          <w:color w:val="000000"/>
        </w:rPr>
        <w:t>的双层架构设计。首先通过华为云弹性云服务器（</w:t>
      </w:r>
      <w:r w:rsidRPr="005D060C">
        <w:rPr>
          <w:rFonts w:ascii="Segoe UI" w:hAnsi="Segoe UI" w:cs="Segoe UI"/>
          <w:color w:val="000000"/>
        </w:rPr>
        <w:t>ECS</w:t>
      </w:r>
      <w:r w:rsidRPr="005D060C">
        <w:rPr>
          <w:rFonts w:ascii="Segoe UI" w:hAnsi="Segoe UI" w:cs="Segoe UI"/>
          <w:color w:val="000000"/>
        </w:rPr>
        <w:t>）构建专用数据迁移中转节点，该节点部署于与源存储及目标存储均具备良好网络连通性的虚拟私有云（</w:t>
      </w:r>
      <w:r w:rsidRPr="005D060C">
        <w:rPr>
          <w:rFonts w:ascii="Segoe UI" w:hAnsi="Segoe UI" w:cs="Segoe UI"/>
          <w:color w:val="000000"/>
        </w:rPr>
        <w:t>VPC</w:t>
      </w:r>
      <w:r w:rsidRPr="005D060C">
        <w:rPr>
          <w:rFonts w:ascii="Segoe UI" w:hAnsi="Segoe UI" w:cs="Segoe UI"/>
          <w:color w:val="000000"/>
        </w:rPr>
        <w:t>）内，避免因网络瓶颈影响迁移效率。在工具层面，结合华为云存储特性，采用自研迁移工具与开源技术相结合的方式，针对不同规模、不同类型的文件数据提供差异化迁移策略。对于中小规模文件迁移，可直接使用系统内置工具实现高效传输；对于</w:t>
      </w:r>
      <w:r w:rsidRPr="005D060C">
        <w:rPr>
          <w:rFonts w:ascii="Segoe UI" w:hAnsi="Segoe UI" w:cs="Segoe UI"/>
          <w:color w:val="000000"/>
        </w:rPr>
        <w:t>PB</w:t>
      </w:r>
      <w:r w:rsidRPr="005D060C">
        <w:rPr>
          <w:rFonts w:ascii="Segoe UI" w:hAnsi="Segoe UI" w:cs="Segoe UI"/>
          <w:color w:val="000000"/>
        </w:rPr>
        <w:t>级大规模文件集群迁移，则启用华为云分布式迁移引擎，通过并行处理架构提升整体迁移效</w:t>
      </w:r>
      <w:r w:rsidRPr="005D060C">
        <w:rPr>
          <w:rFonts w:ascii="Segoe UI" w:hAnsi="Segoe UI" w:cs="Segoe UI" w:hint="eastAsia"/>
          <w:color w:val="000000"/>
        </w:rPr>
        <w:t>能。</w:t>
      </w:r>
    </w:p>
    <w:p w14:paraId="4EFCBFAE" w14:textId="77777777" w:rsidR="005D060C" w:rsidRPr="005D060C" w:rsidRDefault="005D060C" w:rsidP="001D7AAE">
      <w:pPr>
        <w:pStyle w:val="5"/>
        <w:rPr>
          <w:rFonts w:hint="eastAsia"/>
        </w:rPr>
      </w:pPr>
      <w:r w:rsidRPr="005D060C">
        <w:rPr>
          <w:rFonts w:hint="eastAsia"/>
        </w:rPr>
        <w:t>迁移前准备工作</w:t>
      </w:r>
    </w:p>
    <w:p w14:paraId="51524FD3" w14:textId="77777777" w:rsidR="005D060C" w:rsidRPr="005D060C" w:rsidRDefault="005D060C" w:rsidP="001D7AAE">
      <w:pPr>
        <w:pStyle w:val="6"/>
        <w:rPr>
          <w:rFonts w:hint="eastAsia"/>
        </w:rPr>
      </w:pPr>
      <w:r w:rsidRPr="005D060C">
        <w:rPr>
          <w:rFonts w:hint="eastAsia"/>
        </w:rPr>
        <w:t>环境评估与规划</w:t>
      </w:r>
    </w:p>
    <w:p w14:paraId="5DCD34C8" w14:textId="17E38EA0"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迁移实施前需完成全面的环境评估，包括源存储系统的硬件配置、文件系统类型、数据总量、文件数量及访问频率等关键指标的采集。通过华为云存储评估工具对源数据进行深度分析，生成包含存储容量预测、性能瓶颈点、迁移耗时估算的详细评估报告。根据报告结果规划目标存储架构，选择华为云文件存储</w:t>
      </w:r>
      <w:r w:rsidRPr="005D060C">
        <w:rPr>
          <w:rFonts w:ascii="Segoe UI" w:hAnsi="Segoe UI" w:cs="Segoe UI"/>
          <w:color w:val="000000"/>
        </w:rPr>
        <w:t>SFS</w:t>
      </w:r>
      <w:r w:rsidRPr="005D060C">
        <w:rPr>
          <w:rFonts w:ascii="Segoe UI" w:hAnsi="Segoe UI" w:cs="Segoe UI"/>
          <w:color w:val="000000"/>
        </w:rPr>
        <w:t>的合适类型，如通用型、性能型或容量型，确保目标存储的性能指标（如吞吐量、</w:t>
      </w:r>
      <w:r w:rsidRPr="005D060C">
        <w:rPr>
          <w:rFonts w:ascii="Segoe UI" w:hAnsi="Segoe UI" w:cs="Segoe UI"/>
          <w:color w:val="000000"/>
        </w:rPr>
        <w:t>IOPS</w:t>
      </w:r>
      <w:r w:rsidRPr="005D060C">
        <w:rPr>
          <w:rFonts w:ascii="Segoe UI" w:hAnsi="Segoe UI" w:cs="Segoe UI"/>
          <w:color w:val="000000"/>
        </w:rPr>
        <w:t>）与业务需求精准匹配。同时，规划</w:t>
      </w:r>
      <w:r w:rsidRPr="005D060C">
        <w:rPr>
          <w:rFonts w:ascii="Segoe UI" w:hAnsi="Segoe UI" w:cs="Segoe UI"/>
          <w:color w:val="000000"/>
        </w:rPr>
        <w:t>ECS</w:t>
      </w:r>
      <w:r w:rsidRPr="005D060C">
        <w:rPr>
          <w:rFonts w:ascii="Segoe UI" w:hAnsi="Segoe UI" w:cs="Segoe UI"/>
          <w:color w:val="000000"/>
        </w:rPr>
        <w:t>中转节点的配置，建议选择计算能力强劲、内存充足的实例类型，如</w:t>
      </w:r>
      <w:r w:rsidRPr="005D060C">
        <w:rPr>
          <w:rFonts w:ascii="Segoe UI" w:hAnsi="Segoe UI" w:cs="Segoe UI"/>
          <w:color w:val="000000"/>
        </w:rPr>
        <w:t>c7</w:t>
      </w:r>
      <w:r w:rsidRPr="005D060C">
        <w:rPr>
          <w:rFonts w:ascii="Segoe UI" w:hAnsi="Segoe UI" w:cs="Segoe UI"/>
          <w:color w:val="000000"/>
        </w:rPr>
        <w:t>系列云服务器，搭配高带宽弹性公网</w:t>
      </w:r>
      <w:r w:rsidRPr="005D060C">
        <w:rPr>
          <w:rFonts w:ascii="Segoe UI" w:hAnsi="Segoe UI" w:cs="Segoe UI"/>
          <w:color w:val="000000"/>
        </w:rPr>
        <w:t>IP</w:t>
      </w:r>
      <w:r w:rsidRPr="005D060C">
        <w:rPr>
          <w:rFonts w:ascii="Segoe UI" w:hAnsi="Segoe UI" w:cs="Segoe UI"/>
          <w:color w:val="000000"/>
        </w:rPr>
        <w:t>，</w:t>
      </w:r>
      <w:r w:rsidRPr="005D060C">
        <w:rPr>
          <w:rFonts w:ascii="Segoe UI" w:hAnsi="Segoe UI" w:cs="Segoe UI" w:hint="eastAsia"/>
          <w:color w:val="000000"/>
        </w:rPr>
        <w:t>避免因中转节点性能不足导致迁移效率受限。</w:t>
      </w:r>
    </w:p>
    <w:p w14:paraId="246EC269" w14:textId="77777777" w:rsidR="005D060C" w:rsidRPr="005D060C" w:rsidRDefault="005D060C" w:rsidP="001D7AAE">
      <w:pPr>
        <w:pStyle w:val="6"/>
        <w:rPr>
          <w:rFonts w:hint="eastAsia"/>
        </w:rPr>
      </w:pPr>
      <w:r w:rsidRPr="005D060C">
        <w:rPr>
          <w:rFonts w:hint="eastAsia"/>
        </w:rPr>
        <w:t>网络与权限配置</w:t>
      </w:r>
    </w:p>
    <w:p w14:paraId="4825033F" w14:textId="5FCC9B00"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在华为云控制台创建专属迁移</w:t>
      </w:r>
      <w:r w:rsidRPr="005D060C">
        <w:rPr>
          <w:rFonts w:ascii="Segoe UI" w:hAnsi="Segoe UI" w:cs="Segoe UI"/>
          <w:color w:val="000000"/>
        </w:rPr>
        <w:t>VPC</w:t>
      </w:r>
      <w:r w:rsidRPr="005D060C">
        <w:rPr>
          <w:rFonts w:ascii="Segoe UI" w:hAnsi="Segoe UI" w:cs="Segoe UI"/>
          <w:color w:val="000000"/>
        </w:rPr>
        <w:t>，确保该</w:t>
      </w:r>
      <w:r w:rsidRPr="005D060C">
        <w:rPr>
          <w:rFonts w:ascii="Segoe UI" w:hAnsi="Segoe UI" w:cs="Segoe UI"/>
          <w:color w:val="000000"/>
        </w:rPr>
        <w:t>VPC</w:t>
      </w:r>
      <w:r w:rsidRPr="005D060C">
        <w:rPr>
          <w:rFonts w:ascii="Segoe UI" w:hAnsi="Segoe UI" w:cs="Segoe UI"/>
          <w:color w:val="000000"/>
        </w:rPr>
        <w:t>与源存储所在网络具备稳定的网络连接。若源存储位于本地数据中心，可通过华为云专线接入（</w:t>
      </w:r>
      <w:r w:rsidRPr="005D060C">
        <w:rPr>
          <w:rFonts w:ascii="Segoe UI" w:hAnsi="Segoe UI" w:cs="Segoe UI"/>
          <w:color w:val="000000"/>
        </w:rPr>
        <w:t>DC</w:t>
      </w:r>
      <w:r w:rsidRPr="005D060C">
        <w:rPr>
          <w:rFonts w:ascii="Segoe UI" w:hAnsi="Segoe UI" w:cs="Segoe UI"/>
          <w:color w:val="000000"/>
        </w:rPr>
        <w:t>）或</w:t>
      </w:r>
      <w:r w:rsidRPr="005D060C">
        <w:rPr>
          <w:rFonts w:ascii="Segoe UI" w:hAnsi="Segoe UI" w:cs="Segoe UI"/>
          <w:color w:val="000000"/>
        </w:rPr>
        <w:t>VPN</w:t>
      </w:r>
      <w:r w:rsidRPr="005D060C">
        <w:rPr>
          <w:rFonts w:ascii="Segoe UI" w:hAnsi="Segoe UI" w:cs="Segoe UI"/>
          <w:color w:val="000000"/>
        </w:rPr>
        <w:t>网关建立加密通道，保障数据传输过程中的安全性与稳定性。在中转节点上配置安全组规则，开放源存储与目标存储的访问端口，同时遵循最小权限原则，限制非必要端口的对外暴露。针对</w:t>
      </w:r>
      <w:r w:rsidRPr="005D060C">
        <w:rPr>
          <w:rFonts w:ascii="Segoe UI" w:hAnsi="Segoe UI" w:cs="Segoe UI"/>
          <w:color w:val="000000"/>
        </w:rPr>
        <w:t>NFS</w:t>
      </w:r>
      <w:r w:rsidRPr="005D060C">
        <w:rPr>
          <w:rFonts w:ascii="Segoe UI" w:hAnsi="Segoe UI" w:cs="Segoe UI"/>
          <w:color w:val="000000"/>
        </w:rPr>
        <w:t>协议场景，需在目标文件存储</w:t>
      </w:r>
      <w:r w:rsidRPr="005D060C">
        <w:rPr>
          <w:rFonts w:ascii="Segoe UI" w:hAnsi="Segoe UI" w:cs="Segoe UI"/>
          <w:color w:val="000000"/>
        </w:rPr>
        <w:t>SFS</w:t>
      </w:r>
      <w:r w:rsidRPr="005D060C">
        <w:rPr>
          <w:rFonts w:ascii="Segoe UI" w:hAnsi="Segoe UI" w:cs="Segoe UI"/>
          <w:color w:val="000000"/>
        </w:rPr>
        <w:t>中预先创建与源存储一致的文件系统挂载点，设置匹配的访问权限策略，包括客户端白名单、读写权限控制等，确保迁移后业务系统可正常访问新存储。</w:t>
      </w:r>
    </w:p>
    <w:p w14:paraId="4EFA5E34" w14:textId="77777777" w:rsidR="005D060C" w:rsidRPr="005D060C" w:rsidRDefault="005D060C" w:rsidP="001D7AAE">
      <w:pPr>
        <w:pStyle w:val="5"/>
        <w:rPr>
          <w:rFonts w:hint="eastAsia"/>
        </w:rPr>
      </w:pPr>
      <w:r w:rsidRPr="005D060C">
        <w:rPr>
          <w:rFonts w:hint="eastAsia"/>
        </w:rPr>
        <w:t>数据迁移实施流程</w:t>
      </w:r>
    </w:p>
    <w:p w14:paraId="75FCD451" w14:textId="77777777" w:rsidR="005D060C" w:rsidRPr="005D060C" w:rsidRDefault="005D060C" w:rsidP="001D7AAE">
      <w:pPr>
        <w:pStyle w:val="6"/>
        <w:rPr>
          <w:rFonts w:hint="eastAsia"/>
        </w:rPr>
      </w:pPr>
      <w:r w:rsidRPr="005D060C">
        <w:rPr>
          <w:rFonts w:hint="eastAsia"/>
        </w:rPr>
        <w:t>中转节点部署与工具安装</w:t>
      </w:r>
    </w:p>
    <w:p w14:paraId="7F6A290C" w14:textId="34E939B1"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在华为云控制台完成</w:t>
      </w:r>
      <w:r w:rsidRPr="005D060C">
        <w:rPr>
          <w:rFonts w:ascii="Segoe UI" w:hAnsi="Segoe UI" w:cs="Segoe UI"/>
          <w:color w:val="000000"/>
        </w:rPr>
        <w:t>ECS</w:t>
      </w:r>
      <w:r w:rsidRPr="005D060C">
        <w:rPr>
          <w:rFonts w:ascii="Segoe UI" w:hAnsi="Segoe UI" w:cs="Segoe UI"/>
          <w:color w:val="000000"/>
        </w:rPr>
        <w:t>中转节点的创建，选择与源存储系统兼容的操作系统（如</w:t>
      </w:r>
      <w:r w:rsidRPr="005D060C">
        <w:rPr>
          <w:rFonts w:ascii="Segoe UI" w:hAnsi="Segoe UI" w:cs="Segoe UI"/>
          <w:color w:val="000000"/>
        </w:rPr>
        <w:t>CentOS8</w:t>
      </w:r>
      <w:r w:rsidRPr="005D060C">
        <w:rPr>
          <w:rFonts w:ascii="Segoe UI" w:hAnsi="Segoe UI" w:cs="Segoe UI"/>
          <w:color w:val="000000"/>
        </w:rPr>
        <w:t>或</w:t>
      </w:r>
      <w:r w:rsidRPr="005D060C">
        <w:rPr>
          <w:rFonts w:ascii="Segoe UI" w:hAnsi="Segoe UI" w:cs="Segoe UI"/>
          <w:color w:val="000000"/>
        </w:rPr>
        <w:t>Ubuntu20.04</w:t>
      </w:r>
      <w:r w:rsidRPr="005D060C">
        <w:rPr>
          <w:rFonts w:ascii="Segoe UI" w:hAnsi="Segoe UI" w:cs="Segoe UI"/>
          <w:color w:val="000000"/>
        </w:rPr>
        <w:t>），并为节点挂载高性能数据盘以缓存迁移过程中的临时数据。登录中转节点后，根据数据规模选择迁移工具的部署方式：对于常规迁移任务，直接通过包管理器安装</w:t>
      </w:r>
      <w:proofErr w:type="spellStart"/>
      <w:r w:rsidRPr="005D060C">
        <w:rPr>
          <w:rFonts w:ascii="Segoe UI" w:hAnsi="Segoe UI" w:cs="Segoe UI"/>
          <w:color w:val="000000"/>
        </w:rPr>
        <w:t>rsync</w:t>
      </w:r>
      <w:proofErr w:type="spellEnd"/>
      <w:r w:rsidRPr="005D060C">
        <w:rPr>
          <w:rFonts w:ascii="Segoe UI" w:hAnsi="Segoe UI" w:cs="Segoe UI"/>
          <w:color w:val="000000"/>
        </w:rPr>
        <w:t>工具，执行</w:t>
      </w:r>
      <w:r w:rsidRPr="005D060C">
        <w:rPr>
          <w:rFonts w:ascii="Segoe UI" w:hAnsi="Segoe UI" w:cs="Segoe UI"/>
          <w:color w:val="000000"/>
        </w:rPr>
        <w:t>“</w:t>
      </w:r>
      <w:proofErr w:type="spellStart"/>
      <w:r w:rsidRPr="005D060C">
        <w:rPr>
          <w:rFonts w:ascii="Segoe UI" w:hAnsi="Segoe UI" w:cs="Segoe UI"/>
          <w:color w:val="000000"/>
        </w:rPr>
        <w:t>yuminstallrsync</w:t>
      </w:r>
      <w:proofErr w:type="spellEnd"/>
      <w:r w:rsidRPr="005D060C">
        <w:rPr>
          <w:rFonts w:ascii="Segoe UI" w:hAnsi="Segoe UI" w:cs="Segoe UI"/>
          <w:color w:val="000000"/>
        </w:rPr>
        <w:t>”</w:t>
      </w:r>
      <w:r w:rsidRPr="005D060C">
        <w:rPr>
          <w:rFonts w:ascii="Segoe UI" w:hAnsi="Segoe UI" w:cs="Segoe UI"/>
          <w:color w:val="000000"/>
        </w:rPr>
        <w:t>或</w:t>
      </w:r>
      <w:r w:rsidRPr="005D060C">
        <w:rPr>
          <w:rFonts w:ascii="Segoe UI" w:hAnsi="Segoe UI" w:cs="Segoe UI"/>
          <w:color w:val="000000"/>
        </w:rPr>
        <w:t>“apt-</w:t>
      </w:r>
      <w:proofErr w:type="spellStart"/>
      <w:r w:rsidRPr="005D060C">
        <w:rPr>
          <w:rFonts w:ascii="Segoe UI" w:hAnsi="Segoe UI" w:cs="Segoe UI"/>
          <w:color w:val="000000"/>
        </w:rPr>
        <w:t>getinstallrsync</w:t>
      </w:r>
      <w:proofErr w:type="spellEnd"/>
      <w:r w:rsidRPr="005D060C">
        <w:rPr>
          <w:rFonts w:ascii="Segoe UI" w:hAnsi="Segoe UI" w:cs="Segoe UI"/>
          <w:color w:val="000000"/>
        </w:rPr>
        <w:t>”</w:t>
      </w:r>
      <w:r w:rsidRPr="005D060C">
        <w:rPr>
          <w:rFonts w:ascii="Segoe UI" w:hAnsi="Segoe UI" w:cs="Segoe UI"/>
          <w:color w:val="000000"/>
        </w:rPr>
        <w:t>命令完成安装；对于大</w:t>
      </w:r>
      <w:r w:rsidRPr="005D060C">
        <w:rPr>
          <w:rFonts w:ascii="Segoe UI" w:hAnsi="Segoe UI" w:cs="Segoe UI"/>
          <w:color w:val="000000"/>
        </w:rPr>
        <w:lastRenderedPageBreak/>
        <w:t>规模并发迁移场景，需下载并部署华为云分布式迁移工具包，该工具基于</w:t>
      </w:r>
      <w:r w:rsidRPr="005D060C">
        <w:rPr>
          <w:rFonts w:ascii="Segoe UI" w:hAnsi="Segoe UI" w:cs="Segoe UI"/>
          <w:color w:val="000000"/>
        </w:rPr>
        <w:t>Java</w:t>
      </w:r>
      <w:r w:rsidRPr="005D060C">
        <w:rPr>
          <w:rFonts w:ascii="Segoe UI" w:hAnsi="Segoe UI" w:cs="Segoe UI"/>
          <w:color w:val="000000"/>
        </w:rPr>
        <w:t>开发，可通过图形化界面或命</w:t>
      </w:r>
      <w:r w:rsidRPr="005D060C">
        <w:rPr>
          <w:rFonts w:ascii="Segoe UI" w:hAnsi="Segoe UI" w:cs="Segoe UI" w:hint="eastAsia"/>
          <w:color w:val="000000"/>
        </w:rPr>
        <w:t>令行方式启动，支持多线程并行处理与断点续传功能。</w:t>
      </w:r>
    </w:p>
    <w:p w14:paraId="26B5BADB" w14:textId="77777777" w:rsidR="005D060C" w:rsidRPr="005D060C" w:rsidRDefault="005D060C" w:rsidP="001D7AAE">
      <w:pPr>
        <w:pStyle w:val="6"/>
        <w:rPr>
          <w:rFonts w:hint="eastAsia"/>
        </w:rPr>
      </w:pPr>
      <w:r w:rsidRPr="005D060C">
        <w:rPr>
          <w:rFonts w:hint="eastAsia"/>
        </w:rPr>
        <w:t>数据迁移执行策略</w:t>
      </w:r>
    </w:p>
    <w:p w14:paraId="24CE2306" w14:textId="77777777" w:rsidR="005D060C" w:rsidRPr="005D060C" w:rsidRDefault="005D060C" w:rsidP="001D7AAE">
      <w:pPr>
        <w:pStyle w:val="7"/>
        <w:rPr>
          <w:rFonts w:hint="eastAsia"/>
        </w:rPr>
      </w:pPr>
      <w:r w:rsidRPr="005D060C">
        <w:rPr>
          <w:rFonts w:hint="eastAsia"/>
        </w:rPr>
        <w:t>全量迁移阶段</w:t>
      </w:r>
    </w:p>
    <w:p w14:paraId="13227141" w14:textId="559B8F7E"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采用</w:t>
      </w:r>
      <w:r w:rsidRPr="005D060C">
        <w:rPr>
          <w:rFonts w:ascii="Segoe UI" w:hAnsi="Segoe UI" w:cs="Segoe UI"/>
          <w:color w:val="000000"/>
        </w:rPr>
        <w:t>“</w:t>
      </w:r>
      <w:r w:rsidRPr="005D060C">
        <w:rPr>
          <w:rFonts w:ascii="Segoe UI" w:hAnsi="Segoe UI" w:cs="Segoe UI"/>
          <w:color w:val="000000"/>
        </w:rPr>
        <w:t>分批次、分目录</w:t>
      </w:r>
      <w:r w:rsidRPr="005D060C">
        <w:rPr>
          <w:rFonts w:ascii="Segoe UI" w:hAnsi="Segoe UI" w:cs="Segoe UI"/>
          <w:color w:val="000000"/>
        </w:rPr>
        <w:t>”</w:t>
      </w:r>
      <w:r w:rsidRPr="005D060C">
        <w:rPr>
          <w:rFonts w:ascii="Segoe UI" w:hAnsi="Segoe UI" w:cs="Segoe UI"/>
          <w:color w:val="000000"/>
        </w:rPr>
        <w:t>的迁移策略，优先迁移核心业务数据。以</w:t>
      </w:r>
      <w:proofErr w:type="spellStart"/>
      <w:r w:rsidRPr="005D060C">
        <w:rPr>
          <w:rFonts w:ascii="Segoe UI" w:hAnsi="Segoe UI" w:cs="Segoe UI"/>
          <w:color w:val="000000"/>
        </w:rPr>
        <w:t>rsync</w:t>
      </w:r>
      <w:proofErr w:type="spellEnd"/>
      <w:r w:rsidRPr="005D060C">
        <w:rPr>
          <w:rFonts w:ascii="Segoe UI" w:hAnsi="Segoe UI" w:cs="Segoe UI"/>
          <w:color w:val="000000"/>
        </w:rPr>
        <w:t>工具为例，执行全量同步时，使用</w:t>
      </w:r>
      <w:r w:rsidRPr="005D060C">
        <w:rPr>
          <w:rFonts w:ascii="Segoe UI" w:hAnsi="Segoe UI" w:cs="Segoe UI"/>
          <w:color w:val="000000"/>
        </w:rPr>
        <w:t>“</w:t>
      </w:r>
      <w:proofErr w:type="spellStart"/>
      <w:r w:rsidRPr="005D060C">
        <w:rPr>
          <w:rFonts w:ascii="Segoe UI" w:hAnsi="Segoe UI" w:cs="Segoe UI"/>
          <w:color w:val="000000"/>
        </w:rPr>
        <w:t>rsync-avP</w:t>
      </w:r>
      <w:proofErr w:type="spellEnd"/>
      <w:r w:rsidRPr="005D060C">
        <w:rPr>
          <w:rFonts w:ascii="Segoe UI" w:hAnsi="Segoe UI" w:cs="Segoe UI"/>
          <w:color w:val="000000"/>
        </w:rPr>
        <w:t>--progress</w:t>
      </w:r>
      <w:r w:rsidRPr="005D060C">
        <w:rPr>
          <w:rFonts w:ascii="Segoe UI" w:hAnsi="Segoe UI" w:cs="Segoe UI"/>
          <w:color w:val="000000"/>
        </w:rPr>
        <w:t>源目录路径目标存储路径</w:t>
      </w:r>
      <w:r w:rsidRPr="005D060C">
        <w:rPr>
          <w:rFonts w:ascii="Segoe UI" w:hAnsi="Segoe UI" w:cs="Segoe UI"/>
          <w:color w:val="000000"/>
        </w:rPr>
        <w:t>”</w:t>
      </w:r>
      <w:r w:rsidRPr="005D060C">
        <w:rPr>
          <w:rFonts w:ascii="Segoe UI" w:hAnsi="Segoe UI" w:cs="Segoe UI"/>
          <w:color w:val="000000"/>
        </w:rPr>
        <w:t>命令，其中</w:t>
      </w:r>
      <w:r w:rsidRPr="005D060C">
        <w:rPr>
          <w:rFonts w:ascii="Segoe UI" w:hAnsi="Segoe UI" w:cs="Segoe UI"/>
          <w:color w:val="000000"/>
        </w:rPr>
        <w:t>“-a”</w:t>
      </w:r>
      <w:r w:rsidRPr="005D060C">
        <w:rPr>
          <w:rFonts w:ascii="Segoe UI" w:hAnsi="Segoe UI" w:cs="Segoe UI"/>
          <w:color w:val="000000"/>
        </w:rPr>
        <w:t>参数保持文件属性不变，</w:t>
      </w:r>
      <w:r w:rsidRPr="005D060C">
        <w:rPr>
          <w:rFonts w:ascii="Segoe UI" w:hAnsi="Segoe UI" w:cs="Segoe UI"/>
          <w:color w:val="000000"/>
        </w:rPr>
        <w:t>“-v”</w:t>
      </w:r>
      <w:r w:rsidRPr="005D060C">
        <w:rPr>
          <w:rFonts w:ascii="Segoe UI" w:hAnsi="Segoe UI" w:cs="Segoe UI"/>
          <w:color w:val="000000"/>
        </w:rPr>
        <w:t>显示详细进度，</w:t>
      </w:r>
      <w:r w:rsidRPr="005D060C">
        <w:rPr>
          <w:rFonts w:ascii="Segoe UI" w:hAnsi="Segoe UI" w:cs="Segoe UI"/>
          <w:color w:val="000000"/>
        </w:rPr>
        <w:t>“-P”</w:t>
      </w:r>
      <w:r w:rsidRPr="005D060C">
        <w:rPr>
          <w:rFonts w:ascii="Segoe UI" w:hAnsi="Segoe UI" w:cs="Segoe UI"/>
          <w:color w:val="000000"/>
        </w:rPr>
        <w:t>支持断点续传。为避免因单一进程占用过多系统资源，可根据节点配置设置合理的并发线程数，通过脚本实现多任务并行迁移。例如，通过</w:t>
      </w:r>
      <w:r w:rsidRPr="005D060C">
        <w:rPr>
          <w:rFonts w:ascii="Segoe UI" w:hAnsi="Segoe UI" w:cs="Segoe UI"/>
          <w:color w:val="000000"/>
        </w:rPr>
        <w:t>“find</w:t>
      </w:r>
      <w:r w:rsidRPr="005D060C">
        <w:rPr>
          <w:rFonts w:ascii="Segoe UI" w:hAnsi="Segoe UI" w:cs="Segoe UI"/>
          <w:color w:val="000000"/>
        </w:rPr>
        <w:t>源目录</w:t>
      </w:r>
      <w:r w:rsidRPr="005D060C">
        <w:rPr>
          <w:rFonts w:ascii="Segoe UI" w:hAnsi="Segoe UI" w:cs="Segoe UI"/>
          <w:color w:val="000000"/>
        </w:rPr>
        <w:t>-typef-print0|xargs-0-n1-P16rsync-av”</w:t>
      </w:r>
      <w:r w:rsidRPr="005D060C">
        <w:rPr>
          <w:rFonts w:ascii="Segoe UI" w:hAnsi="Segoe UI" w:cs="Segoe UI"/>
          <w:color w:val="000000"/>
        </w:rPr>
        <w:t>命令将文件</w:t>
      </w:r>
      <w:r w:rsidRPr="005D060C">
        <w:rPr>
          <w:rFonts w:ascii="Segoe UI" w:hAnsi="Segoe UI" w:cs="Segoe UI" w:hint="eastAsia"/>
          <w:color w:val="000000"/>
        </w:rPr>
        <w:t>分散到</w:t>
      </w:r>
      <w:r w:rsidRPr="005D060C">
        <w:rPr>
          <w:rFonts w:ascii="Segoe UI" w:hAnsi="Segoe UI" w:cs="Segoe UI"/>
          <w:color w:val="000000"/>
        </w:rPr>
        <w:t>16</w:t>
      </w:r>
      <w:r w:rsidRPr="005D060C">
        <w:rPr>
          <w:rFonts w:ascii="Segoe UI" w:hAnsi="Segoe UI" w:cs="Segoe UI"/>
          <w:color w:val="000000"/>
        </w:rPr>
        <w:t>个线程同时传输，显著提升大文件集群的迁移效率。</w:t>
      </w:r>
    </w:p>
    <w:p w14:paraId="2B5F7673" w14:textId="77777777" w:rsidR="005D060C" w:rsidRPr="005D060C" w:rsidRDefault="005D060C" w:rsidP="001D7AAE">
      <w:pPr>
        <w:pStyle w:val="7"/>
        <w:rPr>
          <w:rFonts w:hint="eastAsia"/>
        </w:rPr>
      </w:pPr>
      <w:r w:rsidRPr="005D060C">
        <w:rPr>
          <w:rFonts w:hint="eastAsia"/>
        </w:rPr>
        <w:t>增量同步阶段</w:t>
      </w:r>
    </w:p>
    <w:p w14:paraId="084FD739" w14:textId="518026F3"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全量迁移完成后，启动增量同步流程以确保迁移期间源存储新增或变更的数据实时同步至目标存储。在中转节点上配置定时任务，通过</w:t>
      </w:r>
      <w:r w:rsidRPr="005D060C">
        <w:rPr>
          <w:rFonts w:ascii="Segoe UI" w:hAnsi="Segoe UI" w:cs="Segoe UI"/>
          <w:color w:val="000000"/>
        </w:rPr>
        <w:t>crontab</w:t>
      </w:r>
      <w:r w:rsidRPr="005D060C">
        <w:rPr>
          <w:rFonts w:ascii="Segoe UI" w:hAnsi="Segoe UI" w:cs="Segoe UI"/>
          <w:color w:val="000000"/>
        </w:rPr>
        <w:t>设置每</w:t>
      </w:r>
      <w:r w:rsidRPr="005D060C">
        <w:rPr>
          <w:rFonts w:ascii="Segoe UI" w:hAnsi="Segoe UI" w:cs="Segoe UI"/>
          <w:color w:val="000000"/>
        </w:rPr>
        <w:t>5</w:t>
      </w:r>
      <w:r w:rsidRPr="005D060C">
        <w:rPr>
          <w:rFonts w:ascii="Segoe UI" w:hAnsi="Segoe UI" w:cs="Segoe UI"/>
          <w:color w:val="000000"/>
        </w:rPr>
        <w:t>分钟执行一次增量同步，命令格式为</w:t>
      </w:r>
      <w:r w:rsidRPr="005D060C">
        <w:rPr>
          <w:rFonts w:ascii="Segoe UI" w:hAnsi="Segoe UI" w:cs="Segoe UI"/>
          <w:color w:val="000000"/>
        </w:rPr>
        <w:t>“*/5****</w:t>
      </w:r>
      <w:proofErr w:type="spellStart"/>
      <w:r w:rsidRPr="005D060C">
        <w:rPr>
          <w:rFonts w:ascii="Segoe UI" w:hAnsi="Segoe UI" w:cs="Segoe UI"/>
          <w:color w:val="000000"/>
        </w:rPr>
        <w:t>rsync-avP</w:t>
      </w:r>
      <w:proofErr w:type="spellEnd"/>
      <w:r w:rsidRPr="005D060C">
        <w:rPr>
          <w:rFonts w:ascii="Segoe UI" w:hAnsi="Segoe UI" w:cs="Segoe UI"/>
          <w:color w:val="000000"/>
        </w:rPr>
        <w:t>--delete</w:t>
      </w:r>
      <w:r w:rsidRPr="005D060C">
        <w:rPr>
          <w:rFonts w:ascii="Segoe UI" w:hAnsi="Segoe UI" w:cs="Segoe UI"/>
          <w:color w:val="000000"/>
        </w:rPr>
        <w:t>源目录</w:t>
      </w:r>
      <w:r w:rsidRPr="005D060C">
        <w:rPr>
          <w:rFonts w:ascii="Segoe UI" w:hAnsi="Segoe UI" w:cs="Segoe UI"/>
          <w:color w:val="000000"/>
        </w:rPr>
        <w:t>/</w:t>
      </w:r>
      <w:r w:rsidRPr="005D060C">
        <w:rPr>
          <w:rFonts w:ascii="Segoe UI" w:hAnsi="Segoe UI" w:cs="Segoe UI"/>
          <w:color w:val="000000"/>
        </w:rPr>
        <w:t>目标存储路径</w:t>
      </w:r>
      <w:r w:rsidRPr="005D060C">
        <w:rPr>
          <w:rFonts w:ascii="Segoe UI" w:hAnsi="Segoe UI" w:cs="Segoe UI"/>
          <w:color w:val="000000"/>
        </w:rPr>
        <w:t>/”</w:t>
      </w:r>
      <w:r w:rsidRPr="005D060C">
        <w:rPr>
          <w:rFonts w:ascii="Segoe UI" w:hAnsi="Segoe UI" w:cs="Segoe UI"/>
          <w:color w:val="000000"/>
        </w:rPr>
        <w:t>，其中</w:t>
      </w:r>
      <w:r w:rsidRPr="005D060C">
        <w:rPr>
          <w:rFonts w:ascii="Segoe UI" w:hAnsi="Segoe UI" w:cs="Segoe UI"/>
          <w:color w:val="000000"/>
        </w:rPr>
        <w:t>“--delete”</w:t>
      </w:r>
      <w:r w:rsidRPr="005D060C">
        <w:rPr>
          <w:rFonts w:ascii="Segoe UI" w:hAnsi="Segoe UI" w:cs="Segoe UI"/>
          <w:color w:val="000000"/>
        </w:rPr>
        <w:t>参数可确保目标存储与源存储的数据一致性。对于数据库等对实时性</w:t>
      </w:r>
      <w:r w:rsidR="006C6F6D" w:rsidRPr="006C6F6D">
        <w:rPr>
          <w:rFonts w:ascii="Segoe UI" w:hAnsi="Segoe UI" w:cs="Segoe UI"/>
          <w:b/>
          <w:color w:val="000000"/>
        </w:rPr>
        <w:t>招标文件要求</w:t>
      </w:r>
      <w:r w:rsidRPr="005D060C">
        <w:rPr>
          <w:rFonts w:ascii="Segoe UI" w:hAnsi="Segoe UI" w:cs="Segoe UI"/>
          <w:color w:val="000000"/>
        </w:rPr>
        <w:t>极高的场景，可启用华为云存储网关的实时同步功能，通过缓存写入与异步刷新机制，实现数据变化的秒级同步。</w:t>
      </w:r>
    </w:p>
    <w:p w14:paraId="7A005715" w14:textId="77777777" w:rsidR="005D060C" w:rsidRPr="005D060C" w:rsidRDefault="005D060C" w:rsidP="001D7AAE">
      <w:pPr>
        <w:pStyle w:val="5"/>
        <w:rPr>
          <w:rFonts w:hint="eastAsia"/>
        </w:rPr>
      </w:pPr>
      <w:r w:rsidRPr="005D060C">
        <w:rPr>
          <w:rFonts w:hint="eastAsia"/>
        </w:rPr>
        <w:t>迁移验证与测试方案</w:t>
      </w:r>
    </w:p>
    <w:p w14:paraId="7A19B55D" w14:textId="77777777" w:rsidR="005D060C" w:rsidRPr="005D060C" w:rsidRDefault="005D060C" w:rsidP="001D7AAE">
      <w:pPr>
        <w:pStyle w:val="6"/>
        <w:rPr>
          <w:rFonts w:hint="eastAsia"/>
        </w:rPr>
      </w:pPr>
      <w:r w:rsidRPr="005D060C">
        <w:rPr>
          <w:rFonts w:hint="eastAsia"/>
        </w:rPr>
        <w:t>数据完整性校验</w:t>
      </w:r>
    </w:p>
    <w:p w14:paraId="474FB0FD" w14:textId="57048218"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迁移完成后，通过双重校验机制确保数据完整性。首先使用华为云存储自带的校验工具对目标存储中的文件进行哈希值计算，将生成的</w:t>
      </w:r>
      <w:r w:rsidRPr="005D060C">
        <w:rPr>
          <w:rFonts w:ascii="Segoe UI" w:hAnsi="Segoe UI" w:cs="Segoe UI"/>
          <w:color w:val="000000"/>
        </w:rPr>
        <w:t>MD5/SHA256</w:t>
      </w:r>
      <w:r w:rsidRPr="005D060C">
        <w:rPr>
          <w:rFonts w:ascii="Segoe UI" w:hAnsi="Segoe UI" w:cs="Segoe UI"/>
          <w:color w:val="000000"/>
        </w:rPr>
        <w:t>校验和与源存储的校验文件进行比对，校验准确率可达</w:t>
      </w:r>
      <w:r w:rsidRPr="005D060C">
        <w:rPr>
          <w:rFonts w:ascii="Segoe UI" w:hAnsi="Segoe UI" w:cs="Segoe UI"/>
          <w:color w:val="000000"/>
        </w:rPr>
        <w:t>100%</w:t>
      </w:r>
      <w:r w:rsidRPr="005D060C">
        <w:rPr>
          <w:rFonts w:ascii="Segoe UI" w:hAnsi="Segoe UI" w:cs="Segoe UI"/>
          <w:color w:val="000000"/>
        </w:rPr>
        <w:t>。对于视频、图像等非结构化数据，可抽样进行文件打开测试，验证文件是否能正常读取与解析。其次，针对文件权限与属性，通过</w:t>
      </w:r>
      <w:r w:rsidRPr="005D060C">
        <w:rPr>
          <w:rFonts w:ascii="Segoe UI" w:hAnsi="Segoe UI" w:cs="Segoe UI"/>
          <w:color w:val="000000"/>
        </w:rPr>
        <w:t>“ls-la”</w:t>
      </w:r>
      <w:r w:rsidRPr="005D060C">
        <w:rPr>
          <w:rFonts w:ascii="Segoe UI" w:hAnsi="Segoe UI" w:cs="Segoe UI"/>
          <w:color w:val="000000"/>
        </w:rPr>
        <w:t>命令批量检查目标文件的属主、属组及权限位，确保与源文件完全一致，避免因权限丢失导致业务访问异常。</w:t>
      </w:r>
    </w:p>
    <w:p w14:paraId="5745ABA8" w14:textId="77777777" w:rsidR="005D060C" w:rsidRPr="005D060C" w:rsidRDefault="005D060C" w:rsidP="001D7AAE">
      <w:pPr>
        <w:pStyle w:val="6"/>
        <w:rPr>
          <w:rFonts w:hint="eastAsia"/>
        </w:rPr>
      </w:pPr>
      <w:r w:rsidRPr="005D060C">
        <w:rPr>
          <w:rFonts w:hint="eastAsia"/>
        </w:rPr>
        <w:t>业务功能性测试</w:t>
      </w:r>
    </w:p>
    <w:p w14:paraId="26D72C64" w14:textId="077185C5"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联合业务系统运维团队开展全链路功能测试，模拟生产环境的各类业务操作场景。对于</w:t>
      </w:r>
      <w:r w:rsidRPr="005D060C">
        <w:rPr>
          <w:rFonts w:ascii="Segoe UI" w:hAnsi="Segoe UI" w:cs="Segoe UI"/>
          <w:color w:val="000000"/>
        </w:rPr>
        <w:t>OA</w:t>
      </w:r>
      <w:r w:rsidRPr="005D060C">
        <w:rPr>
          <w:rFonts w:ascii="Segoe UI" w:hAnsi="Segoe UI" w:cs="Segoe UI"/>
          <w:color w:val="000000"/>
        </w:rPr>
        <w:t>系统、文件共享服务等典型应用，进行文件的上传、下载、修改、删除等操作测试，验证业务流程的完整性。针对数据库系统，通过备份恢复测试验证存储与数据库的兼容性，确保迁移后数据库服务可正常启动且数据无丢失。在测试过程中，使用华为云应用性能监控</w:t>
      </w:r>
      <w:r w:rsidRPr="005D060C">
        <w:rPr>
          <w:rFonts w:ascii="Segoe UI" w:hAnsi="Segoe UI" w:cs="Segoe UI"/>
          <w:color w:val="000000"/>
        </w:rPr>
        <w:lastRenderedPageBreak/>
        <w:t>（</w:t>
      </w:r>
      <w:r w:rsidRPr="005D060C">
        <w:rPr>
          <w:rFonts w:ascii="Segoe UI" w:hAnsi="Segoe UI" w:cs="Segoe UI"/>
          <w:color w:val="000000"/>
        </w:rPr>
        <w:t>APM</w:t>
      </w:r>
      <w:r w:rsidRPr="005D060C">
        <w:rPr>
          <w:rFonts w:ascii="Segoe UI" w:hAnsi="Segoe UI" w:cs="Segoe UI"/>
          <w:color w:val="000000"/>
        </w:rPr>
        <w:t>）工具实时跟踪业务系统的响应时间、吞吐量等指标，对比迁移前后的性能数据，确保迁移后业务性能不低于迁移前水平。</w:t>
      </w:r>
    </w:p>
    <w:p w14:paraId="27CEC26F" w14:textId="77777777" w:rsidR="005D060C" w:rsidRPr="005D060C" w:rsidRDefault="005D060C" w:rsidP="001D7AAE">
      <w:pPr>
        <w:pStyle w:val="6"/>
        <w:rPr>
          <w:rFonts w:hint="eastAsia"/>
        </w:rPr>
      </w:pPr>
      <w:r w:rsidRPr="005D060C">
        <w:rPr>
          <w:rFonts w:hint="eastAsia"/>
        </w:rPr>
        <w:t>容灾与恢复测试</w:t>
      </w:r>
    </w:p>
    <w:p w14:paraId="4205E874" w14:textId="1F3944AA"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为验证迁移后存储系统的可靠性，开展容灾恢复演练。模拟目标存储所在可用区故障场景，通过华为云文件存储</w:t>
      </w:r>
      <w:r w:rsidRPr="005D060C">
        <w:rPr>
          <w:rFonts w:ascii="Segoe UI" w:hAnsi="Segoe UI" w:cs="Segoe UI"/>
          <w:color w:val="000000"/>
        </w:rPr>
        <w:t>SFS</w:t>
      </w:r>
      <w:r w:rsidRPr="005D060C">
        <w:rPr>
          <w:rFonts w:ascii="Segoe UI" w:hAnsi="Segoe UI" w:cs="Segoe UI"/>
          <w:color w:val="000000"/>
        </w:rPr>
        <w:t>的跨可用区复制功能，测试数据是否能快速切换至备用可用区，验证业务恢复时间（</w:t>
      </w:r>
      <w:r w:rsidRPr="005D060C">
        <w:rPr>
          <w:rFonts w:ascii="Segoe UI" w:hAnsi="Segoe UI" w:cs="Segoe UI"/>
          <w:color w:val="000000"/>
        </w:rPr>
        <w:t>RTO</w:t>
      </w:r>
      <w:r w:rsidRPr="005D060C">
        <w:rPr>
          <w:rFonts w:ascii="Segoe UI" w:hAnsi="Segoe UI" w:cs="Segoe UI"/>
          <w:color w:val="000000"/>
        </w:rPr>
        <w:t>）与数据恢复点（</w:t>
      </w:r>
      <w:r w:rsidRPr="005D060C">
        <w:rPr>
          <w:rFonts w:ascii="Segoe UI" w:hAnsi="Segoe UI" w:cs="Segoe UI"/>
          <w:color w:val="000000"/>
        </w:rPr>
        <w:t>RPO</w:t>
      </w:r>
      <w:r w:rsidRPr="005D060C">
        <w:rPr>
          <w:rFonts w:ascii="Segoe UI" w:hAnsi="Segoe UI" w:cs="Segoe UI"/>
          <w:color w:val="000000"/>
        </w:rPr>
        <w:t>）是否满足企业级容灾</w:t>
      </w:r>
      <w:r w:rsidR="006C6F6D" w:rsidRPr="006C6F6D">
        <w:rPr>
          <w:rFonts w:ascii="Segoe UI" w:hAnsi="Segoe UI" w:cs="Segoe UI"/>
          <w:b/>
          <w:color w:val="000000"/>
        </w:rPr>
        <w:t>招标文件要求</w:t>
      </w:r>
      <w:r w:rsidRPr="005D060C">
        <w:rPr>
          <w:rFonts w:ascii="Segoe UI" w:hAnsi="Segoe UI" w:cs="Segoe UI"/>
          <w:color w:val="000000"/>
        </w:rPr>
        <w:t>。同时，测试手动触发数据回滚机制，确保在迁移异常时可快速将数据恢复至迁移前状态，保障业务连续性不受影响。</w:t>
      </w:r>
    </w:p>
    <w:p w14:paraId="77B37298" w14:textId="77777777" w:rsidR="005D060C" w:rsidRPr="005D060C" w:rsidRDefault="005D060C" w:rsidP="001D7AAE">
      <w:pPr>
        <w:pStyle w:val="5"/>
        <w:rPr>
          <w:rFonts w:hint="eastAsia"/>
        </w:rPr>
      </w:pPr>
      <w:r w:rsidRPr="005D060C">
        <w:rPr>
          <w:rFonts w:hint="eastAsia"/>
        </w:rPr>
        <w:t>安全保障与优化措施</w:t>
      </w:r>
    </w:p>
    <w:p w14:paraId="3A4023DC" w14:textId="77777777" w:rsidR="005D060C" w:rsidRPr="005D060C" w:rsidRDefault="005D060C" w:rsidP="001D7AAE">
      <w:pPr>
        <w:pStyle w:val="6"/>
        <w:rPr>
          <w:rFonts w:hint="eastAsia"/>
        </w:rPr>
      </w:pPr>
      <w:r w:rsidRPr="005D060C">
        <w:rPr>
          <w:rFonts w:hint="eastAsia"/>
        </w:rPr>
        <w:t>数据传输与存储安全</w:t>
      </w:r>
    </w:p>
    <w:p w14:paraId="49AC8577" w14:textId="3CC0103B"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在数据迁移过程中，启用全程加密机制，传输层通过</w:t>
      </w:r>
      <w:r w:rsidRPr="005D060C">
        <w:rPr>
          <w:rFonts w:ascii="Segoe UI" w:hAnsi="Segoe UI" w:cs="Segoe UI"/>
          <w:color w:val="000000"/>
        </w:rPr>
        <w:t>TLS1.3</w:t>
      </w:r>
      <w:r w:rsidRPr="005D060C">
        <w:rPr>
          <w:rFonts w:ascii="Segoe UI" w:hAnsi="Segoe UI" w:cs="Segoe UI"/>
          <w:color w:val="000000"/>
        </w:rPr>
        <w:t>协议对数据进行加密，避免传输过程中的数据窃听与篡改；存储层利用华为云密钥管理服务（</w:t>
      </w:r>
      <w:r w:rsidRPr="005D060C">
        <w:rPr>
          <w:rFonts w:ascii="Segoe UI" w:hAnsi="Segoe UI" w:cs="Segoe UI"/>
          <w:color w:val="000000"/>
        </w:rPr>
        <w:t>KMS</w:t>
      </w:r>
      <w:r w:rsidRPr="005D060C">
        <w:rPr>
          <w:rFonts w:ascii="Segoe UI" w:hAnsi="Segoe UI" w:cs="Segoe UI"/>
          <w:color w:val="000000"/>
        </w:rPr>
        <w:t>）对文件数据进行静态加密，支持用户自定义加密密钥，满足等保</w:t>
      </w:r>
      <w:r w:rsidRPr="005D060C">
        <w:rPr>
          <w:rFonts w:ascii="Segoe UI" w:hAnsi="Segoe UI" w:cs="Segoe UI"/>
          <w:color w:val="000000"/>
        </w:rPr>
        <w:t>2.0</w:t>
      </w:r>
      <w:r w:rsidRPr="005D060C">
        <w:rPr>
          <w:rFonts w:ascii="Segoe UI" w:hAnsi="Segoe UI" w:cs="Segoe UI"/>
          <w:color w:val="000000"/>
        </w:rPr>
        <w:t>三级等安全合规</w:t>
      </w:r>
      <w:r w:rsidR="006C6F6D" w:rsidRPr="006C6F6D">
        <w:rPr>
          <w:rFonts w:ascii="Segoe UI" w:hAnsi="Segoe UI" w:cs="Segoe UI"/>
          <w:b/>
          <w:color w:val="000000"/>
        </w:rPr>
        <w:t>招标文件要求</w:t>
      </w:r>
      <w:r w:rsidRPr="005D060C">
        <w:rPr>
          <w:rFonts w:ascii="Segoe UI" w:hAnsi="Segoe UI" w:cs="Segoe UI"/>
          <w:color w:val="000000"/>
        </w:rPr>
        <w:t>。在中转节点上部署主机安全服务（</w:t>
      </w:r>
      <w:r w:rsidRPr="005D060C">
        <w:rPr>
          <w:rFonts w:ascii="Segoe UI" w:hAnsi="Segoe UI" w:cs="Segoe UI"/>
          <w:color w:val="000000"/>
        </w:rPr>
        <w:t>HSS</w:t>
      </w:r>
      <w:r w:rsidRPr="005D060C">
        <w:rPr>
          <w:rFonts w:ascii="Segoe UI" w:hAnsi="Segoe UI" w:cs="Segoe UI"/>
          <w:color w:val="000000"/>
        </w:rPr>
        <w:t>），实时监测异常登录、恶意程序等安全威胁，通过入侵检测与防御（</w:t>
      </w:r>
      <w:r w:rsidRPr="005D060C">
        <w:rPr>
          <w:rFonts w:ascii="Segoe UI" w:hAnsi="Segoe UI" w:cs="Segoe UI"/>
          <w:color w:val="000000"/>
        </w:rPr>
        <w:t>IDS/IPS</w:t>
      </w:r>
      <w:r w:rsidRPr="005D060C">
        <w:rPr>
          <w:rFonts w:ascii="Segoe UI" w:hAnsi="Segoe UI" w:cs="Segoe UI"/>
          <w:color w:val="000000"/>
        </w:rPr>
        <w:t>）系统阻断潜在的网络攻击，确保迁移环境的安全性。</w:t>
      </w:r>
    </w:p>
    <w:p w14:paraId="7A88F833" w14:textId="77777777" w:rsidR="005D060C" w:rsidRPr="005D060C" w:rsidRDefault="005D060C" w:rsidP="001D7AAE">
      <w:pPr>
        <w:pStyle w:val="6"/>
        <w:rPr>
          <w:rFonts w:hint="eastAsia"/>
        </w:rPr>
      </w:pPr>
      <w:r w:rsidRPr="005D060C">
        <w:rPr>
          <w:rFonts w:hint="eastAsia"/>
        </w:rPr>
        <w:t>性能优化与资源调度</w:t>
      </w:r>
    </w:p>
    <w:p w14:paraId="73A6B1CA" w14:textId="5E2F6BC2"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根据迁移过程中的实时监控数据，动态调整资源配置。当发现网络带宽利用率超过</w:t>
      </w:r>
      <w:r w:rsidRPr="005D060C">
        <w:rPr>
          <w:rFonts w:ascii="Segoe UI" w:hAnsi="Segoe UI" w:cs="Segoe UI"/>
          <w:color w:val="000000"/>
        </w:rPr>
        <w:t>80%</w:t>
      </w:r>
      <w:r w:rsidRPr="005D060C">
        <w:rPr>
          <w:rFonts w:ascii="Segoe UI" w:hAnsi="Segoe UI" w:cs="Segoe UI"/>
          <w:color w:val="000000"/>
        </w:rPr>
        <w:t>时，通过华为云控制台快速升级弹性公网</w:t>
      </w:r>
      <w:r w:rsidRPr="005D060C">
        <w:rPr>
          <w:rFonts w:ascii="Segoe UI" w:hAnsi="Segoe UI" w:cs="Segoe UI"/>
          <w:color w:val="000000"/>
        </w:rPr>
        <w:t>IP</w:t>
      </w:r>
      <w:r w:rsidRPr="005D060C">
        <w:rPr>
          <w:rFonts w:ascii="Segoe UI" w:hAnsi="Segoe UI" w:cs="Segoe UI"/>
          <w:color w:val="000000"/>
        </w:rPr>
        <w:t>的带宽上限；若</w:t>
      </w:r>
      <w:r w:rsidRPr="005D060C">
        <w:rPr>
          <w:rFonts w:ascii="Segoe UI" w:hAnsi="Segoe UI" w:cs="Segoe UI"/>
          <w:color w:val="000000"/>
        </w:rPr>
        <w:t>ECS</w:t>
      </w:r>
      <w:r w:rsidRPr="005D060C">
        <w:rPr>
          <w:rFonts w:ascii="Segoe UI" w:hAnsi="Segoe UI" w:cs="Segoe UI"/>
          <w:color w:val="000000"/>
        </w:rPr>
        <w:t>节点的</w:t>
      </w:r>
      <w:r w:rsidRPr="005D060C">
        <w:rPr>
          <w:rFonts w:ascii="Segoe UI" w:hAnsi="Segoe UI" w:cs="Segoe UI"/>
          <w:color w:val="000000"/>
        </w:rPr>
        <w:t>CPU</w:t>
      </w:r>
      <w:r w:rsidRPr="005D060C">
        <w:rPr>
          <w:rFonts w:ascii="Segoe UI" w:hAnsi="Segoe UI" w:cs="Segoe UI"/>
          <w:color w:val="000000"/>
        </w:rPr>
        <w:t>或内存利用率持续偏高，可启用自动扩展功能，将迁移任务分发至新增的中转节点，通过负载均衡提升整体迁移效率。迁移完成后，对目标文件存储</w:t>
      </w:r>
      <w:r w:rsidRPr="005D060C">
        <w:rPr>
          <w:rFonts w:ascii="Segoe UI" w:hAnsi="Segoe UI" w:cs="Segoe UI"/>
          <w:color w:val="000000"/>
        </w:rPr>
        <w:t>SFS</w:t>
      </w:r>
      <w:r w:rsidRPr="005D060C">
        <w:rPr>
          <w:rFonts w:ascii="Segoe UI" w:hAnsi="Segoe UI" w:cs="Segoe UI"/>
          <w:color w:val="000000"/>
        </w:rPr>
        <w:t>进行性能优化，启用智能缓存分层技术，将高频访问文件自动缓存至</w:t>
      </w:r>
      <w:r w:rsidRPr="005D060C">
        <w:rPr>
          <w:rFonts w:ascii="Segoe UI" w:hAnsi="Segoe UI" w:cs="Segoe UI"/>
          <w:color w:val="000000"/>
        </w:rPr>
        <w:t>SSD</w:t>
      </w:r>
      <w:r w:rsidRPr="005D060C">
        <w:rPr>
          <w:rFonts w:ascii="Segoe UI" w:hAnsi="Segoe UI" w:cs="Segoe UI"/>
          <w:color w:val="000000"/>
        </w:rPr>
        <w:t>介质，提升业务读取性能；通过存储生命周期管理策略，将低频访问文件迁移至归档存储，降低存储成本。</w:t>
      </w:r>
    </w:p>
    <w:p w14:paraId="5CFF768F" w14:textId="77777777" w:rsidR="005D060C" w:rsidRPr="005D060C" w:rsidRDefault="005D060C" w:rsidP="001D7AAE">
      <w:pPr>
        <w:pStyle w:val="6"/>
        <w:rPr>
          <w:rFonts w:hint="eastAsia"/>
        </w:rPr>
      </w:pPr>
      <w:r w:rsidRPr="005D060C">
        <w:rPr>
          <w:rFonts w:hint="eastAsia"/>
        </w:rPr>
        <w:t>方案实施与服务支持</w:t>
      </w:r>
    </w:p>
    <w:p w14:paraId="7E4D1F59" w14:textId="5F978A5A" w:rsidR="00007C57"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为文件存储迁移方案提供端到端的服务支持，包括前期方案设计、中期迁移实施及后期运维保障。专业的解决方案架构师将根据企业具体业务场景定制迁移计划，提供包含时间节点、风险预案的详细实施蓝图；迁移过程中，华为云技术支持团队</w:t>
      </w:r>
      <w:r w:rsidRPr="005D060C">
        <w:rPr>
          <w:rFonts w:ascii="Segoe UI" w:hAnsi="Segoe UI" w:cs="Segoe UI"/>
          <w:color w:val="000000"/>
        </w:rPr>
        <w:t>7×24</w:t>
      </w:r>
      <w:r w:rsidRPr="005D060C">
        <w:rPr>
          <w:rFonts w:ascii="Segoe UI" w:hAnsi="Segoe UI" w:cs="Segoe UI"/>
          <w:color w:val="000000"/>
        </w:rPr>
        <w:t>小时在线，通过远程诊断与现场支持相结合的方式，及时解决迁移过程中出现的技术问题；迁移完成后，提供</w:t>
      </w:r>
      <w:r w:rsidRPr="005D060C">
        <w:rPr>
          <w:rFonts w:ascii="Segoe UI" w:hAnsi="Segoe UI" w:cs="Segoe UI"/>
          <w:color w:val="000000"/>
        </w:rPr>
        <w:t>3</w:t>
      </w:r>
      <w:r w:rsidRPr="005D060C">
        <w:rPr>
          <w:rFonts w:ascii="Segoe UI" w:hAnsi="Segoe UI" w:cs="Segoe UI"/>
          <w:color w:val="000000"/>
        </w:rPr>
        <w:t>个月的免费运维支持，定期对存储系统进行健康检查，确保存储服务持续稳定运行。该方案已在金融、医疗、互联网等多个行业落地实践，成功完成数千例大规模文件存储迁移项目，迁移成功率达</w:t>
      </w:r>
      <w:r w:rsidRPr="005D060C">
        <w:rPr>
          <w:rFonts w:ascii="Segoe UI" w:hAnsi="Segoe UI" w:cs="Segoe UI"/>
          <w:color w:val="000000"/>
        </w:rPr>
        <w:t>99.99%</w:t>
      </w:r>
      <w:r w:rsidRPr="005D060C">
        <w:rPr>
          <w:rFonts w:ascii="Segoe UI" w:hAnsi="Segoe UI" w:cs="Segoe UI"/>
          <w:color w:val="000000"/>
        </w:rPr>
        <w:t>，为企业数字化转型提供坚实的存储基础设施保障。</w:t>
      </w:r>
    </w:p>
    <w:p w14:paraId="59B58C1C" w14:textId="77777777" w:rsidR="00007C57" w:rsidRDefault="00007C57" w:rsidP="00007C57">
      <w:pPr>
        <w:pStyle w:val="4"/>
        <w:rPr>
          <w:rFonts w:hint="eastAsia"/>
        </w:rPr>
      </w:pPr>
      <w:r>
        <w:rPr>
          <w:rFonts w:hint="eastAsia"/>
        </w:rPr>
        <w:lastRenderedPageBreak/>
        <w:t>迁移工具说明</w:t>
      </w:r>
    </w:p>
    <w:p w14:paraId="41F478F8" w14:textId="77777777" w:rsidR="0004621C" w:rsidRPr="00736F0F" w:rsidRDefault="0004621C" w:rsidP="0004621C">
      <w:pPr>
        <w:pStyle w:val="5"/>
        <w:rPr>
          <w:rFonts w:hint="eastAsia"/>
        </w:rPr>
      </w:pPr>
      <w:bookmarkStart w:id="132" w:name="_Toc79421330"/>
      <w:r>
        <w:rPr>
          <w:rFonts w:hint="eastAsia"/>
        </w:rPr>
        <w:t>迁移工具</w:t>
      </w:r>
      <w:r>
        <w:t>简介</w:t>
      </w:r>
      <w:bookmarkEnd w:id="132"/>
    </w:p>
    <w:p w14:paraId="5AD1AA2B" w14:textId="4589E0F2" w:rsidR="0004621C" w:rsidRDefault="0004621C" w:rsidP="0004621C">
      <w:pPr>
        <w:spacing w:line="360" w:lineRule="auto"/>
        <w:ind w:firstLineChars="242" w:firstLine="508"/>
        <w:rPr>
          <w:rFonts w:hint="eastAsia"/>
        </w:rPr>
      </w:pPr>
      <w:r>
        <w:rPr>
          <w:rFonts w:hint="eastAsia"/>
        </w:rPr>
        <w:t>我公司</w:t>
      </w:r>
      <w:r>
        <w:t>迁移平台能够为任意X86环境（传统硬件架构、虚拟化、异构云）之间提供迁移支持，用户服务器无需停机，直接迁移业务系统相关数据。具备多重风险管控、操作简单、快速高效、安全可控的特点</w:t>
      </w:r>
      <w:r>
        <w:rPr>
          <w:rFonts w:hint="eastAsia"/>
        </w:rPr>
        <w:t>,我公司数据迁移平台</w:t>
      </w:r>
      <w:r w:rsidRPr="00C91576">
        <w:rPr>
          <w:rFonts w:hint="eastAsia"/>
        </w:rPr>
        <w:t>是一个简便操作的用户控制台，通过实时复制对待迁移的物理机或虚拟机进行迁移。迁移期间，低资源消耗的CDP</w:t>
      </w:r>
      <w:r>
        <w:rPr>
          <w:rFonts w:hint="eastAsia"/>
        </w:rPr>
        <w:t>块级复制型技术缩短了</w:t>
      </w:r>
      <w:r w:rsidRPr="00C91576">
        <w:rPr>
          <w:rFonts w:hint="eastAsia"/>
        </w:rPr>
        <w:t>应用停机时间，不会影响现有的生产业务。</w:t>
      </w:r>
      <w:r>
        <w:rPr>
          <w:rFonts w:hint="eastAsia"/>
        </w:rPr>
        <w:t>我公司迁移</w:t>
      </w:r>
      <w:r>
        <w:t>管理平台</w:t>
      </w:r>
      <w:r w:rsidRPr="00C91576">
        <w:rPr>
          <w:rFonts w:hint="eastAsia"/>
        </w:rPr>
        <w:t>能迁移整个服务器环境，包括文件系统、权限、属性、压缩和加密设置，且无需中断生产业务就能进行操作。该技术还对能对数据库文件进行在线迁移，即使这些文件已被应用程序进行锁定。即使是正在线上的实时交易作业，真正的数据复制功能精确地复制应用程序在的所有的写入变化过程</w:t>
      </w:r>
      <w:r>
        <w:rPr>
          <w:rFonts w:hint="eastAsia"/>
        </w:rPr>
        <w:t>。</w:t>
      </w:r>
    </w:p>
    <w:p w14:paraId="387A18ED" w14:textId="77777777" w:rsidR="0004621C" w:rsidRDefault="0004621C" w:rsidP="0004621C">
      <w:pPr>
        <w:spacing w:line="360" w:lineRule="auto"/>
        <w:ind w:firstLineChars="242" w:firstLine="508"/>
        <w:rPr>
          <w:rFonts w:hint="eastAsia"/>
        </w:rPr>
      </w:pPr>
      <w:r>
        <w:rPr>
          <w:noProof/>
        </w:rPr>
        <w:drawing>
          <wp:inline distT="0" distB="0" distL="0" distR="0" wp14:anchorId="74700397" wp14:editId="08469D03">
            <wp:extent cx="5270500" cy="2458085"/>
            <wp:effectExtent l="0" t="0" r="6350" b="0"/>
            <wp:docPr id="475" name="图片 47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图示&#10;&#10;描述已自动生成"/>
                    <pic:cNvPicPr/>
                  </pic:nvPicPr>
                  <pic:blipFill>
                    <a:blip r:embed="rId37"/>
                    <a:stretch>
                      <a:fillRect/>
                    </a:stretch>
                  </pic:blipFill>
                  <pic:spPr>
                    <a:xfrm>
                      <a:off x="0" y="0"/>
                      <a:ext cx="5270500" cy="2458085"/>
                    </a:xfrm>
                    <a:prstGeom prst="rect">
                      <a:avLst/>
                    </a:prstGeom>
                  </pic:spPr>
                </pic:pic>
              </a:graphicData>
            </a:graphic>
          </wp:inline>
        </w:drawing>
      </w:r>
    </w:p>
    <w:p w14:paraId="3F1B05C1" w14:textId="42A92755" w:rsidR="0004621C" w:rsidRPr="00C91576" w:rsidRDefault="0004621C" w:rsidP="0004621C">
      <w:pPr>
        <w:spacing w:line="360" w:lineRule="auto"/>
        <w:ind w:firstLineChars="200" w:firstLine="420"/>
        <w:rPr>
          <w:rFonts w:hint="eastAsia"/>
        </w:rPr>
      </w:pPr>
      <w:r w:rsidRPr="00C91576">
        <w:rPr>
          <w:rFonts w:hint="eastAsia"/>
        </w:rPr>
        <w:t>根据迁移过程中源服务器和目标服务器存在形式不同，可以分为P2X(P2P和P2V)</w:t>
      </w:r>
      <w:r>
        <w:rPr>
          <w:rFonts w:hint="eastAsia"/>
        </w:rPr>
        <w:t>，即从物理服务器向目标服务器迁移；也可</w:t>
      </w:r>
      <w:r w:rsidRPr="00C91576">
        <w:rPr>
          <w:rFonts w:hint="eastAsia"/>
        </w:rPr>
        <w:t>划分为纯物理机与物理机之间的迁移(P2P)和包含虚拟机的迁移(P2V，V2V，V2P)</w:t>
      </w:r>
      <w:r>
        <w:rPr>
          <w:rFonts w:hint="eastAsia"/>
        </w:rPr>
        <w:t>。无论源端和目标端的主机，是何种品牌、配置，</w:t>
      </w:r>
      <w:r w:rsidRPr="00C91576">
        <w:rPr>
          <w:rFonts w:hint="eastAsia"/>
        </w:rPr>
        <w:t>虚拟化平台是VMware、Microsoft、Citrix还是</w:t>
      </w:r>
      <w:proofErr w:type="spellStart"/>
      <w:r w:rsidRPr="00C91576">
        <w:rPr>
          <w:rFonts w:hint="eastAsia"/>
        </w:rPr>
        <w:t>RedHatKVM</w:t>
      </w:r>
      <w:proofErr w:type="spellEnd"/>
      <w:r w:rsidRPr="00C91576">
        <w:rPr>
          <w:rFonts w:hint="eastAsia"/>
        </w:rPr>
        <w:t>。</w:t>
      </w:r>
    </w:p>
    <w:p w14:paraId="0AB885CC" w14:textId="4AE8DEE1" w:rsidR="0004621C" w:rsidRPr="004F5B74" w:rsidRDefault="0004621C" w:rsidP="0004621C">
      <w:pPr>
        <w:spacing w:line="360" w:lineRule="auto"/>
        <w:ind w:firstLineChars="200" w:firstLine="420"/>
        <w:rPr>
          <w:rFonts w:hint="eastAsia"/>
        </w:rPr>
      </w:pPr>
      <w:r w:rsidRPr="00C91576">
        <w:rPr>
          <w:rFonts w:hint="eastAsia"/>
        </w:rPr>
        <w:t>利用</w:t>
      </w:r>
      <w:r>
        <w:rPr>
          <w:rFonts w:hint="eastAsia"/>
        </w:rPr>
        <w:t>我公司</w:t>
      </w:r>
      <w:r w:rsidRPr="00C91576">
        <w:rPr>
          <w:rFonts w:hint="eastAsia"/>
        </w:rPr>
        <w:t>数据迁移工具的独立于硬件的复制引擎，</w:t>
      </w:r>
      <w:r w:rsidR="00152F2A">
        <w:rPr>
          <w:rFonts w:hint="eastAsia"/>
        </w:rPr>
        <w:t>我公司</w:t>
      </w:r>
      <w:r w:rsidRPr="00C91576">
        <w:rPr>
          <w:rFonts w:hint="eastAsia"/>
        </w:rPr>
        <w:t>可以做到任意平台的数据迁移，关于数据迁移</w:t>
      </w:r>
      <w:r>
        <w:rPr>
          <w:rFonts w:hint="eastAsia"/>
        </w:rPr>
        <w:t>我公司</w:t>
      </w:r>
      <w:r w:rsidRPr="00C91576">
        <w:rPr>
          <w:rFonts w:hint="eastAsia"/>
        </w:rPr>
        <w:t>数据迁移工具在数据复制的过程中，有着多项专利技术，强大的CDP块级技术让</w:t>
      </w:r>
      <w:r w:rsidR="00152F2A">
        <w:rPr>
          <w:rFonts w:hint="eastAsia"/>
        </w:rPr>
        <w:t>我公司</w:t>
      </w:r>
      <w:r w:rsidRPr="00C91576">
        <w:rPr>
          <w:rFonts w:hint="eastAsia"/>
        </w:rPr>
        <w:t>在复制过程中，特别的节省带宽。</w:t>
      </w:r>
      <w:r>
        <w:t>其</w:t>
      </w:r>
      <w:r>
        <w:rPr>
          <w:rFonts w:hint="eastAsia"/>
        </w:rPr>
        <w:t>功能</w:t>
      </w:r>
      <w:r>
        <w:t>特点如下：（</w:t>
      </w:r>
      <w:r>
        <w:rPr>
          <w:rFonts w:hint="eastAsia"/>
        </w:rPr>
        <w:t>1</w:t>
      </w:r>
      <w:r>
        <w:t>）</w:t>
      </w:r>
      <w:r>
        <w:rPr>
          <w:rFonts w:hint="eastAsia"/>
        </w:rPr>
        <w:t>块</w:t>
      </w:r>
      <w:r>
        <w:t>级精简复制，迁移速度快（</w:t>
      </w:r>
      <w:r>
        <w:rPr>
          <w:rFonts w:hint="eastAsia"/>
        </w:rPr>
        <w:t>2</w:t>
      </w:r>
      <w:r>
        <w:t>）</w:t>
      </w:r>
      <w:r>
        <w:rPr>
          <w:rFonts w:hint="eastAsia"/>
        </w:rPr>
        <w:t>整机</w:t>
      </w:r>
      <w:r>
        <w:t>环境数据一次到</w:t>
      </w:r>
      <w:r>
        <w:rPr>
          <w:rFonts w:hint="eastAsia"/>
        </w:rPr>
        <w:t>目标</w:t>
      </w:r>
      <w:r>
        <w:t>环境，操作简单（</w:t>
      </w:r>
      <w:r>
        <w:rPr>
          <w:rFonts w:hint="eastAsia"/>
        </w:rPr>
        <w:t>3</w:t>
      </w:r>
      <w:r>
        <w:t>）</w:t>
      </w:r>
      <w:r>
        <w:rPr>
          <w:rFonts w:hint="eastAsia"/>
        </w:rPr>
        <w:t>成功率高</w:t>
      </w:r>
      <w:r>
        <w:t>（</w:t>
      </w:r>
      <w:r>
        <w:rPr>
          <w:rFonts w:hint="eastAsia"/>
        </w:rPr>
        <w:t>4</w:t>
      </w:r>
      <w:r>
        <w:t>）</w:t>
      </w:r>
      <w:r>
        <w:rPr>
          <w:rFonts w:hint="eastAsia"/>
        </w:rPr>
        <w:t>并行</w:t>
      </w:r>
      <w:r>
        <w:t>多业务同时</w:t>
      </w:r>
      <w:r>
        <w:rPr>
          <w:rFonts w:hint="eastAsia"/>
        </w:rPr>
        <w:t>迁移，</w:t>
      </w:r>
      <w:r>
        <w:t>迁移效率高</w:t>
      </w:r>
      <w:r>
        <w:rPr>
          <w:rFonts w:hint="eastAsia"/>
        </w:rPr>
        <w:t>。</w:t>
      </w:r>
    </w:p>
    <w:p w14:paraId="63F19DED" w14:textId="77777777" w:rsidR="0004621C" w:rsidRPr="00C91576" w:rsidRDefault="0004621C" w:rsidP="0004621C">
      <w:pPr>
        <w:pStyle w:val="5"/>
        <w:rPr>
          <w:rFonts w:hint="eastAsia"/>
        </w:rPr>
      </w:pPr>
      <w:bookmarkStart w:id="133" w:name="_Toc79421331"/>
      <w:r>
        <w:rPr>
          <w:rFonts w:hint="eastAsia"/>
        </w:rPr>
        <w:lastRenderedPageBreak/>
        <w:t>迁移原理</w:t>
      </w:r>
      <w:bookmarkEnd w:id="133"/>
    </w:p>
    <w:p w14:paraId="47447D7D" w14:textId="2B6479D9" w:rsidR="0004621C" w:rsidRDefault="0004621C" w:rsidP="0004621C">
      <w:pPr>
        <w:spacing w:line="360" w:lineRule="auto"/>
        <w:ind w:firstLineChars="242" w:firstLine="508"/>
        <w:rPr>
          <w:rFonts w:hint="eastAsia"/>
        </w:rPr>
      </w:pPr>
      <w:r w:rsidRPr="00C91576">
        <w:rPr>
          <w:rFonts w:hint="eastAsia"/>
        </w:rPr>
        <w:t>在现状分析的基础上，利用</w:t>
      </w:r>
      <w:r>
        <w:rPr>
          <w:rFonts w:hint="eastAsia"/>
        </w:rPr>
        <w:t>我公司自有</w:t>
      </w:r>
      <w:r>
        <w:t>的</w:t>
      </w:r>
      <w:r w:rsidRPr="00C91576">
        <w:rPr>
          <w:rFonts w:hint="eastAsia"/>
        </w:rPr>
        <w:t>迁移工具，</w:t>
      </w:r>
      <w:r>
        <w:rPr>
          <w:rFonts w:hint="eastAsia"/>
        </w:rPr>
        <w:t>通过</w:t>
      </w:r>
      <w:r>
        <w:t>在线迁移的方式</w:t>
      </w:r>
      <w:r w:rsidRPr="00C91576">
        <w:rPr>
          <w:rFonts w:hint="eastAsia"/>
        </w:rPr>
        <w:t>实现</w:t>
      </w:r>
      <w:r>
        <w:rPr>
          <w:rFonts w:hint="eastAsia"/>
        </w:rPr>
        <w:t>业务</w:t>
      </w:r>
      <w:r>
        <w:t>系统的迁移需求</w:t>
      </w:r>
      <w:r>
        <w:rPr>
          <w:rFonts w:hint="eastAsia"/>
        </w:rPr>
        <w:t>，</w:t>
      </w:r>
      <w:r>
        <w:t>迁移工具</w:t>
      </w:r>
      <w:r>
        <w:rPr>
          <w:rFonts w:hint="eastAsia"/>
        </w:rPr>
        <w:t>与云平台</w:t>
      </w:r>
      <w:r>
        <w:t>融合</w:t>
      </w:r>
      <w:r w:rsidRPr="00C91576">
        <w:rPr>
          <w:rFonts w:hint="eastAsia"/>
        </w:rPr>
        <w:t>。</w:t>
      </w:r>
      <w:r>
        <w:rPr>
          <w:rFonts w:hint="eastAsia"/>
        </w:rPr>
        <w:t>迁移</w:t>
      </w:r>
      <w:r>
        <w:t>原理如下所示：</w:t>
      </w:r>
    </w:p>
    <w:p w14:paraId="298F0FEF" w14:textId="2C187958" w:rsidR="0004621C" w:rsidRPr="00736F0F" w:rsidRDefault="0004621C" w:rsidP="0004621C">
      <w:pPr>
        <w:spacing w:line="360" w:lineRule="auto"/>
        <w:jc w:val="center"/>
        <w:rPr>
          <w:rFonts w:hint="eastAsia"/>
        </w:rPr>
      </w:pPr>
      <w:r w:rsidRPr="0004621C">
        <w:rPr>
          <w:noProof/>
        </w:rPr>
        <w:drawing>
          <wp:inline distT="0" distB="0" distL="0" distR="0" wp14:anchorId="41F3FF55" wp14:editId="6DF2DA34">
            <wp:extent cx="4791871" cy="3737172"/>
            <wp:effectExtent l="0" t="0" r="8890" b="0"/>
            <wp:docPr id="8" name="图片 7" descr="日程表&#10;&#10;描述已自动生成">
              <a:extLst xmlns:a="http://schemas.openxmlformats.org/drawingml/2006/main">
                <a:ext uri="{FF2B5EF4-FFF2-40B4-BE49-F238E27FC236}">
                  <a16:creationId xmlns:a16="http://schemas.microsoft.com/office/drawing/2014/main" id="{721F070E-6D97-C0F0-42C6-264BC2CE6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日程表&#10;&#10;描述已自动生成">
                      <a:extLst>
                        <a:ext uri="{FF2B5EF4-FFF2-40B4-BE49-F238E27FC236}">
                          <a16:creationId xmlns:a16="http://schemas.microsoft.com/office/drawing/2014/main" id="{721F070E-6D97-C0F0-42C6-264BC2CE68D3}"/>
                        </a:ext>
                      </a:extLst>
                    </pic:cNvPr>
                    <pic:cNvPicPr>
                      <a:picLocks noChangeAspect="1"/>
                    </pic:cNvPicPr>
                  </pic:nvPicPr>
                  <pic:blipFill>
                    <a:blip r:embed="rId38"/>
                    <a:stretch>
                      <a:fillRect/>
                    </a:stretch>
                  </pic:blipFill>
                  <pic:spPr>
                    <a:xfrm>
                      <a:off x="0" y="0"/>
                      <a:ext cx="4791871" cy="3737172"/>
                    </a:xfrm>
                    <a:prstGeom prst="rect">
                      <a:avLst/>
                    </a:prstGeom>
                  </pic:spPr>
                </pic:pic>
              </a:graphicData>
            </a:graphic>
          </wp:inline>
        </w:drawing>
      </w:r>
    </w:p>
    <w:p w14:paraId="70631066" w14:textId="77777777" w:rsidR="0004621C" w:rsidRDefault="0004621C" w:rsidP="0004621C">
      <w:pPr>
        <w:spacing w:line="360" w:lineRule="auto"/>
        <w:ind w:firstLineChars="200" w:firstLine="420"/>
        <w:rPr>
          <w:rFonts w:hint="eastAsia"/>
        </w:rPr>
      </w:pPr>
      <w:r>
        <w:rPr>
          <w:rFonts w:hint="eastAsia"/>
        </w:rPr>
        <w:t>异构</w:t>
      </w:r>
      <w:r>
        <w:t>平台迁移</w:t>
      </w:r>
      <w:r>
        <w:rPr>
          <w:rFonts w:hint="eastAsia"/>
        </w:rPr>
        <w:t>过程</w:t>
      </w:r>
      <w:r>
        <w:t>分如下几个步骤：</w:t>
      </w:r>
    </w:p>
    <w:p w14:paraId="23790B53" w14:textId="72366A0C" w:rsidR="0004621C" w:rsidRDefault="0004621C">
      <w:pPr>
        <w:pStyle w:val="a3"/>
        <w:widowControl/>
        <w:numPr>
          <w:ilvl w:val="0"/>
          <w:numId w:val="104"/>
        </w:numPr>
        <w:spacing w:line="360" w:lineRule="auto"/>
        <w:ind w:firstLineChars="0"/>
        <w:jc w:val="left"/>
        <w:rPr>
          <w:rFonts w:hint="eastAsia"/>
        </w:rPr>
      </w:pPr>
      <w:r>
        <w:rPr>
          <w:rFonts w:hint="eastAsia"/>
        </w:rPr>
        <w:t>从云主机管理平台</w:t>
      </w:r>
      <w:r>
        <w:t>下载迁移客户端</w:t>
      </w:r>
      <w:r>
        <w:rPr>
          <w:rFonts w:hint="eastAsia"/>
        </w:rPr>
        <w:t>。</w:t>
      </w:r>
    </w:p>
    <w:p w14:paraId="75B422C6" w14:textId="19D8BB82" w:rsidR="0004621C" w:rsidRDefault="0004621C">
      <w:pPr>
        <w:pStyle w:val="a3"/>
        <w:widowControl/>
        <w:numPr>
          <w:ilvl w:val="0"/>
          <w:numId w:val="104"/>
        </w:numPr>
        <w:spacing w:line="360" w:lineRule="auto"/>
        <w:ind w:firstLineChars="0"/>
        <w:jc w:val="left"/>
        <w:rPr>
          <w:rFonts w:hint="eastAsia"/>
        </w:rPr>
      </w:pPr>
      <w:r>
        <w:rPr>
          <w:rFonts w:hint="eastAsia"/>
        </w:rPr>
        <w:t>在</w:t>
      </w:r>
      <w:r>
        <w:t>源设备安装客户端</w:t>
      </w:r>
      <w:r>
        <w:rPr>
          <w:rFonts w:hint="eastAsia"/>
        </w:rPr>
        <w:t>，</w:t>
      </w:r>
      <w:r>
        <w:t>源设备与</w:t>
      </w:r>
      <w:r>
        <w:rPr>
          <w:rFonts w:hint="eastAsia"/>
        </w:rPr>
        <w:t>云主机连接，并</w:t>
      </w:r>
      <w:r>
        <w:t>上报设备状态</w:t>
      </w:r>
      <w:r>
        <w:rPr>
          <w:rFonts w:hint="eastAsia"/>
        </w:rPr>
        <w:t>，云主机获取</w:t>
      </w:r>
      <w:r>
        <w:t>源设备信息。</w:t>
      </w:r>
    </w:p>
    <w:p w14:paraId="1AA70BE7" w14:textId="77777777" w:rsidR="0004621C" w:rsidRDefault="0004621C">
      <w:pPr>
        <w:pStyle w:val="a3"/>
        <w:widowControl/>
        <w:numPr>
          <w:ilvl w:val="0"/>
          <w:numId w:val="104"/>
        </w:numPr>
        <w:spacing w:line="360" w:lineRule="auto"/>
        <w:ind w:firstLineChars="0"/>
        <w:jc w:val="left"/>
        <w:rPr>
          <w:rFonts w:hint="eastAsia"/>
        </w:rPr>
      </w:pPr>
      <w:r>
        <w:rPr>
          <w:rFonts w:hint="eastAsia"/>
        </w:rPr>
        <w:t>目标</w:t>
      </w:r>
      <w:r>
        <w:t>虚拟机</w:t>
      </w:r>
      <w:r>
        <w:rPr>
          <w:rFonts w:hint="eastAsia"/>
        </w:rPr>
        <w:t>挂载PE镜像。</w:t>
      </w:r>
    </w:p>
    <w:p w14:paraId="15806E11" w14:textId="20554FC0" w:rsidR="0004621C" w:rsidRDefault="0004621C">
      <w:pPr>
        <w:pStyle w:val="a3"/>
        <w:widowControl/>
        <w:numPr>
          <w:ilvl w:val="0"/>
          <w:numId w:val="104"/>
        </w:numPr>
        <w:spacing w:line="360" w:lineRule="auto"/>
        <w:ind w:firstLineChars="0"/>
        <w:jc w:val="left"/>
        <w:rPr>
          <w:rFonts w:hint="eastAsia"/>
        </w:rPr>
      </w:pPr>
      <w:r>
        <w:rPr>
          <w:rFonts w:hint="eastAsia"/>
        </w:rPr>
        <w:t>目标</w:t>
      </w:r>
      <w:r>
        <w:t>虚拟机通过</w:t>
      </w:r>
      <w:r>
        <w:rPr>
          <w:rFonts w:hint="eastAsia"/>
        </w:rPr>
        <w:t>PE镜像</w:t>
      </w:r>
      <w:r>
        <w:t>引导</w:t>
      </w:r>
      <w:r>
        <w:rPr>
          <w:rFonts w:hint="eastAsia"/>
        </w:rPr>
        <w:t>，配置</w:t>
      </w:r>
      <w:proofErr w:type="spellStart"/>
      <w:r>
        <w:rPr>
          <w:rFonts w:hint="eastAsia"/>
        </w:rPr>
        <w:t>T</w:t>
      </w:r>
      <w:r>
        <w:t>argetClient</w:t>
      </w:r>
      <w:proofErr w:type="spellEnd"/>
      <w:r>
        <w:rPr>
          <w:rFonts w:hint="eastAsia"/>
        </w:rPr>
        <w:t>，</w:t>
      </w:r>
      <w:r>
        <w:t>通过</w:t>
      </w:r>
      <w:proofErr w:type="spellStart"/>
      <w:r>
        <w:rPr>
          <w:rFonts w:hint="eastAsia"/>
        </w:rPr>
        <w:t>T</w:t>
      </w:r>
      <w:r>
        <w:t>arget_Client</w:t>
      </w:r>
      <w:proofErr w:type="spellEnd"/>
      <w:r>
        <w:rPr>
          <w:rFonts w:hint="eastAsia"/>
        </w:rPr>
        <w:t>与云主机连接</w:t>
      </w:r>
      <w:r>
        <w:t>，</w:t>
      </w:r>
      <w:r>
        <w:rPr>
          <w:rFonts w:hint="eastAsia"/>
        </w:rPr>
        <w:t>并</w:t>
      </w:r>
      <w:r>
        <w:t>上报目标虚拟机</w:t>
      </w:r>
      <w:r>
        <w:rPr>
          <w:rFonts w:hint="eastAsia"/>
        </w:rPr>
        <w:t>设备</w:t>
      </w:r>
      <w:r>
        <w:t>状态</w:t>
      </w:r>
      <w:r>
        <w:rPr>
          <w:rFonts w:hint="eastAsia"/>
        </w:rPr>
        <w:t>，云主机获取</w:t>
      </w:r>
      <w:r>
        <w:t>目标虚拟机</w:t>
      </w:r>
      <w:r>
        <w:rPr>
          <w:rFonts w:hint="eastAsia"/>
        </w:rPr>
        <w:t>信息</w:t>
      </w:r>
      <w:r>
        <w:t>。</w:t>
      </w:r>
    </w:p>
    <w:p w14:paraId="7B0B5126" w14:textId="77777777" w:rsidR="0004621C" w:rsidRDefault="0004621C">
      <w:pPr>
        <w:pStyle w:val="a3"/>
        <w:widowControl/>
        <w:numPr>
          <w:ilvl w:val="0"/>
          <w:numId w:val="104"/>
        </w:numPr>
        <w:spacing w:line="360" w:lineRule="auto"/>
        <w:ind w:firstLineChars="0"/>
        <w:jc w:val="left"/>
        <w:rPr>
          <w:rFonts w:hint="eastAsia"/>
        </w:rPr>
      </w:pPr>
      <w:r>
        <w:rPr>
          <w:rFonts w:hint="eastAsia"/>
        </w:rPr>
        <w:t>用户</w:t>
      </w:r>
      <w:r>
        <w:t>创建</w:t>
      </w:r>
      <w:r>
        <w:rPr>
          <w:rFonts w:hint="eastAsia"/>
        </w:rPr>
        <w:t>并</w:t>
      </w:r>
      <w:r>
        <w:t>启动迁移任务</w:t>
      </w:r>
      <w:r>
        <w:rPr>
          <w:rFonts w:hint="eastAsia"/>
        </w:rPr>
        <w:t>，客户端获取迁移</w:t>
      </w:r>
      <w:r>
        <w:t>指令。</w:t>
      </w:r>
    </w:p>
    <w:p w14:paraId="7C3509E0" w14:textId="77777777" w:rsidR="0004621C" w:rsidRPr="002374EC" w:rsidRDefault="0004621C">
      <w:pPr>
        <w:pStyle w:val="a3"/>
        <w:widowControl/>
        <w:numPr>
          <w:ilvl w:val="0"/>
          <w:numId w:val="104"/>
        </w:numPr>
        <w:spacing w:line="360" w:lineRule="auto"/>
        <w:ind w:firstLineChars="0"/>
        <w:jc w:val="left"/>
        <w:rPr>
          <w:rFonts w:hint="eastAsia"/>
        </w:rPr>
      </w:pPr>
      <w:r>
        <w:rPr>
          <w:rFonts w:hint="eastAsia"/>
        </w:rPr>
        <w:t>开始迁移</w:t>
      </w:r>
      <w:r>
        <w:t>系统盘和</w:t>
      </w:r>
      <w:r>
        <w:rPr>
          <w:rFonts w:hint="eastAsia"/>
        </w:rPr>
        <w:t>数据</w:t>
      </w:r>
      <w:r>
        <w:t>盘。</w:t>
      </w:r>
    </w:p>
    <w:p w14:paraId="19C8C5F2" w14:textId="77777777" w:rsidR="0004621C" w:rsidRPr="00C91576" w:rsidRDefault="0004621C" w:rsidP="0004621C">
      <w:pPr>
        <w:pStyle w:val="5"/>
        <w:rPr>
          <w:rFonts w:hint="eastAsia"/>
        </w:rPr>
      </w:pPr>
      <w:bookmarkStart w:id="134" w:name="_Toc477202145"/>
      <w:bookmarkStart w:id="135" w:name="_Toc79421332"/>
      <w:r w:rsidRPr="00C91576">
        <w:rPr>
          <w:rFonts w:hint="eastAsia"/>
        </w:rPr>
        <w:t>迁移技术优势</w:t>
      </w:r>
      <w:bookmarkEnd w:id="134"/>
      <w:bookmarkEnd w:id="135"/>
    </w:p>
    <w:p w14:paraId="465E9A39" w14:textId="77777777" w:rsidR="0004621C" w:rsidRPr="004F5B74" w:rsidRDefault="0004621C" w:rsidP="0004621C">
      <w:pPr>
        <w:spacing w:line="360" w:lineRule="auto"/>
        <w:ind w:firstLineChars="242" w:firstLine="508"/>
        <w:rPr>
          <w:rFonts w:hint="eastAsia"/>
        </w:rPr>
      </w:pPr>
      <w:r w:rsidRPr="004F5B74">
        <w:rPr>
          <w:rFonts w:hint="eastAsia"/>
        </w:rPr>
        <w:t>迁移期间接近零停机时间</w:t>
      </w:r>
    </w:p>
    <w:p w14:paraId="364F5739" w14:textId="77777777" w:rsidR="0004621C" w:rsidRPr="00C91576" w:rsidRDefault="0004621C">
      <w:pPr>
        <w:pStyle w:val="a3"/>
        <w:widowControl/>
        <w:numPr>
          <w:ilvl w:val="0"/>
          <w:numId w:val="103"/>
        </w:numPr>
        <w:spacing w:line="360" w:lineRule="auto"/>
        <w:ind w:firstLineChars="0"/>
        <w:jc w:val="left"/>
        <w:rPr>
          <w:rFonts w:hint="eastAsia"/>
        </w:rPr>
      </w:pPr>
      <w:r w:rsidRPr="00C91576">
        <w:rPr>
          <w:rFonts w:hint="eastAsia"/>
        </w:rPr>
        <w:lastRenderedPageBreak/>
        <w:t>对整个系统进行迁移，从服务器到定制应用服务器和域控制器；</w:t>
      </w:r>
    </w:p>
    <w:p w14:paraId="1CD1E95F" w14:textId="77777777" w:rsidR="0004621C" w:rsidRPr="00C91576" w:rsidRDefault="0004621C">
      <w:pPr>
        <w:pStyle w:val="a3"/>
        <w:widowControl/>
        <w:numPr>
          <w:ilvl w:val="0"/>
          <w:numId w:val="103"/>
        </w:numPr>
        <w:spacing w:line="360" w:lineRule="auto"/>
        <w:ind w:firstLineChars="0"/>
        <w:jc w:val="left"/>
        <w:rPr>
          <w:rFonts w:hint="eastAsia"/>
        </w:rPr>
      </w:pPr>
      <w:r w:rsidRPr="00C91576">
        <w:rPr>
          <w:rFonts w:hint="eastAsia"/>
        </w:rPr>
        <w:t>捕获迁移期间用户在旧服务器上作出的任何更改，都能将其复制到新的虚拟机内；</w:t>
      </w:r>
    </w:p>
    <w:p w14:paraId="3BF295D0" w14:textId="77777777" w:rsidR="0004621C" w:rsidRPr="00C91576" w:rsidRDefault="0004621C">
      <w:pPr>
        <w:pStyle w:val="a3"/>
        <w:widowControl/>
        <w:numPr>
          <w:ilvl w:val="0"/>
          <w:numId w:val="103"/>
        </w:numPr>
        <w:spacing w:line="360" w:lineRule="auto"/>
        <w:ind w:firstLineChars="0"/>
        <w:jc w:val="left"/>
        <w:rPr>
          <w:rFonts w:hint="eastAsia"/>
        </w:rPr>
      </w:pPr>
      <w:r w:rsidRPr="00C91576">
        <w:rPr>
          <w:rFonts w:hint="eastAsia"/>
        </w:rPr>
        <w:t>完整同步并将所有差异数据都复制到新服务器之后，只须短暂的切换时停机时间；</w:t>
      </w:r>
    </w:p>
    <w:p w14:paraId="646A1E28" w14:textId="0FE29213" w:rsidR="0004621C" w:rsidRPr="00C91576" w:rsidRDefault="0004621C">
      <w:pPr>
        <w:pStyle w:val="a3"/>
        <w:widowControl/>
        <w:numPr>
          <w:ilvl w:val="0"/>
          <w:numId w:val="103"/>
        </w:numPr>
        <w:spacing w:line="360" w:lineRule="auto"/>
        <w:ind w:firstLineChars="0"/>
        <w:jc w:val="left"/>
        <w:rPr>
          <w:rFonts w:hint="eastAsia"/>
        </w:rPr>
      </w:pPr>
      <w:r w:rsidRPr="00C91576">
        <w:rPr>
          <w:rFonts w:hint="eastAsia"/>
        </w:rPr>
        <w:t>可在工作时间进行迁移，意味着IT工作人员无需周末和晚上加班；</w:t>
      </w:r>
    </w:p>
    <w:p w14:paraId="5613DD51" w14:textId="020A8C7E" w:rsidR="0004621C" w:rsidRPr="00C91576" w:rsidRDefault="0004621C">
      <w:pPr>
        <w:pStyle w:val="a3"/>
        <w:widowControl/>
        <w:numPr>
          <w:ilvl w:val="0"/>
          <w:numId w:val="103"/>
        </w:numPr>
        <w:spacing w:line="360" w:lineRule="auto"/>
        <w:ind w:firstLineChars="0"/>
        <w:jc w:val="left"/>
        <w:rPr>
          <w:rFonts w:hint="eastAsia"/>
        </w:rPr>
      </w:pPr>
      <w:r w:rsidRPr="00C91576">
        <w:rPr>
          <w:rFonts w:hint="eastAsia"/>
        </w:rPr>
        <w:t>即使是通过低带宽的WAN，也能将源计算机的数据镜像到新的目的虚拟机内；</w:t>
      </w:r>
    </w:p>
    <w:p w14:paraId="531E3EC5" w14:textId="77777777" w:rsidR="0004621C" w:rsidRPr="004F5B74" w:rsidRDefault="0004621C" w:rsidP="0004621C">
      <w:pPr>
        <w:spacing w:line="360" w:lineRule="auto"/>
        <w:ind w:firstLineChars="242" w:firstLine="508"/>
        <w:rPr>
          <w:rFonts w:hint="eastAsia"/>
        </w:rPr>
      </w:pPr>
      <w:r w:rsidRPr="004F5B74">
        <w:rPr>
          <w:rFonts w:hint="eastAsia"/>
        </w:rPr>
        <w:t>高效整合</w:t>
      </w:r>
    </w:p>
    <w:p w14:paraId="4A5AFD4F" w14:textId="7077AFBB" w:rsidR="0004621C" w:rsidRPr="00C91576" w:rsidRDefault="0004621C">
      <w:pPr>
        <w:pStyle w:val="a3"/>
        <w:widowControl/>
        <w:numPr>
          <w:ilvl w:val="0"/>
          <w:numId w:val="103"/>
        </w:numPr>
        <w:spacing w:line="360" w:lineRule="auto"/>
        <w:ind w:firstLineChars="0"/>
        <w:jc w:val="left"/>
        <w:rPr>
          <w:rFonts w:hint="eastAsia"/>
        </w:rPr>
      </w:pPr>
      <w:r w:rsidRPr="00C91576">
        <w:rPr>
          <w:rFonts w:hint="eastAsia"/>
        </w:rPr>
        <w:t>WAN友好型实时CDP复制；</w:t>
      </w:r>
    </w:p>
    <w:p w14:paraId="1FB48F33" w14:textId="483FC589" w:rsidR="0004621C" w:rsidRPr="00C91576" w:rsidRDefault="0004621C">
      <w:pPr>
        <w:pStyle w:val="a3"/>
        <w:widowControl/>
        <w:numPr>
          <w:ilvl w:val="0"/>
          <w:numId w:val="103"/>
        </w:numPr>
        <w:spacing w:line="360" w:lineRule="auto"/>
        <w:ind w:firstLineChars="0"/>
        <w:jc w:val="left"/>
        <w:rPr>
          <w:rFonts w:hint="eastAsia"/>
        </w:rPr>
      </w:pPr>
      <w:r w:rsidRPr="00C91576">
        <w:rPr>
          <w:rFonts w:hint="eastAsia"/>
        </w:rPr>
        <w:t>在跨WAN环境下的大型数据迁移，能经由可移动的物理设备将历史数据移动新服务器后，再进行差异的比对；配置简单灵活；</w:t>
      </w:r>
    </w:p>
    <w:p w14:paraId="6CE666A6" w14:textId="77777777" w:rsidR="0004621C" w:rsidRPr="00C91576" w:rsidRDefault="0004621C">
      <w:pPr>
        <w:pStyle w:val="a3"/>
        <w:widowControl/>
        <w:numPr>
          <w:ilvl w:val="0"/>
          <w:numId w:val="103"/>
        </w:numPr>
        <w:spacing w:line="360" w:lineRule="auto"/>
        <w:ind w:firstLineChars="0"/>
        <w:jc w:val="left"/>
        <w:rPr>
          <w:rFonts w:hint="eastAsia"/>
        </w:rPr>
      </w:pPr>
      <w:r w:rsidRPr="00C91576">
        <w:rPr>
          <w:rFonts w:hint="eastAsia"/>
        </w:rPr>
        <w:t>仅需最少量的带宽。灵活带宽限制和智能压缩功能允许控制迁移操作时所需的带宽；</w:t>
      </w:r>
    </w:p>
    <w:p w14:paraId="5DFCE750" w14:textId="5189EB57" w:rsidR="0004621C" w:rsidRPr="00C91576" w:rsidRDefault="0004621C">
      <w:pPr>
        <w:pStyle w:val="a3"/>
        <w:widowControl/>
        <w:numPr>
          <w:ilvl w:val="0"/>
          <w:numId w:val="103"/>
        </w:numPr>
        <w:spacing w:line="360" w:lineRule="auto"/>
        <w:ind w:firstLineChars="0"/>
        <w:jc w:val="left"/>
        <w:rPr>
          <w:rFonts w:hint="eastAsia"/>
        </w:rPr>
      </w:pPr>
      <w:r w:rsidRPr="00C91576">
        <w:rPr>
          <w:rFonts w:hint="eastAsia"/>
        </w:rPr>
        <w:t>迁移目标物理或虚拟服务器的驱动器数量、驱动器容量、CPU或内存可与源服务器的不同；</w:t>
      </w:r>
    </w:p>
    <w:p w14:paraId="4A42CF63" w14:textId="77777777" w:rsidR="0004621C" w:rsidRPr="00C91576" w:rsidRDefault="0004621C">
      <w:pPr>
        <w:pStyle w:val="a3"/>
        <w:widowControl/>
        <w:numPr>
          <w:ilvl w:val="0"/>
          <w:numId w:val="103"/>
        </w:numPr>
        <w:spacing w:line="360" w:lineRule="auto"/>
        <w:ind w:firstLineChars="0"/>
        <w:jc w:val="left"/>
        <w:rPr>
          <w:rFonts w:hint="eastAsia"/>
        </w:rPr>
      </w:pPr>
      <w:r w:rsidRPr="00C91576">
        <w:rPr>
          <w:rFonts w:hint="eastAsia"/>
        </w:rPr>
        <w:t>统一、简明的界面使您能够简单高效地管理大型迁移项目；</w:t>
      </w:r>
    </w:p>
    <w:p w14:paraId="001AF551" w14:textId="77777777" w:rsidR="0004621C" w:rsidRPr="00C91576" w:rsidRDefault="0004621C">
      <w:pPr>
        <w:pStyle w:val="a3"/>
        <w:widowControl/>
        <w:numPr>
          <w:ilvl w:val="0"/>
          <w:numId w:val="103"/>
        </w:numPr>
        <w:spacing w:line="360" w:lineRule="auto"/>
        <w:ind w:firstLineChars="0"/>
        <w:jc w:val="left"/>
        <w:rPr>
          <w:rFonts w:hint="eastAsia"/>
        </w:rPr>
      </w:pPr>
      <w:r w:rsidRPr="00C91576">
        <w:rPr>
          <w:rFonts w:hint="eastAsia"/>
        </w:rPr>
        <w:t>简便的远程安装和许可证管理方式减轻部署工作；</w:t>
      </w:r>
    </w:p>
    <w:p w14:paraId="2541CA91" w14:textId="77777777" w:rsidR="0004621C" w:rsidRPr="00C91576" w:rsidRDefault="0004621C">
      <w:pPr>
        <w:pStyle w:val="a3"/>
        <w:widowControl/>
        <w:numPr>
          <w:ilvl w:val="0"/>
          <w:numId w:val="103"/>
        </w:numPr>
        <w:spacing w:line="360" w:lineRule="auto"/>
        <w:ind w:firstLineChars="0"/>
        <w:jc w:val="left"/>
        <w:rPr>
          <w:rFonts w:hint="eastAsia"/>
        </w:rPr>
      </w:pPr>
      <w:r w:rsidRPr="00C91576">
        <w:rPr>
          <w:rFonts w:hint="eastAsia"/>
        </w:rPr>
        <w:t>几乎无需人工配置和验收测试</w:t>
      </w:r>
    </w:p>
    <w:p w14:paraId="6804E19C" w14:textId="77777777" w:rsidR="0004621C" w:rsidRDefault="0004621C">
      <w:pPr>
        <w:pStyle w:val="a3"/>
        <w:widowControl/>
        <w:numPr>
          <w:ilvl w:val="0"/>
          <w:numId w:val="103"/>
        </w:numPr>
        <w:spacing w:line="360" w:lineRule="auto"/>
        <w:ind w:firstLineChars="0"/>
        <w:jc w:val="left"/>
        <w:rPr>
          <w:rFonts w:hint="eastAsia"/>
        </w:rPr>
      </w:pPr>
      <w:r w:rsidRPr="00C91576">
        <w:rPr>
          <w:rFonts w:hint="eastAsia"/>
        </w:rPr>
        <w:t>可手动或设为完全自动切换至新服务器；</w:t>
      </w:r>
    </w:p>
    <w:p w14:paraId="1E500A18" w14:textId="77777777" w:rsidR="0004621C" w:rsidRPr="00882217" w:rsidRDefault="0004621C" w:rsidP="0004621C">
      <w:pPr>
        <w:pStyle w:val="5"/>
        <w:rPr>
          <w:rFonts w:hint="eastAsia"/>
        </w:rPr>
      </w:pPr>
      <w:bookmarkStart w:id="136" w:name="_Toc79421333"/>
      <w:r w:rsidRPr="00882217">
        <w:t>操作系统兼容性列表</w:t>
      </w:r>
      <w:bookmarkEnd w:id="136"/>
    </w:p>
    <w:p w14:paraId="7FA00E2F" w14:textId="71231E2E" w:rsidR="0004621C" w:rsidRDefault="0004621C" w:rsidP="0004621C">
      <w:pPr>
        <w:rPr>
          <w:rFonts w:hint="eastAsia"/>
        </w:rPr>
      </w:pPr>
      <w:r>
        <w:rPr>
          <w:rFonts w:hint="eastAsia"/>
        </w:rPr>
        <w:t>我公司云迁移平台系统客户端所支持如下操作系统：</w:t>
      </w:r>
    </w:p>
    <w:tbl>
      <w:tblPr>
        <w:tblW w:w="8222" w:type="dxa"/>
        <w:tblBorders>
          <w:top w:val="single" w:sz="4" w:space="0" w:color="auto"/>
          <w:bottom w:val="single" w:sz="4" w:space="0" w:color="auto"/>
          <w:insideH w:val="single" w:sz="4" w:space="0" w:color="808080"/>
          <w:insideV w:val="single" w:sz="4" w:space="0" w:color="808080"/>
        </w:tblBorders>
        <w:tblLayout w:type="fixed"/>
        <w:tblLook w:val="0000" w:firstRow="0" w:lastRow="0" w:firstColumn="0" w:lastColumn="0" w:noHBand="0" w:noVBand="0"/>
      </w:tblPr>
      <w:tblGrid>
        <w:gridCol w:w="1134"/>
        <w:gridCol w:w="3261"/>
        <w:gridCol w:w="3827"/>
      </w:tblGrid>
      <w:tr w:rsidR="0004621C" w14:paraId="368987F9" w14:textId="77777777" w:rsidTr="008A39BD">
        <w:trPr>
          <w:trHeight w:val="416"/>
        </w:trPr>
        <w:tc>
          <w:tcPr>
            <w:tcW w:w="1134" w:type="dxa"/>
            <w:tcBorders>
              <w:top w:val="single" w:sz="4" w:space="0" w:color="auto"/>
              <w:left w:val="nil"/>
              <w:bottom w:val="single" w:sz="4" w:space="0" w:color="808080"/>
              <w:right w:val="single" w:sz="4" w:space="0" w:color="808080"/>
            </w:tcBorders>
            <w:shd w:val="clear" w:color="auto" w:fill="D9D9D9"/>
            <w:vAlign w:val="center"/>
          </w:tcPr>
          <w:p w14:paraId="3A4D2E9D" w14:textId="77777777" w:rsidR="0004621C" w:rsidRDefault="0004621C" w:rsidP="0004621C">
            <w:pPr>
              <w:pStyle w:val="TableHeading"/>
              <w:jc w:val="left"/>
            </w:pPr>
            <w:r>
              <w:rPr>
                <w:rFonts w:hint="eastAsia"/>
              </w:rPr>
              <w:lastRenderedPageBreak/>
              <w:t>兼容性</w:t>
            </w:r>
          </w:p>
        </w:tc>
        <w:tc>
          <w:tcPr>
            <w:tcW w:w="3261" w:type="dxa"/>
            <w:tcBorders>
              <w:top w:val="single" w:sz="4" w:space="0" w:color="auto"/>
              <w:left w:val="single" w:sz="4" w:space="0" w:color="808080"/>
              <w:bottom w:val="single" w:sz="4" w:space="0" w:color="808080"/>
              <w:right w:val="single" w:sz="4" w:space="0" w:color="808080"/>
            </w:tcBorders>
            <w:shd w:val="clear" w:color="auto" w:fill="D9D9D9"/>
            <w:vAlign w:val="center"/>
          </w:tcPr>
          <w:p w14:paraId="3E021B85" w14:textId="77777777" w:rsidR="0004621C" w:rsidRDefault="0004621C" w:rsidP="0004621C">
            <w:pPr>
              <w:pStyle w:val="TableHeading"/>
              <w:ind w:firstLine="400"/>
            </w:pPr>
            <w:r>
              <w:rPr>
                <w:rFonts w:hint="eastAsia"/>
              </w:rPr>
              <w:t>Windows</w:t>
            </w:r>
            <w:r>
              <w:rPr>
                <w:rFonts w:hint="eastAsia"/>
              </w:rPr>
              <w:t>系统</w:t>
            </w:r>
          </w:p>
        </w:tc>
        <w:tc>
          <w:tcPr>
            <w:tcW w:w="3827" w:type="dxa"/>
            <w:tcBorders>
              <w:top w:val="single" w:sz="4" w:space="0" w:color="auto"/>
              <w:left w:val="single" w:sz="4" w:space="0" w:color="808080"/>
              <w:bottom w:val="single" w:sz="4" w:space="0" w:color="808080"/>
              <w:right w:val="nil"/>
            </w:tcBorders>
            <w:shd w:val="clear" w:color="auto" w:fill="D9D9D9"/>
            <w:vAlign w:val="center"/>
          </w:tcPr>
          <w:p w14:paraId="71E69907" w14:textId="77777777" w:rsidR="0004621C" w:rsidRDefault="0004621C" w:rsidP="0004621C">
            <w:pPr>
              <w:pStyle w:val="TableHeading"/>
              <w:ind w:firstLine="400"/>
            </w:pPr>
            <w:r>
              <w:rPr>
                <w:rFonts w:hint="eastAsia"/>
              </w:rPr>
              <w:t>Linux</w:t>
            </w:r>
            <w:r>
              <w:rPr>
                <w:rFonts w:hint="eastAsia"/>
              </w:rPr>
              <w:t>系统</w:t>
            </w:r>
          </w:p>
        </w:tc>
      </w:tr>
      <w:tr w:rsidR="0004621C" w14:paraId="36B74CB0" w14:textId="77777777" w:rsidTr="008A39BD">
        <w:tc>
          <w:tcPr>
            <w:tcW w:w="1134" w:type="dxa"/>
            <w:vAlign w:val="center"/>
          </w:tcPr>
          <w:p w14:paraId="55321A9F" w14:textId="77777777" w:rsidR="0004621C" w:rsidRDefault="0004621C" w:rsidP="0004621C">
            <w:pPr>
              <w:pStyle w:val="TableHeading"/>
              <w:jc w:val="left"/>
            </w:pPr>
            <w:r>
              <w:rPr>
                <w:rFonts w:hint="eastAsia"/>
              </w:rPr>
              <w:t>OS</w:t>
            </w:r>
            <w:r>
              <w:rPr>
                <w:rFonts w:hint="eastAsia"/>
              </w:rPr>
              <w:t>列表</w:t>
            </w:r>
          </w:p>
        </w:tc>
        <w:tc>
          <w:tcPr>
            <w:tcW w:w="3261" w:type="dxa"/>
            <w:vAlign w:val="center"/>
          </w:tcPr>
          <w:p w14:paraId="7E342451" w14:textId="78F715F6" w:rsidR="0004621C" w:rsidRDefault="0004621C" w:rsidP="0004621C">
            <w:pPr>
              <w:pStyle w:val="TableText"/>
              <w:ind w:firstLine="400"/>
            </w:pPr>
            <w:r>
              <w:t>windows2003x32</w:t>
            </w:r>
          </w:p>
          <w:p w14:paraId="31624079" w14:textId="711E8956" w:rsidR="0004621C" w:rsidRDefault="0004621C" w:rsidP="0004621C">
            <w:pPr>
              <w:pStyle w:val="TableText"/>
              <w:ind w:firstLine="400"/>
            </w:pPr>
            <w:r>
              <w:t>windows2003x64</w:t>
            </w:r>
          </w:p>
          <w:p w14:paraId="21501DFA" w14:textId="5DE01489" w:rsidR="0004621C" w:rsidRDefault="0004621C" w:rsidP="0004621C">
            <w:pPr>
              <w:pStyle w:val="TableText"/>
              <w:ind w:firstLine="400"/>
            </w:pPr>
            <w:r>
              <w:t>windows2003R2</w:t>
            </w:r>
          </w:p>
          <w:p w14:paraId="199AC641" w14:textId="7EB6914B" w:rsidR="0004621C" w:rsidRDefault="0004621C" w:rsidP="0004621C">
            <w:pPr>
              <w:pStyle w:val="TableText"/>
              <w:ind w:firstLine="400"/>
            </w:pPr>
            <w:r>
              <w:t>windows2008x32</w:t>
            </w:r>
          </w:p>
          <w:p w14:paraId="61B47B8F" w14:textId="7E06760F" w:rsidR="0004621C" w:rsidRDefault="0004621C" w:rsidP="0004621C">
            <w:pPr>
              <w:pStyle w:val="TableText"/>
              <w:ind w:firstLine="400"/>
            </w:pPr>
            <w:r>
              <w:t>windows2008x64</w:t>
            </w:r>
          </w:p>
          <w:p w14:paraId="63F515E2" w14:textId="6B4997D3" w:rsidR="0004621C" w:rsidRDefault="0004621C" w:rsidP="0004621C">
            <w:pPr>
              <w:pStyle w:val="TableText"/>
              <w:ind w:firstLine="400"/>
            </w:pPr>
            <w:r>
              <w:t>windows2k8R2x64</w:t>
            </w:r>
          </w:p>
          <w:p w14:paraId="4C555F62" w14:textId="4DF20E90" w:rsidR="0004621C" w:rsidRDefault="0004621C" w:rsidP="0004621C">
            <w:pPr>
              <w:pStyle w:val="TableText"/>
              <w:ind w:firstLine="400"/>
            </w:pPr>
            <w:r>
              <w:t>windows2k8R2SP1</w:t>
            </w:r>
          </w:p>
          <w:p w14:paraId="02391C1B" w14:textId="5A2581AD" w:rsidR="0004621C" w:rsidRDefault="0004621C" w:rsidP="0004621C">
            <w:pPr>
              <w:pStyle w:val="TableText"/>
              <w:ind w:firstLine="400"/>
            </w:pPr>
            <w:r>
              <w:t>windows2012</w:t>
            </w:r>
          </w:p>
          <w:p w14:paraId="63F7E1B1" w14:textId="74DF741A" w:rsidR="0004621C" w:rsidRDefault="0004621C" w:rsidP="0004621C">
            <w:pPr>
              <w:pStyle w:val="TableText"/>
              <w:ind w:firstLine="400"/>
            </w:pPr>
            <w:r>
              <w:t>Windows2012R2</w:t>
            </w:r>
          </w:p>
          <w:p w14:paraId="379A31C0" w14:textId="3B75F1AC" w:rsidR="0004621C" w:rsidRDefault="0004621C" w:rsidP="0004621C">
            <w:pPr>
              <w:pStyle w:val="TableText"/>
              <w:ind w:firstLine="400"/>
            </w:pPr>
            <w:r>
              <w:t>windows2016</w:t>
            </w:r>
          </w:p>
          <w:p w14:paraId="41BA93C7" w14:textId="437A3111" w:rsidR="0004621C" w:rsidRDefault="0004621C" w:rsidP="0004621C">
            <w:pPr>
              <w:pStyle w:val="TableText"/>
              <w:ind w:firstLine="400"/>
            </w:pPr>
            <w:r>
              <w:t>Windows2016R</w:t>
            </w:r>
            <w:r>
              <w:rPr>
                <w:rFonts w:hint="eastAsia"/>
              </w:rPr>
              <w:t>2</w:t>
            </w:r>
          </w:p>
          <w:p w14:paraId="3C6AF53A" w14:textId="41B944D9" w:rsidR="0004621C" w:rsidRDefault="0004621C" w:rsidP="0004621C">
            <w:pPr>
              <w:pStyle w:val="TableText"/>
              <w:ind w:firstLine="400"/>
            </w:pPr>
            <w:r>
              <w:rPr>
                <w:rFonts w:hint="eastAsia"/>
              </w:rPr>
              <w:t>Windows2018</w:t>
            </w:r>
          </w:p>
          <w:p w14:paraId="31735331" w14:textId="7B931358" w:rsidR="0004621C" w:rsidRDefault="0004621C" w:rsidP="0004621C">
            <w:pPr>
              <w:pStyle w:val="TableText"/>
              <w:ind w:firstLine="400"/>
            </w:pPr>
            <w:r>
              <w:rPr>
                <w:rFonts w:hint="eastAsia"/>
              </w:rPr>
              <w:t>Windows2019</w:t>
            </w:r>
          </w:p>
        </w:tc>
        <w:tc>
          <w:tcPr>
            <w:tcW w:w="3827" w:type="dxa"/>
            <w:vAlign w:val="center"/>
          </w:tcPr>
          <w:p w14:paraId="304B3A5F" w14:textId="1BE4EB04"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Redhat4/5/632bit</w:t>
            </w:r>
          </w:p>
          <w:p w14:paraId="510B117F" w14:textId="2557BD55"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Redhat4/5/6/7</w:t>
            </w:r>
            <w:r>
              <w:rPr>
                <w:rFonts w:ascii="Calibri" w:hAnsi="Calibri" w:cs="Calibri" w:hint="eastAsia"/>
                <w:color w:val="000000"/>
                <w:szCs w:val="21"/>
              </w:rPr>
              <w:t>/8</w:t>
            </w:r>
            <w:r>
              <w:rPr>
                <w:rFonts w:ascii="Calibri" w:hAnsi="Calibri" w:cs="Calibri"/>
                <w:color w:val="000000"/>
                <w:szCs w:val="21"/>
              </w:rPr>
              <w:t>64bit</w:t>
            </w:r>
          </w:p>
          <w:p w14:paraId="30AB1DD0" w14:textId="2DB720BB"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Centos632bit</w:t>
            </w:r>
          </w:p>
          <w:p w14:paraId="2FA384E3" w14:textId="29FA3E3D"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Centos6/7</w:t>
            </w:r>
            <w:r w:rsidR="00423D73">
              <w:rPr>
                <w:rFonts w:ascii="Calibri" w:hAnsi="Calibri" w:cs="Calibri" w:hint="eastAsia"/>
                <w:color w:val="000000"/>
                <w:szCs w:val="21"/>
              </w:rPr>
              <w:t>/7.5</w:t>
            </w:r>
            <w:r>
              <w:rPr>
                <w:rFonts w:ascii="Calibri" w:hAnsi="Calibri" w:cs="Calibri"/>
                <w:color w:val="000000"/>
                <w:szCs w:val="21"/>
              </w:rPr>
              <w:t>64bit</w:t>
            </w:r>
          </w:p>
          <w:p w14:paraId="2F2DC784" w14:textId="6903B785"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Suse10/1132bit</w:t>
            </w:r>
          </w:p>
          <w:p w14:paraId="0A4BDEA2" w14:textId="256E35A9"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Suse10</w:t>
            </w:r>
            <w:r>
              <w:rPr>
                <w:rFonts w:ascii="Calibri" w:hAnsi="Calibri" w:cs="Calibri" w:hint="eastAsia"/>
                <w:color w:val="000000"/>
                <w:szCs w:val="21"/>
              </w:rPr>
              <w:t>-15</w:t>
            </w:r>
            <w:r>
              <w:rPr>
                <w:rFonts w:ascii="Calibri" w:hAnsi="Calibri" w:cs="Calibri"/>
                <w:color w:val="000000"/>
                <w:szCs w:val="21"/>
              </w:rPr>
              <w:t>64bit</w:t>
            </w:r>
          </w:p>
          <w:p w14:paraId="1BA8B1DD" w14:textId="478C38BC" w:rsidR="0004621C" w:rsidRDefault="0004621C" w:rsidP="0004621C">
            <w:pPr>
              <w:pStyle w:val="TableText"/>
              <w:ind w:firstLine="400"/>
              <w:rPr>
                <w:rFonts w:ascii="Times New Roman" w:hAnsi="Times New Roman" w:cs="Times New Roman"/>
                <w:color w:val="000000"/>
                <w:szCs w:val="21"/>
              </w:rPr>
            </w:pPr>
            <w:r>
              <w:rPr>
                <w:rFonts w:cs="Calibri" w:hint="eastAsia"/>
                <w:color w:val="000000"/>
                <w:szCs w:val="21"/>
              </w:rPr>
              <w:t>中标麒麟</w:t>
            </w:r>
            <w:r>
              <w:rPr>
                <w:rFonts w:ascii="Calibri" w:hAnsi="Calibri" w:cs="Calibri"/>
                <w:color w:val="000000"/>
                <w:szCs w:val="21"/>
              </w:rPr>
              <w:t>5.0/6.0/6.5/6.7/V764bit</w:t>
            </w:r>
          </w:p>
          <w:p w14:paraId="31BC29ED" w14:textId="0BB665BA" w:rsidR="0004621C" w:rsidRDefault="0004621C" w:rsidP="0004621C">
            <w:pPr>
              <w:pStyle w:val="TableText"/>
              <w:ind w:firstLine="400"/>
              <w:rPr>
                <w:rFonts w:ascii="Times New Roman" w:hAnsi="Times New Roman" w:cs="Times New Roman"/>
                <w:color w:val="000000"/>
                <w:szCs w:val="21"/>
              </w:rPr>
            </w:pPr>
            <w:r>
              <w:rPr>
                <w:rFonts w:cs="Calibri" w:hint="eastAsia"/>
                <w:color w:val="000000"/>
                <w:szCs w:val="21"/>
              </w:rPr>
              <w:t>银河麒麟</w:t>
            </w:r>
            <w:r>
              <w:rPr>
                <w:rFonts w:ascii="Calibri" w:hAnsi="Calibri" w:cs="Calibri"/>
                <w:color w:val="000000"/>
                <w:szCs w:val="21"/>
              </w:rPr>
              <w:t>3.2/6.764bit</w:t>
            </w:r>
          </w:p>
          <w:p w14:paraId="0FA08941" w14:textId="365E3B45" w:rsidR="0004621C" w:rsidRDefault="0004621C" w:rsidP="0004621C">
            <w:pPr>
              <w:pStyle w:val="TableText"/>
              <w:ind w:firstLine="400"/>
              <w:rPr>
                <w:rFonts w:ascii="Calibri" w:hAnsi="Calibri" w:cs="Calibri"/>
                <w:color w:val="000000"/>
                <w:szCs w:val="21"/>
              </w:rPr>
            </w:pPr>
            <w:r>
              <w:rPr>
                <w:rFonts w:ascii="Calibri" w:hAnsi="Calibri" w:cs="Calibri"/>
                <w:color w:val="000000"/>
                <w:szCs w:val="21"/>
              </w:rPr>
              <w:t>Ubuntu12/1464bit</w:t>
            </w:r>
          </w:p>
          <w:p w14:paraId="1AA13D3F" w14:textId="5814A333" w:rsidR="0004621C" w:rsidRDefault="0004621C" w:rsidP="0004621C">
            <w:pPr>
              <w:pStyle w:val="TableText"/>
              <w:ind w:firstLine="400"/>
            </w:pPr>
            <w:proofErr w:type="spellStart"/>
            <w:r>
              <w:rPr>
                <w:rFonts w:ascii="Calibri" w:hAnsi="Calibri" w:cs="Calibri" w:hint="eastAsia"/>
                <w:color w:val="000000"/>
                <w:szCs w:val="21"/>
              </w:rPr>
              <w:t>AWSlinux</w:t>
            </w:r>
            <w:proofErr w:type="spellEnd"/>
          </w:p>
        </w:tc>
      </w:tr>
      <w:tr w:rsidR="0004621C" w14:paraId="67552C3A" w14:textId="77777777" w:rsidTr="008A39BD">
        <w:tc>
          <w:tcPr>
            <w:tcW w:w="1134" w:type="dxa"/>
            <w:vAlign w:val="center"/>
          </w:tcPr>
          <w:p w14:paraId="3105DB9F" w14:textId="77777777" w:rsidR="0004621C" w:rsidRDefault="0004621C" w:rsidP="0004621C">
            <w:pPr>
              <w:pStyle w:val="TableHeading"/>
              <w:jc w:val="left"/>
            </w:pPr>
            <w:r>
              <w:rPr>
                <w:rFonts w:hint="eastAsia"/>
              </w:rPr>
              <w:t>数据库</w:t>
            </w:r>
          </w:p>
        </w:tc>
        <w:tc>
          <w:tcPr>
            <w:tcW w:w="3261" w:type="dxa"/>
            <w:vAlign w:val="center"/>
          </w:tcPr>
          <w:p w14:paraId="48C73AE1" w14:textId="77777777" w:rsidR="0004621C" w:rsidRDefault="0004621C" w:rsidP="0004621C">
            <w:pPr>
              <w:pStyle w:val="TableText"/>
              <w:ind w:firstLine="400"/>
            </w:pPr>
            <w:proofErr w:type="spellStart"/>
            <w:r>
              <w:rPr>
                <w:rFonts w:hint="eastAsia"/>
              </w:rPr>
              <w:t>mysql</w:t>
            </w:r>
            <w:proofErr w:type="spellEnd"/>
          </w:p>
          <w:p w14:paraId="1E2A9498" w14:textId="77777777" w:rsidR="0004621C" w:rsidRDefault="0004621C" w:rsidP="0004621C">
            <w:pPr>
              <w:pStyle w:val="TableText"/>
              <w:ind w:firstLine="400"/>
            </w:pPr>
            <w:r>
              <w:rPr>
                <w:rFonts w:hint="eastAsia"/>
              </w:rPr>
              <w:t>oracle</w:t>
            </w:r>
          </w:p>
          <w:p w14:paraId="6293504D" w14:textId="2AC5D344" w:rsidR="0004621C" w:rsidRDefault="0004621C" w:rsidP="0004621C">
            <w:pPr>
              <w:pStyle w:val="TableText"/>
              <w:ind w:firstLine="400"/>
            </w:pPr>
            <w:proofErr w:type="spellStart"/>
            <w:r>
              <w:rPr>
                <w:rFonts w:hint="eastAsia"/>
              </w:rPr>
              <w:t>SQLserver</w:t>
            </w:r>
            <w:proofErr w:type="spellEnd"/>
          </w:p>
          <w:p w14:paraId="487C85F2" w14:textId="77777777" w:rsidR="0004621C" w:rsidRDefault="0004621C" w:rsidP="0004621C">
            <w:pPr>
              <w:pStyle w:val="TableText"/>
              <w:ind w:firstLine="400"/>
            </w:pPr>
            <w:proofErr w:type="spellStart"/>
            <w:r>
              <w:rPr>
                <w:rFonts w:hint="eastAsia"/>
              </w:rPr>
              <w:t>sybase</w:t>
            </w:r>
            <w:proofErr w:type="spellEnd"/>
          </w:p>
          <w:p w14:paraId="6C2B64EF" w14:textId="77777777" w:rsidR="0004621C" w:rsidRDefault="0004621C" w:rsidP="0004621C">
            <w:pPr>
              <w:pStyle w:val="TableText"/>
              <w:ind w:firstLine="400"/>
            </w:pPr>
            <w:proofErr w:type="spellStart"/>
            <w:r>
              <w:rPr>
                <w:rFonts w:hint="eastAsia"/>
              </w:rPr>
              <w:t>acess</w:t>
            </w:r>
            <w:proofErr w:type="spellEnd"/>
          </w:p>
          <w:p w14:paraId="57CC24BA" w14:textId="77777777" w:rsidR="0004621C" w:rsidRDefault="0004621C" w:rsidP="0004621C">
            <w:pPr>
              <w:pStyle w:val="TableText"/>
              <w:ind w:firstLine="400"/>
            </w:pPr>
            <w:r>
              <w:rPr>
                <w:rFonts w:hint="eastAsia"/>
              </w:rPr>
              <w:t>以上按照整机进行迁移</w:t>
            </w:r>
          </w:p>
        </w:tc>
        <w:tc>
          <w:tcPr>
            <w:tcW w:w="3827" w:type="dxa"/>
            <w:vAlign w:val="center"/>
          </w:tcPr>
          <w:p w14:paraId="4DA9CFCE" w14:textId="77777777"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mysql</w:t>
            </w:r>
            <w:proofErr w:type="spellEnd"/>
          </w:p>
          <w:p w14:paraId="069602AF"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oracle</w:t>
            </w:r>
          </w:p>
          <w:p w14:paraId="43F195D1" w14:textId="77777777"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sybase</w:t>
            </w:r>
            <w:proofErr w:type="spellEnd"/>
          </w:p>
          <w:p w14:paraId="260D4D24" w14:textId="77777777" w:rsidR="0004621C" w:rsidRDefault="0004621C" w:rsidP="0004621C">
            <w:pPr>
              <w:pStyle w:val="TableText"/>
              <w:ind w:firstLine="400"/>
            </w:pPr>
            <w:r>
              <w:rPr>
                <w:rFonts w:ascii="Calibri" w:hAnsi="Calibri" w:cs="Calibri" w:hint="eastAsia"/>
                <w:szCs w:val="21"/>
              </w:rPr>
              <w:t>以上按照整机进行迁移。</w:t>
            </w:r>
          </w:p>
        </w:tc>
      </w:tr>
      <w:tr w:rsidR="0004621C" w14:paraId="6FEBEE22" w14:textId="77777777" w:rsidTr="008A39BD">
        <w:tc>
          <w:tcPr>
            <w:tcW w:w="1134" w:type="dxa"/>
            <w:vAlign w:val="center"/>
          </w:tcPr>
          <w:p w14:paraId="498E9838" w14:textId="77777777" w:rsidR="0004621C" w:rsidRDefault="0004621C" w:rsidP="0004621C">
            <w:pPr>
              <w:pStyle w:val="TableHeading"/>
              <w:jc w:val="left"/>
            </w:pPr>
            <w:r>
              <w:rPr>
                <w:rFonts w:hint="eastAsia"/>
              </w:rPr>
              <w:t>文件系统</w:t>
            </w:r>
          </w:p>
        </w:tc>
        <w:tc>
          <w:tcPr>
            <w:tcW w:w="3261" w:type="dxa"/>
            <w:vAlign w:val="center"/>
          </w:tcPr>
          <w:p w14:paraId="7E726C70" w14:textId="77777777" w:rsidR="0004621C" w:rsidRDefault="0004621C" w:rsidP="0004621C">
            <w:pPr>
              <w:pStyle w:val="TableText"/>
              <w:ind w:firstLine="400"/>
            </w:pPr>
            <w:proofErr w:type="spellStart"/>
            <w:r>
              <w:rPr>
                <w:rFonts w:hint="eastAsia"/>
              </w:rPr>
              <w:t>ntfs</w:t>
            </w:r>
            <w:proofErr w:type="spellEnd"/>
          </w:p>
        </w:tc>
        <w:tc>
          <w:tcPr>
            <w:tcW w:w="3827" w:type="dxa"/>
            <w:vAlign w:val="center"/>
          </w:tcPr>
          <w:p w14:paraId="06B70B90"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ext2</w:t>
            </w:r>
          </w:p>
          <w:p w14:paraId="374344FE"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ext3</w:t>
            </w:r>
          </w:p>
          <w:p w14:paraId="2ABA8829"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ext4</w:t>
            </w:r>
          </w:p>
          <w:p w14:paraId="51065619" w14:textId="02469539"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xfs</w:t>
            </w:r>
            <w:proofErr w:type="spellEnd"/>
          </w:p>
          <w:p w14:paraId="7B21E8AD"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fat</w:t>
            </w:r>
            <w:r>
              <w:rPr>
                <w:rFonts w:ascii="Calibri" w:hAnsi="Calibri" w:cs="Calibri"/>
                <w:szCs w:val="21"/>
              </w:rPr>
              <w:t>32</w:t>
            </w:r>
          </w:p>
          <w:p w14:paraId="5EE82EC1" w14:textId="68D7640D"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ntfs</w:t>
            </w:r>
            <w:proofErr w:type="spellEnd"/>
          </w:p>
          <w:p w14:paraId="0C569056" w14:textId="77777777" w:rsidR="0004621C" w:rsidRDefault="0004621C" w:rsidP="0004621C">
            <w:pPr>
              <w:pStyle w:val="TableText"/>
              <w:ind w:firstLine="400"/>
            </w:pPr>
            <w:proofErr w:type="spellStart"/>
            <w:r>
              <w:rPr>
                <w:rFonts w:ascii="Calibri" w:hAnsi="Calibri" w:cs="Calibri" w:hint="eastAsia"/>
                <w:szCs w:val="21"/>
              </w:rPr>
              <w:t>reiserfs</w:t>
            </w:r>
            <w:proofErr w:type="spellEnd"/>
          </w:p>
        </w:tc>
      </w:tr>
      <w:tr w:rsidR="0004621C" w14:paraId="7A42FC94" w14:textId="77777777" w:rsidTr="008A39BD">
        <w:tc>
          <w:tcPr>
            <w:tcW w:w="1134" w:type="dxa"/>
            <w:vAlign w:val="center"/>
          </w:tcPr>
          <w:p w14:paraId="491B85B6" w14:textId="77777777" w:rsidR="0004621C" w:rsidRDefault="0004621C" w:rsidP="0004621C">
            <w:pPr>
              <w:pStyle w:val="TableHeading"/>
              <w:jc w:val="left"/>
            </w:pPr>
            <w:r>
              <w:rPr>
                <w:rFonts w:hint="eastAsia"/>
              </w:rPr>
              <w:t>磁盘类型</w:t>
            </w:r>
          </w:p>
        </w:tc>
        <w:tc>
          <w:tcPr>
            <w:tcW w:w="3261" w:type="dxa"/>
            <w:vAlign w:val="center"/>
          </w:tcPr>
          <w:p w14:paraId="3FE57E98" w14:textId="77777777" w:rsidR="0004621C" w:rsidRDefault="0004621C" w:rsidP="0004621C">
            <w:pPr>
              <w:pStyle w:val="ItemListinTable"/>
              <w:tabs>
                <w:tab w:val="num" w:pos="397"/>
              </w:tabs>
              <w:rPr>
                <w:lang w:eastAsia="zh-CN"/>
              </w:rPr>
            </w:pPr>
            <w:r>
              <w:rPr>
                <w:rFonts w:hint="eastAsia"/>
                <w:lang w:eastAsia="zh-CN"/>
              </w:rPr>
              <w:t>ISCSI</w:t>
            </w:r>
            <w:r>
              <w:rPr>
                <w:lang w:eastAsia="zh-CN"/>
              </w:rPr>
              <w:t>/FC</w:t>
            </w:r>
          </w:p>
          <w:p w14:paraId="62366123" w14:textId="77777777" w:rsidR="0004621C" w:rsidRDefault="0004621C" w:rsidP="0004621C">
            <w:pPr>
              <w:pStyle w:val="ItemListinTable"/>
              <w:tabs>
                <w:tab w:val="num" w:pos="397"/>
              </w:tabs>
              <w:rPr>
                <w:lang w:eastAsia="zh-CN"/>
              </w:rPr>
            </w:pPr>
            <w:proofErr w:type="spellStart"/>
            <w:r>
              <w:rPr>
                <w:lang w:eastAsia="zh-CN"/>
              </w:rPr>
              <w:t>Mutipath</w:t>
            </w:r>
            <w:proofErr w:type="spellEnd"/>
            <w:r>
              <w:rPr>
                <w:rFonts w:hint="eastAsia"/>
                <w:lang w:eastAsia="zh-CN"/>
              </w:rPr>
              <w:t>多路径盘</w:t>
            </w:r>
          </w:p>
          <w:p w14:paraId="45913F9A" w14:textId="77777777" w:rsidR="0004621C" w:rsidRDefault="0004621C" w:rsidP="0004621C">
            <w:pPr>
              <w:pStyle w:val="ItemListinTable"/>
              <w:tabs>
                <w:tab w:val="num" w:pos="397"/>
              </w:tabs>
              <w:rPr>
                <w:lang w:eastAsia="zh-CN"/>
              </w:rPr>
            </w:pPr>
            <w:r>
              <w:rPr>
                <w:rFonts w:hint="eastAsia"/>
                <w:lang w:eastAsia="zh-CN"/>
              </w:rPr>
              <w:t>其他可识别的磁盘设备</w:t>
            </w:r>
          </w:p>
          <w:p w14:paraId="5B396656" w14:textId="1296FEAD" w:rsidR="00423D73" w:rsidRDefault="00423D73" w:rsidP="0004621C">
            <w:pPr>
              <w:pStyle w:val="ItemListinTable"/>
              <w:tabs>
                <w:tab w:val="num" w:pos="397"/>
              </w:tabs>
              <w:rPr>
                <w:lang w:eastAsia="zh-CN"/>
              </w:rPr>
            </w:pPr>
            <w:r>
              <w:rPr>
                <w:rFonts w:hint="eastAsia"/>
                <w:lang w:eastAsia="zh-CN"/>
              </w:rPr>
              <w:t>各类公有云块存储、对象存储及文件存储</w:t>
            </w:r>
          </w:p>
        </w:tc>
        <w:tc>
          <w:tcPr>
            <w:tcW w:w="3827" w:type="dxa"/>
            <w:vAlign w:val="center"/>
          </w:tcPr>
          <w:p w14:paraId="4417DD4A" w14:textId="77777777" w:rsidR="0004621C" w:rsidRDefault="0004621C" w:rsidP="0004621C">
            <w:pPr>
              <w:pStyle w:val="ItemListinTable"/>
              <w:tabs>
                <w:tab w:val="num" w:pos="397"/>
              </w:tabs>
            </w:pPr>
            <w:r>
              <w:rPr>
                <w:rFonts w:hint="eastAsia"/>
              </w:rPr>
              <w:t>ISCSI</w:t>
            </w:r>
            <w:r>
              <w:t>/FC</w:t>
            </w:r>
          </w:p>
          <w:p w14:paraId="629136DF" w14:textId="77777777" w:rsidR="0004621C" w:rsidRDefault="0004621C" w:rsidP="0004621C">
            <w:pPr>
              <w:pStyle w:val="ItemListinTable"/>
              <w:tabs>
                <w:tab w:val="num" w:pos="397"/>
              </w:tabs>
            </w:pPr>
            <w:proofErr w:type="spellStart"/>
            <w:r>
              <w:t>Mutipath</w:t>
            </w:r>
            <w:r>
              <w:rPr>
                <w:rFonts w:hint="eastAsia"/>
              </w:rPr>
              <w:t>多路径盘</w:t>
            </w:r>
            <w:proofErr w:type="spellEnd"/>
          </w:p>
          <w:p w14:paraId="77F304CA" w14:textId="77777777" w:rsidR="0004621C" w:rsidRDefault="0004621C" w:rsidP="0004621C">
            <w:pPr>
              <w:pStyle w:val="ItemListinTable"/>
              <w:tabs>
                <w:tab w:val="num" w:pos="397"/>
              </w:tabs>
            </w:pPr>
            <w:r>
              <w:t>LVM/</w:t>
            </w:r>
            <w:r>
              <w:rPr>
                <w:rFonts w:hint="eastAsia"/>
              </w:rPr>
              <w:t>LVM2</w:t>
            </w:r>
          </w:p>
          <w:p w14:paraId="410BBC48" w14:textId="77777777" w:rsidR="0004621C" w:rsidRDefault="0004621C" w:rsidP="0004621C">
            <w:pPr>
              <w:pStyle w:val="ItemListinTable"/>
              <w:tabs>
                <w:tab w:val="num" w:pos="397"/>
              </w:tabs>
              <w:rPr>
                <w:lang w:eastAsia="zh-CN"/>
              </w:rPr>
            </w:pPr>
            <w:r>
              <w:rPr>
                <w:rFonts w:hint="eastAsia"/>
                <w:lang w:eastAsia="zh-CN"/>
              </w:rPr>
              <w:t>其他可识别的磁盘设备</w:t>
            </w:r>
          </w:p>
        </w:tc>
      </w:tr>
      <w:tr w:rsidR="0004621C" w14:paraId="0BE05ACF" w14:textId="77777777" w:rsidTr="008A39BD">
        <w:tc>
          <w:tcPr>
            <w:tcW w:w="1134" w:type="dxa"/>
            <w:vAlign w:val="center"/>
          </w:tcPr>
          <w:p w14:paraId="76E0C594" w14:textId="77777777" w:rsidR="0004621C" w:rsidRDefault="0004621C" w:rsidP="0004621C">
            <w:pPr>
              <w:pStyle w:val="TableHeading"/>
              <w:jc w:val="left"/>
            </w:pPr>
            <w:r>
              <w:rPr>
                <w:rFonts w:hint="eastAsia"/>
              </w:rPr>
              <w:t>驱动兼容性</w:t>
            </w:r>
          </w:p>
        </w:tc>
        <w:tc>
          <w:tcPr>
            <w:tcW w:w="3261" w:type="dxa"/>
            <w:vAlign w:val="center"/>
          </w:tcPr>
          <w:p w14:paraId="2808BCDF" w14:textId="2A263758" w:rsidR="0004621C" w:rsidRDefault="0004621C" w:rsidP="0004621C">
            <w:pPr>
              <w:pStyle w:val="TableText"/>
              <w:ind w:firstLine="400"/>
            </w:pPr>
            <w:r>
              <w:rPr>
                <w:rFonts w:hint="eastAsia"/>
              </w:rPr>
              <w:t>Windows2012</w:t>
            </w:r>
            <w:r>
              <w:rPr>
                <w:rFonts w:hint="eastAsia"/>
              </w:rPr>
              <w:t>及</w:t>
            </w:r>
            <w:r>
              <w:rPr>
                <w:rFonts w:hint="eastAsia"/>
              </w:rPr>
              <w:t>201</w:t>
            </w:r>
            <w:r w:rsidR="00423D73">
              <w:rPr>
                <w:rFonts w:hint="eastAsia"/>
              </w:rPr>
              <w:t>9</w:t>
            </w:r>
            <w:r>
              <w:rPr>
                <w:rFonts w:hint="eastAsia"/>
              </w:rPr>
              <w:t>支持</w:t>
            </w:r>
            <w:r>
              <w:rPr>
                <w:rFonts w:hint="eastAsia"/>
              </w:rPr>
              <w:t>win10PE</w:t>
            </w:r>
            <w:r>
              <w:rPr>
                <w:rFonts w:hint="eastAsia"/>
              </w:rPr>
              <w:t>进行驱动注入</w:t>
            </w:r>
          </w:p>
        </w:tc>
        <w:tc>
          <w:tcPr>
            <w:tcW w:w="3827" w:type="dxa"/>
            <w:vAlign w:val="center"/>
          </w:tcPr>
          <w:p w14:paraId="72428575" w14:textId="1538D75B" w:rsidR="0004621C" w:rsidRDefault="0004621C" w:rsidP="0004621C">
            <w:pPr>
              <w:pStyle w:val="ItemListinTable"/>
              <w:tabs>
                <w:tab w:val="num" w:pos="397"/>
              </w:tabs>
              <w:rPr>
                <w:lang w:eastAsia="zh-CN"/>
              </w:rPr>
            </w:pPr>
            <w:r>
              <w:rPr>
                <w:rFonts w:hint="eastAsia"/>
                <w:lang w:eastAsia="zh-CN"/>
              </w:rPr>
              <w:t>Suse1</w:t>
            </w:r>
            <w:r w:rsidR="00423D73">
              <w:rPr>
                <w:rFonts w:hint="eastAsia"/>
                <w:lang w:eastAsia="zh-CN"/>
              </w:rPr>
              <w:t>5</w:t>
            </w:r>
            <w:r>
              <w:rPr>
                <w:rFonts w:hint="eastAsia"/>
                <w:lang w:eastAsia="zh-CN"/>
              </w:rPr>
              <w:t>迁移到</w:t>
            </w:r>
            <w:r>
              <w:rPr>
                <w:rFonts w:hint="eastAsia"/>
                <w:lang w:eastAsia="zh-CN"/>
              </w:rPr>
              <w:t>KVM</w:t>
            </w:r>
            <w:r>
              <w:rPr>
                <w:rFonts w:hint="eastAsia"/>
                <w:lang w:eastAsia="zh-CN"/>
              </w:rPr>
              <w:t>平台，需选择</w:t>
            </w:r>
            <w:r>
              <w:rPr>
                <w:rFonts w:hint="eastAsia"/>
                <w:lang w:eastAsia="zh-CN"/>
              </w:rPr>
              <w:t>IDE</w:t>
            </w:r>
            <w:r>
              <w:rPr>
                <w:rFonts w:hint="eastAsia"/>
                <w:lang w:eastAsia="zh-CN"/>
              </w:rPr>
              <w:t>或者</w:t>
            </w:r>
            <w:r>
              <w:rPr>
                <w:rFonts w:hint="eastAsia"/>
                <w:lang w:eastAsia="zh-CN"/>
              </w:rPr>
              <w:t>Sata</w:t>
            </w:r>
            <w:r>
              <w:rPr>
                <w:rFonts w:hint="eastAsia"/>
                <w:lang w:eastAsia="zh-CN"/>
              </w:rPr>
              <w:t>驱动启动</w:t>
            </w:r>
          </w:p>
          <w:p w14:paraId="7D06E085" w14:textId="1725F5AD" w:rsidR="0004621C" w:rsidRDefault="0004621C" w:rsidP="0004621C">
            <w:pPr>
              <w:pStyle w:val="ItemListinTable"/>
              <w:tabs>
                <w:tab w:val="num" w:pos="397"/>
              </w:tabs>
              <w:rPr>
                <w:lang w:eastAsia="zh-CN"/>
              </w:rPr>
            </w:pPr>
            <w:r>
              <w:rPr>
                <w:rFonts w:hint="eastAsia"/>
                <w:lang w:eastAsia="zh-CN"/>
              </w:rPr>
              <w:t>内核高于</w:t>
            </w:r>
            <w:r>
              <w:rPr>
                <w:rFonts w:hint="eastAsia"/>
                <w:lang w:eastAsia="zh-CN"/>
              </w:rPr>
              <w:t>2.6.25</w:t>
            </w:r>
            <w:r>
              <w:rPr>
                <w:lang w:eastAsia="zh-CN"/>
              </w:rPr>
              <w:t>(</w:t>
            </w:r>
            <w:r>
              <w:rPr>
                <w:rFonts w:hint="eastAsia"/>
                <w:lang w:eastAsia="zh-CN"/>
              </w:rPr>
              <w:t>redhat5.2</w:t>
            </w:r>
            <w:r>
              <w:rPr>
                <w:lang w:eastAsia="zh-CN"/>
              </w:rPr>
              <w:t>)</w:t>
            </w:r>
            <w:r>
              <w:rPr>
                <w:rFonts w:hint="eastAsia"/>
                <w:lang w:eastAsia="zh-CN"/>
              </w:rPr>
              <w:t>的版本，系统内核可以支持</w:t>
            </w:r>
            <w:proofErr w:type="spellStart"/>
            <w:r>
              <w:rPr>
                <w:rFonts w:hint="eastAsia"/>
                <w:lang w:eastAsia="zh-CN"/>
              </w:rPr>
              <w:t>kvm</w:t>
            </w:r>
            <w:proofErr w:type="spellEnd"/>
            <w:r>
              <w:rPr>
                <w:rFonts w:hint="eastAsia"/>
                <w:lang w:eastAsia="zh-CN"/>
              </w:rPr>
              <w:t>上</w:t>
            </w:r>
            <w:proofErr w:type="spellStart"/>
            <w:r>
              <w:rPr>
                <w:rFonts w:hint="eastAsia"/>
                <w:lang w:eastAsia="zh-CN"/>
              </w:rPr>
              <w:t>virtio</w:t>
            </w:r>
            <w:proofErr w:type="spellEnd"/>
            <w:r>
              <w:rPr>
                <w:rFonts w:hint="eastAsia"/>
                <w:lang w:eastAsia="zh-CN"/>
              </w:rPr>
              <w:t>驱动和</w:t>
            </w:r>
            <w:r>
              <w:rPr>
                <w:rFonts w:hint="eastAsia"/>
                <w:lang w:eastAsia="zh-CN"/>
              </w:rPr>
              <w:t>xen</w:t>
            </w:r>
            <w:r>
              <w:rPr>
                <w:rFonts w:hint="eastAsia"/>
                <w:lang w:eastAsia="zh-CN"/>
              </w:rPr>
              <w:t>平台的迁移</w:t>
            </w:r>
          </w:p>
        </w:tc>
      </w:tr>
    </w:tbl>
    <w:p w14:paraId="390880DB" w14:textId="77777777" w:rsidR="0004621C" w:rsidRDefault="0004621C" w:rsidP="0004621C">
      <w:pPr>
        <w:pStyle w:val="5"/>
        <w:rPr>
          <w:rFonts w:hint="eastAsia"/>
        </w:rPr>
      </w:pPr>
      <w:bookmarkStart w:id="137" w:name="_Toc79421334"/>
      <w:r>
        <w:rPr>
          <w:rFonts w:hint="eastAsia"/>
        </w:rPr>
        <w:t>迁移平台</w:t>
      </w:r>
      <w:r>
        <w:t>需求</w:t>
      </w:r>
      <w:bookmarkEnd w:id="137"/>
    </w:p>
    <w:p w14:paraId="16441A3E" w14:textId="77777777" w:rsidR="0004621C" w:rsidRDefault="0004621C" w:rsidP="0004621C">
      <w:pPr>
        <w:spacing w:line="360" w:lineRule="auto"/>
        <w:ind w:firstLineChars="200" w:firstLine="420"/>
        <w:rPr>
          <w:rFonts w:hint="eastAsia"/>
        </w:rPr>
      </w:pPr>
      <w:r>
        <w:rPr>
          <w:rFonts w:hint="eastAsia"/>
        </w:rPr>
        <w:t>迁移平台服务端有两种部署</w:t>
      </w:r>
      <w:r>
        <w:t>方式，迁移平台独立安装方式及迁移平台+中继服务方式。</w:t>
      </w:r>
      <w:r>
        <w:lastRenderedPageBreak/>
        <w:t>通常迁移服务会在源设备与目标设备间直接传输，当用户环境中源设备与目标设备所处网段无法建立通信时，可采用第二种方式，由迁移平台完成数据中转工作</w:t>
      </w:r>
      <w:r>
        <w:rPr>
          <w:rFonts w:hint="eastAsia"/>
        </w:rPr>
        <w:t>。解放军305医院</w:t>
      </w:r>
      <w:r>
        <w:t>本次</w:t>
      </w:r>
      <w:r>
        <w:rPr>
          <w:rFonts w:hint="eastAsia"/>
        </w:rPr>
        <w:t>业务</w:t>
      </w:r>
      <w:r>
        <w:t>系统</w:t>
      </w:r>
      <w:r>
        <w:rPr>
          <w:rFonts w:hint="eastAsia"/>
        </w:rPr>
        <w:t>迁移</w:t>
      </w:r>
      <w:r>
        <w:t>采用独立安装模式进行</w:t>
      </w:r>
      <w:r>
        <w:rPr>
          <w:rFonts w:hint="eastAsia"/>
        </w:rPr>
        <w:t>部署</w:t>
      </w:r>
      <w:r>
        <w:t>。</w:t>
      </w:r>
    </w:p>
    <w:tbl>
      <w:tblPr>
        <w:tblW w:w="0" w:type="auto"/>
        <w:jc w:val="center"/>
        <w:tblBorders>
          <w:top w:val="single" w:sz="4" w:space="0" w:color="auto"/>
          <w:bottom w:val="single" w:sz="4" w:space="0" w:color="auto"/>
          <w:insideH w:val="single" w:sz="4" w:space="0" w:color="808080"/>
          <w:insideV w:val="single" w:sz="4" w:space="0" w:color="808080"/>
        </w:tblBorders>
        <w:tblLook w:val="0020" w:firstRow="1" w:lastRow="0" w:firstColumn="0" w:lastColumn="0" w:noHBand="0" w:noVBand="0"/>
      </w:tblPr>
      <w:tblGrid>
        <w:gridCol w:w="1872"/>
        <w:gridCol w:w="1672"/>
        <w:gridCol w:w="851"/>
        <w:gridCol w:w="850"/>
        <w:gridCol w:w="1985"/>
        <w:gridCol w:w="1070"/>
      </w:tblGrid>
      <w:tr w:rsidR="0004621C" w14:paraId="1AE96741" w14:textId="77777777" w:rsidTr="008A39BD">
        <w:trPr>
          <w:jc w:val="center"/>
        </w:trPr>
        <w:tc>
          <w:tcPr>
            <w:tcW w:w="1872" w:type="dxa"/>
            <w:tcBorders>
              <w:top w:val="single" w:sz="4" w:space="0" w:color="auto"/>
              <w:left w:val="nil"/>
              <w:bottom w:val="single" w:sz="4" w:space="0" w:color="808080"/>
              <w:right w:val="single" w:sz="4" w:space="0" w:color="808080"/>
              <w:tl2br w:val="nil"/>
              <w:tr2bl w:val="nil"/>
            </w:tcBorders>
            <w:shd w:val="clear" w:color="auto" w:fill="D9D9D9"/>
            <w:vAlign w:val="center"/>
          </w:tcPr>
          <w:p w14:paraId="4DAF7757" w14:textId="77777777" w:rsidR="0004621C" w:rsidRDefault="0004621C" w:rsidP="0004621C">
            <w:pPr>
              <w:pStyle w:val="TableHeading"/>
            </w:pPr>
            <w:r>
              <w:rPr>
                <w:rFonts w:hint="eastAsia"/>
              </w:rPr>
              <w:t>部署方式</w:t>
            </w:r>
          </w:p>
        </w:tc>
        <w:tc>
          <w:tcPr>
            <w:tcW w:w="1672"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14:paraId="5F8234FF" w14:textId="77777777" w:rsidR="0004621C" w:rsidRDefault="0004621C" w:rsidP="0004621C">
            <w:pPr>
              <w:pStyle w:val="TableHeading"/>
            </w:pPr>
            <w:r>
              <w:rPr>
                <w:rFonts w:hint="eastAsia"/>
              </w:rPr>
              <w:t>C</w:t>
            </w:r>
            <w:r>
              <w:t>PU</w:t>
            </w:r>
          </w:p>
        </w:tc>
        <w:tc>
          <w:tcPr>
            <w:tcW w:w="851"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14:paraId="21380629" w14:textId="77777777" w:rsidR="0004621C" w:rsidRDefault="0004621C" w:rsidP="0004621C">
            <w:pPr>
              <w:pStyle w:val="TableHeading"/>
            </w:pPr>
            <w:r>
              <w:rPr>
                <w:rFonts w:hint="eastAsia"/>
              </w:rPr>
              <w:t>内存</w:t>
            </w:r>
          </w:p>
        </w:tc>
        <w:tc>
          <w:tcPr>
            <w:tcW w:w="850"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14:paraId="7D511F78" w14:textId="77777777" w:rsidR="0004621C" w:rsidRDefault="0004621C" w:rsidP="0004621C">
            <w:pPr>
              <w:pStyle w:val="TableHeading"/>
            </w:pPr>
            <w:r>
              <w:rPr>
                <w:rFonts w:hint="eastAsia"/>
              </w:rPr>
              <w:t>系统盘</w:t>
            </w:r>
          </w:p>
        </w:tc>
        <w:tc>
          <w:tcPr>
            <w:tcW w:w="1985" w:type="dxa"/>
            <w:tcBorders>
              <w:top w:val="single" w:sz="4" w:space="0" w:color="auto"/>
              <w:left w:val="single" w:sz="4" w:space="0" w:color="808080"/>
              <w:bottom w:val="single" w:sz="4" w:space="0" w:color="808080"/>
              <w:right w:val="single" w:sz="4" w:space="0" w:color="808080"/>
              <w:tl2br w:val="nil"/>
              <w:tr2bl w:val="nil"/>
            </w:tcBorders>
            <w:shd w:val="clear" w:color="auto" w:fill="D9D9D9"/>
          </w:tcPr>
          <w:p w14:paraId="2C3130DC" w14:textId="77777777" w:rsidR="0004621C" w:rsidRDefault="0004621C" w:rsidP="0004621C">
            <w:pPr>
              <w:pStyle w:val="TableHeading"/>
            </w:pPr>
            <w:r>
              <w:rPr>
                <w:rFonts w:hint="eastAsia"/>
              </w:rPr>
              <w:t>操作</w:t>
            </w:r>
            <w:r>
              <w:t>系统</w:t>
            </w:r>
          </w:p>
        </w:tc>
        <w:tc>
          <w:tcPr>
            <w:tcW w:w="1070" w:type="dxa"/>
            <w:tcBorders>
              <w:top w:val="single" w:sz="4" w:space="0" w:color="auto"/>
              <w:left w:val="single" w:sz="4" w:space="0" w:color="808080"/>
              <w:bottom w:val="single" w:sz="4" w:space="0" w:color="808080"/>
              <w:right w:val="nil"/>
              <w:tl2br w:val="nil"/>
              <w:tr2bl w:val="nil"/>
            </w:tcBorders>
            <w:shd w:val="clear" w:color="auto" w:fill="D9D9D9"/>
            <w:vAlign w:val="center"/>
          </w:tcPr>
          <w:p w14:paraId="762C41E8" w14:textId="77777777" w:rsidR="0004621C" w:rsidRDefault="0004621C" w:rsidP="0004621C">
            <w:pPr>
              <w:pStyle w:val="TableHeading"/>
            </w:pPr>
            <w:r>
              <w:rPr>
                <w:rFonts w:hint="eastAsia"/>
              </w:rPr>
              <w:t>网络</w:t>
            </w:r>
          </w:p>
        </w:tc>
      </w:tr>
      <w:tr w:rsidR="0004621C" w14:paraId="3E371F34" w14:textId="77777777" w:rsidTr="008A39BD">
        <w:trPr>
          <w:jc w:val="center"/>
        </w:trPr>
        <w:tc>
          <w:tcPr>
            <w:tcW w:w="1872" w:type="dxa"/>
            <w:vAlign w:val="center"/>
          </w:tcPr>
          <w:p w14:paraId="072AF9C4" w14:textId="77777777" w:rsidR="0004621C" w:rsidRDefault="0004621C" w:rsidP="0004621C">
            <w:pPr>
              <w:pStyle w:val="TableText"/>
            </w:pPr>
            <w:r>
              <w:rPr>
                <w:rFonts w:hint="eastAsia"/>
              </w:rPr>
              <w:t>迁移平台（独立安装）</w:t>
            </w:r>
          </w:p>
        </w:tc>
        <w:tc>
          <w:tcPr>
            <w:tcW w:w="1672" w:type="dxa"/>
            <w:vAlign w:val="center"/>
          </w:tcPr>
          <w:p w14:paraId="16BC7CD1" w14:textId="77777777" w:rsidR="0004621C" w:rsidRDefault="0004621C" w:rsidP="0004621C">
            <w:pPr>
              <w:pStyle w:val="ItemListinTable"/>
            </w:pPr>
            <w:r>
              <w:rPr>
                <w:rFonts w:hint="eastAsia"/>
              </w:rPr>
              <w:t>Intel</w:t>
            </w:r>
            <w:r>
              <w:rPr>
                <w:rFonts w:hint="eastAsia"/>
                <w:lang w:eastAsia="zh-CN"/>
              </w:rPr>
              <w:t>至少</w:t>
            </w:r>
            <w:r>
              <w:rPr>
                <w:rFonts w:hint="eastAsia"/>
                <w:lang w:eastAsia="zh-CN"/>
              </w:rPr>
              <w:t>2</w:t>
            </w:r>
            <w:r>
              <w:rPr>
                <w:rFonts w:hint="eastAsia"/>
              </w:rPr>
              <w:t>核</w:t>
            </w:r>
          </w:p>
          <w:p w14:paraId="580D22A2" w14:textId="264EA4FF" w:rsidR="0004621C" w:rsidRDefault="0004621C" w:rsidP="0004621C">
            <w:pPr>
              <w:pStyle w:val="ItemListinTable"/>
            </w:pPr>
            <w:proofErr w:type="spellStart"/>
            <w:r>
              <w:rPr>
                <w:rFonts w:hint="eastAsia"/>
              </w:rPr>
              <w:t>主频</w:t>
            </w:r>
            <w:proofErr w:type="spellEnd"/>
            <w:r>
              <w:rPr>
                <w:rFonts w:hint="eastAsia"/>
                <w:lang w:eastAsia="zh-CN"/>
              </w:rPr>
              <w:t>至少</w:t>
            </w:r>
            <w:r>
              <w:rPr>
                <w:rFonts w:hint="eastAsia"/>
              </w:rPr>
              <w:t>2.0Ghz</w:t>
            </w:r>
          </w:p>
        </w:tc>
        <w:tc>
          <w:tcPr>
            <w:tcW w:w="851" w:type="dxa"/>
            <w:vAlign w:val="center"/>
          </w:tcPr>
          <w:p w14:paraId="0AF69059" w14:textId="77777777" w:rsidR="0004621C" w:rsidRDefault="0004621C" w:rsidP="0004621C">
            <w:pPr>
              <w:pStyle w:val="TableText"/>
            </w:pPr>
            <w:r>
              <w:rPr>
                <w:rFonts w:hint="eastAsia"/>
              </w:rPr>
              <w:t>至少</w:t>
            </w:r>
            <w:r>
              <w:rPr>
                <w:rFonts w:hint="eastAsia"/>
              </w:rPr>
              <w:t>4GB</w:t>
            </w:r>
          </w:p>
        </w:tc>
        <w:tc>
          <w:tcPr>
            <w:tcW w:w="850" w:type="dxa"/>
            <w:vAlign w:val="center"/>
          </w:tcPr>
          <w:p w14:paraId="300C6499" w14:textId="77777777" w:rsidR="0004621C" w:rsidRDefault="0004621C" w:rsidP="0004621C">
            <w:pPr>
              <w:pStyle w:val="TableText"/>
            </w:pPr>
            <w:r>
              <w:rPr>
                <w:rFonts w:hint="eastAsia"/>
              </w:rPr>
              <w:t>4</w:t>
            </w:r>
            <w:r>
              <w:t>0GB</w:t>
            </w:r>
          </w:p>
        </w:tc>
        <w:tc>
          <w:tcPr>
            <w:tcW w:w="1985" w:type="dxa"/>
            <w:vMerge w:val="restart"/>
          </w:tcPr>
          <w:p w14:paraId="667C193F" w14:textId="0E12C2B0" w:rsidR="0004621C" w:rsidRDefault="0004621C" w:rsidP="0004621C">
            <w:pPr>
              <w:pStyle w:val="TableText"/>
            </w:pPr>
            <w:r>
              <w:rPr>
                <w:rFonts w:hint="eastAsia"/>
              </w:rPr>
              <w:t>CentOS7.4.1708x64</w:t>
            </w:r>
            <w:r>
              <w:rPr>
                <w:rFonts w:hint="eastAsia"/>
              </w:rPr>
              <w:t>（推荐使用此版本，</w:t>
            </w:r>
            <w:r w:rsidRPr="00FC736D">
              <w:rPr>
                <w:rFonts w:hint="eastAsia"/>
              </w:rPr>
              <w:t>以避免漏洞等风险</w:t>
            </w:r>
            <w:r>
              <w:rPr>
                <w:rFonts w:hint="eastAsia"/>
              </w:rPr>
              <w:t>）</w:t>
            </w:r>
          </w:p>
          <w:p w14:paraId="41E173A8" w14:textId="6A17A18A" w:rsidR="0004621C" w:rsidRDefault="0004621C" w:rsidP="0004621C">
            <w:pPr>
              <w:pStyle w:val="TableText"/>
            </w:pPr>
            <w:r>
              <w:rPr>
                <w:rFonts w:hint="eastAsia"/>
              </w:rPr>
              <w:t>CentOs7.2x64</w:t>
            </w:r>
          </w:p>
          <w:p w14:paraId="011ED1D8" w14:textId="4FAC0C62" w:rsidR="0004621C" w:rsidRDefault="0004621C" w:rsidP="0004621C">
            <w:pPr>
              <w:pStyle w:val="TableText"/>
            </w:pPr>
            <w:r>
              <w:rPr>
                <w:rFonts w:hint="eastAsia"/>
              </w:rPr>
              <w:t>CentOs7.0.1406x64</w:t>
            </w:r>
          </w:p>
          <w:p w14:paraId="16650ED5" w14:textId="77777777" w:rsidR="0004621C" w:rsidRDefault="0004621C" w:rsidP="0004621C">
            <w:pPr>
              <w:pStyle w:val="ItemList"/>
              <w:numPr>
                <w:ilvl w:val="0"/>
                <w:numId w:val="0"/>
              </w:numPr>
            </w:pPr>
          </w:p>
        </w:tc>
        <w:tc>
          <w:tcPr>
            <w:tcW w:w="1070" w:type="dxa"/>
            <w:vAlign w:val="center"/>
          </w:tcPr>
          <w:p w14:paraId="3DF6C02C" w14:textId="77777777" w:rsidR="0004621C" w:rsidRDefault="0004621C" w:rsidP="0004621C">
            <w:pPr>
              <w:pStyle w:val="TableText"/>
            </w:pPr>
            <w:r>
              <w:rPr>
                <w:rFonts w:hint="eastAsia"/>
              </w:rPr>
              <w:t>千兆以太网</w:t>
            </w:r>
          </w:p>
        </w:tc>
      </w:tr>
      <w:tr w:rsidR="0004621C" w14:paraId="3F80E7D3" w14:textId="77777777" w:rsidTr="008A39BD">
        <w:trPr>
          <w:jc w:val="center"/>
        </w:trPr>
        <w:tc>
          <w:tcPr>
            <w:tcW w:w="1872" w:type="dxa"/>
            <w:vAlign w:val="center"/>
          </w:tcPr>
          <w:p w14:paraId="63B4ED7F" w14:textId="77777777" w:rsidR="0004621C" w:rsidRDefault="0004621C" w:rsidP="0004621C">
            <w:pPr>
              <w:pStyle w:val="TableText"/>
            </w:pPr>
            <w:r>
              <w:rPr>
                <w:rFonts w:hint="eastAsia"/>
              </w:rPr>
              <w:t>迁移管理平台</w:t>
            </w:r>
            <w:r>
              <w:rPr>
                <w:rFonts w:hint="eastAsia"/>
              </w:rPr>
              <w:t>+</w:t>
            </w:r>
            <w:r>
              <w:rPr>
                <w:rFonts w:hint="eastAsia"/>
              </w:rPr>
              <w:t>迁移数据流中继转发平台</w:t>
            </w:r>
          </w:p>
        </w:tc>
        <w:tc>
          <w:tcPr>
            <w:tcW w:w="1672" w:type="dxa"/>
            <w:vAlign w:val="center"/>
          </w:tcPr>
          <w:p w14:paraId="2F0818A6" w14:textId="1663EBAA" w:rsidR="0004621C" w:rsidRDefault="0004621C" w:rsidP="0004621C">
            <w:pPr>
              <w:pStyle w:val="ItemListinTable"/>
            </w:pPr>
            <w:proofErr w:type="spellStart"/>
            <w:r>
              <w:rPr>
                <w:rFonts w:hint="eastAsia"/>
              </w:rPr>
              <w:t>IntelXeon</w:t>
            </w:r>
            <w:proofErr w:type="spellEnd"/>
            <w:r>
              <w:rPr>
                <w:rFonts w:hint="eastAsia"/>
                <w:lang w:eastAsia="zh-CN"/>
              </w:rPr>
              <w:t>至少</w:t>
            </w:r>
            <w:proofErr w:type="spellStart"/>
            <w:r>
              <w:rPr>
                <w:rFonts w:hint="eastAsia"/>
              </w:rPr>
              <w:t>四核</w:t>
            </w:r>
            <w:proofErr w:type="spellEnd"/>
          </w:p>
          <w:p w14:paraId="64A66747" w14:textId="125486FE" w:rsidR="0004621C" w:rsidRDefault="0004621C" w:rsidP="0004621C">
            <w:pPr>
              <w:pStyle w:val="ItemListinTable"/>
            </w:pPr>
            <w:proofErr w:type="spellStart"/>
            <w:r>
              <w:rPr>
                <w:rFonts w:hint="eastAsia"/>
              </w:rPr>
              <w:t>主频</w:t>
            </w:r>
            <w:proofErr w:type="spellEnd"/>
            <w:r>
              <w:rPr>
                <w:rFonts w:hint="eastAsia"/>
                <w:lang w:eastAsia="zh-CN"/>
              </w:rPr>
              <w:t>至少</w:t>
            </w:r>
            <w:r>
              <w:rPr>
                <w:rFonts w:hint="eastAsia"/>
              </w:rPr>
              <w:t>2.5</w:t>
            </w:r>
            <w:r>
              <w:t>Ghz</w:t>
            </w:r>
          </w:p>
        </w:tc>
        <w:tc>
          <w:tcPr>
            <w:tcW w:w="851" w:type="dxa"/>
            <w:vAlign w:val="center"/>
          </w:tcPr>
          <w:p w14:paraId="5ED4F9DD" w14:textId="4FCB7485" w:rsidR="0004621C" w:rsidRDefault="0004621C" w:rsidP="0004621C">
            <w:pPr>
              <w:pStyle w:val="TableText"/>
            </w:pPr>
            <w:r>
              <w:rPr>
                <w:rFonts w:hint="eastAsia"/>
              </w:rPr>
              <w:t>至少</w:t>
            </w:r>
            <w:r>
              <w:rPr>
                <w:rFonts w:hint="eastAsia"/>
              </w:rPr>
              <w:t>8GB</w:t>
            </w:r>
          </w:p>
        </w:tc>
        <w:tc>
          <w:tcPr>
            <w:tcW w:w="850" w:type="dxa"/>
            <w:vAlign w:val="center"/>
          </w:tcPr>
          <w:p w14:paraId="2B8282C8" w14:textId="77777777" w:rsidR="0004621C" w:rsidRDefault="0004621C" w:rsidP="0004621C">
            <w:pPr>
              <w:pStyle w:val="TableText"/>
            </w:pPr>
            <w:r>
              <w:rPr>
                <w:rFonts w:hint="eastAsia"/>
              </w:rPr>
              <w:t>4</w:t>
            </w:r>
            <w:r>
              <w:t>0GB</w:t>
            </w:r>
          </w:p>
        </w:tc>
        <w:tc>
          <w:tcPr>
            <w:tcW w:w="1985" w:type="dxa"/>
            <w:vMerge/>
          </w:tcPr>
          <w:p w14:paraId="48DFF0EC" w14:textId="77777777" w:rsidR="0004621C" w:rsidRDefault="0004621C" w:rsidP="0004621C">
            <w:pPr>
              <w:pStyle w:val="TableText"/>
            </w:pPr>
          </w:p>
        </w:tc>
        <w:tc>
          <w:tcPr>
            <w:tcW w:w="1070" w:type="dxa"/>
            <w:vAlign w:val="center"/>
          </w:tcPr>
          <w:p w14:paraId="522A6566" w14:textId="4B41FFA3" w:rsidR="0004621C" w:rsidRDefault="0004621C" w:rsidP="0004621C">
            <w:pPr>
              <w:pStyle w:val="TableText"/>
            </w:pPr>
            <w:r>
              <w:rPr>
                <w:rFonts w:hint="eastAsia"/>
              </w:rPr>
              <w:t>优选万兆、</w:t>
            </w:r>
            <w:r>
              <w:rPr>
                <w:rFonts w:hint="eastAsia"/>
              </w:rPr>
              <w:t>8/16GbFC</w:t>
            </w:r>
          </w:p>
        </w:tc>
      </w:tr>
    </w:tbl>
    <w:p w14:paraId="4F4A6776" w14:textId="77777777" w:rsidR="0004621C" w:rsidRPr="00E01DA3" w:rsidRDefault="0004621C" w:rsidP="0004621C">
      <w:pPr>
        <w:rPr>
          <w:rFonts w:hint="eastAsia"/>
        </w:rPr>
      </w:pPr>
    </w:p>
    <w:p w14:paraId="152F4DD1" w14:textId="77777777" w:rsidR="00007C57" w:rsidRPr="00007C57" w:rsidRDefault="00007C57" w:rsidP="0004621C">
      <w:pPr>
        <w:shd w:val="clear" w:color="auto" w:fill="F9FAFB"/>
        <w:tabs>
          <w:tab w:val="num" w:pos="720"/>
          <w:tab w:val="num" w:pos="1440"/>
        </w:tabs>
        <w:spacing w:before="100" w:beforeAutospacing="1" w:after="100" w:afterAutospacing="1"/>
        <w:ind w:firstLine="420"/>
        <w:rPr>
          <w:rFonts w:ascii="Segoe UI" w:hAnsi="Segoe UI" w:cs="Segoe UI"/>
          <w:color w:val="000000"/>
        </w:rPr>
      </w:pPr>
    </w:p>
    <w:p w14:paraId="570C7522" w14:textId="77777777" w:rsidR="009D6E2A" w:rsidRPr="00007C57" w:rsidRDefault="009D6E2A" w:rsidP="0004621C">
      <w:pPr>
        <w:shd w:val="clear" w:color="auto" w:fill="F9FAFB"/>
        <w:tabs>
          <w:tab w:val="num" w:pos="720"/>
          <w:tab w:val="num" w:pos="1440"/>
        </w:tabs>
        <w:spacing w:before="100" w:beforeAutospacing="1" w:after="100" w:afterAutospacing="1"/>
        <w:ind w:firstLine="420"/>
        <w:rPr>
          <w:rFonts w:ascii="Segoe UI" w:hAnsi="Segoe UI" w:cs="Segoe UI"/>
          <w:color w:val="000000"/>
        </w:rPr>
      </w:pPr>
    </w:p>
    <w:p w14:paraId="7D1F37C3" w14:textId="771E2635" w:rsidR="00BE572F" w:rsidRDefault="00BE572F" w:rsidP="007A3D1F">
      <w:pPr>
        <w:pStyle w:val="2"/>
        <w:rPr>
          <w:rFonts w:hint="eastAsia"/>
        </w:rPr>
      </w:pPr>
      <w:r>
        <w:tab/>
        <w:t>★实施</w:t>
      </w:r>
      <w:r w:rsidR="006C6F6D" w:rsidRPr="006C6F6D">
        <w:t>招标文件要求</w:t>
      </w:r>
      <w:r>
        <w:t>（总集）</w:t>
      </w:r>
      <w:r>
        <w:tab/>
      </w:r>
    </w:p>
    <w:p w14:paraId="25905F95" w14:textId="2C6E28F7" w:rsidR="00F94661" w:rsidRPr="00A31C8F" w:rsidRDefault="006C6F6D" w:rsidP="006C6F6D">
      <w:pPr>
        <w:rPr>
          <w:rFonts w:hint="eastAsia"/>
        </w:rPr>
      </w:pPr>
      <w:r w:rsidRPr="006C6F6D">
        <w:rPr>
          <w:rFonts w:hint="eastAsia"/>
          <w:b/>
        </w:rPr>
        <w:t>招标文件要求</w:t>
      </w:r>
    </w:p>
    <w:p w14:paraId="405204D6" w14:textId="77777777" w:rsidR="00F94661" w:rsidRPr="00F94661" w:rsidRDefault="00F94661" w:rsidP="00F94661">
      <w:pPr>
        <w:rPr>
          <w:rFonts w:hint="eastAsia"/>
        </w:rPr>
      </w:pPr>
    </w:p>
    <w:p w14:paraId="4892AE1D" w14:textId="0B04CA22"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项目实施前制定整体计划及各个实施工作的详细方案；</w:t>
      </w:r>
    </w:p>
    <w:p w14:paraId="51CB2C07" w14:textId="2ECED6CE" w:rsidR="007A3D1F" w:rsidRDefault="007A3D1F" w:rsidP="007A3D1F">
      <w:pPr>
        <w:snapToGrid w:val="0"/>
        <w:ind w:firstLineChars="177" w:firstLine="372"/>
        <w:rPr>
          <w:rFonts w:ascii="Segoe UI" w:hAnsi="Segoe UI" w:cs="Segoe UI"/>
          <w:color w:val="1F2329"/>
          <w:shd w:val="clear" w:color="auto" w:fill="EFF0F1"/>
        </w:rPr>
      </w:pPr>
    </w:p>
    <w:p w14:paraId="586FE253" w14:textId="53447782"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E7F65C3"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DE7FD2A" w14:textId="42A0ADCA"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在项目实施前，</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组建专业的项目规划团队，基于对项目需求的深度分析，结合华为云丰富的项目管理经验，制定全面、细致的整体计划。整体计划将明确项目目标、阶段划分、关键里程碑以及各阶段交付成果，确保项目方向清晰、节奏可控。针对专线部署、混合云架构搭建、资源迁移等各个实施工作，分别制定详细方案，方案涵盖技术路线、操作流程、人员安排、进度计划、风险评估及应对措施等内容。所有方案均经过内部严格评审与优化，确保具备高度的可行性与可靠性，为项目顺利实施奠定坚实基础。</w:t>
      </w:r>
    </w:p>
    <w:p w14:paraId="47AEDD97" w14:textId="6CFFB2D6" w:rsidR="007A3D1F" w:rsidRDefault="007A3D1F" w:rsidP="007A3D1F">
      <w:pPr>
        <w:snapToGrid w:val="0"/>
        <w:ind w:firstLineChars="177" w:firstLine="372"/>
        <w:rPr>
          <w:rFonts w:ascii="Segoe UI" w:hAnsi="Segoe UI" w:cs="Segoe UI"/>
          <w:color w:val="1F2329"/>
          <w:shd w:val="clear" w:color="auto" w:fill="EFF0F1"/>
        </w:rPr>
      </w:pPr>
    </w:p>
    <w:p w14:paraId="287CAC5C" w14:textId="51ED1F8F" w:rsidR="00F94661" w:rsidRDefault="00F94661" w:rsidP="007A3D1F">
      <w:pPr>
        <w:snapToGrid w:val="0"/>
        <w:ind w:firstLineChars="177" w:firstLine="372"/>
        <w:rPr>
          <w:rFonts w:ascii="Segoe UI" w:hAnsi="Segoe UI" w:cs="Segoe UI"/>
          <w:color w:val="1F2329"/>
          <w:shd w:val="clear" w:color="auto" w:fill="EFF0F1"/>
        </w:rPr>
      </w:pPr>
    </w:p>
    <w:p w14:paraId="142D370C" w14:textId="6E13E63D" w:rsidR="00F94661" w:rsidRPr="00A31C8F" w:rsidRDefault="006C6F6D" w:rsidP="006C6F6D">
      <w:pPr>
        <w:rPr>
          <w:rFonts w:hint="eastAsia"/>
        </w:rPr>
      </w:pPr>
      <w:r w:rsidRPr="006C6F6D">
        <w:rPr>
          <w:rFonts w:hint="eastAsia"/>
          <w:b/>
        </w:rPr>
        <w:t>招标文件要求</w:t>
      </w:r>
    </w:p>
    <w:p w14:paraId="10E09E7F"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3E2E7B68" w14:textId="5748F682"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投标人完成混合云架构方案设计；</w:t>
      </w:r>
    </w:p>
    <w:p w14:paraId="17438520" w14:textId="1456E8E8" w:rsidR="007671BD" w:rsidRDefault="007671BD" w:rsidP="007A3D1F">
      <w:pPr>
        <w:snapToGrid w:val="0"/>
        <w:ind w:firstLineChars="177" w:firstLine="372"/>
        <w:rPr>
          <w:rFonts w:ascii="Segoe UI" w:hAnsi="Segoe UI" w:cs="Segoe UI"/>
          <w:color w:val="1F2329"/>
          <w:shd w:val="clear" w:color="auto" w:fill="EFF0F1"/>
        </w:rPr>
      </w:pPr>
    </w:p>
    <w:p w14:paraId="40120D19" w14:textId="796D1DC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531BC4F"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4E8BF79E" w14:textId="65231E64"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将依托华为云在混合云领域的深厚技术积累与实践经验，组织资深架构师与技术专家团队，深入研究</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业务需求、应用场景及未来发展规划，完成高质量的混合云架构方案设计。方案将基于混合云架构最佳实践，围绕业务连续性、可扩展性、安全性等核心需求，设计涵盖网络架构、安全体系、资源管理、应用部署等方面的完整架构。在网络架</w:t>
      </w:r>
      <w:r w:rsidR="007A3D1F">
        <w:rPr>
          <w:rFonts w:ascii="Segoe UI" w:hAnsi="Segoe UI" w:cs="Segoe UI"/>
          <w:color w:val="1F2329"/>
          <w:shd w:val="clear" w:color="auto" w:fill="EFF0F1"/>
        </w:rPr>
        <w:lastRenderedPageBreak/>
        <w:t>构上，采用先进的</w:t>
      </w:r>
      <w:r w:rsidR="007A3D1F">
        <w:rPr>
          <w:rFonts w:ascii="Segoe UI" w:hAnsi="Segoe UI" w:cs="Segoe UI"/>
          <w:color w:val="1F2329"/>
          <w:shd w:val="clear" w:color="auto" w:fill="EFF0F1"/>
        </w:rPr>
        <w:t>VPC</w:t>
      </w:r>
      <w:r w:rsidR="007A3D1F">
        <w:rPr>
          <w:rFonts w:ascii="Segoe UI" w:hAnsi="Segoe UI" w:cs="Segoe UI"/>
          <w:color w:val="1F2329"/>
          <w:shd w:val="clear" w:color="auto" w:fill="EFF0F1"/>
        </w:rPr>
        <w:t>隔离与流量调度技术；安全体系中，融合密钥管理、多因素认证及审计日志等安全机制；同时提供统一的运维与监控方案，确保混合云架构稳定、高效运行，全方位满足</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的业务需求。</w:t>
      </w:r>
    </w:p>
    <w:p w14:paraId="303A1217" w14:textId="3ED4BA9F" w:rsidR="007A3D1F" w:rsidRPr="007A3D1F" w:rsidRDefault="007A3D1F" w:rsidP="007A3D1F">
      <w:pPr>
        <w:snapToGrid w:val="0"/>
        <w:ind w:firstLineChars="177" w:firstLine="372"/>
        <w:rPr>
          <w:rFonts w:ascii="Segoe UI" w:hAnsi="Segoe UI" w:cs="Segoe UI"/>
          <w:color w:val="1F2329"/>
          <w:shd w:val="clear" w:color="auto" w:fill="EFF0F1"/>
        </w:rPr>
      </w:pPr>
    </w:p>
    <w:p w14:paraId="02083D6F" w14:textId="052B09E7" w:rsidR="007A3D1F" w:rsidRDefault="007A3D1F" w:rsidP="007A3D1F">
      <w:pPr>
        <w:snapToGrid w:val="0"/>
        <w:ind w:firstLineChars="177" w:firstLine="372"/>
        <w:rPr>
          <w:rFonts w:ascii="Segoe UI" w:hAnsi="Segoe UI" w:cs="Segoe UI"/>
          <w:color w:val="1F2329"/>
          <w:shd w:val="clear" w:color="auto" w:fill="EFF0F1"/>
        </w:rPr>
      </w:pPr>
    </w:p>
    <w:p w14:paraId="0D5F8B41" w14:textId="7205A176" w:rsidR="00F94661" w:rsidRPr="00A31C8F" w:rsidRDefault="006C6F6D" w:rsidP="006C6F6D">
      <w:pPr>
        <w:rPr>
          <w:rFonts w:hint="eastAsia"/>
        </w:rPr>
      </w:pPr>
      <w:r w:rsidRPr="006C6F6D">
        <w:rPr>
          <w:rFonts w:hint="eastAsia"/>
          <w:b/>
        </w:rPr>
        <w:t>招标文件要求</w:t>
      </w:r>
    </w:p>
    <w:p w14:paraId="5F279A83"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8411BB3" w14:textId="11296C5F"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投标人应配合</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部署必要的测试环境；</w:t>
      </w:r>
    </w:p>
    <w:p w14:paraId="7D2F2FF5" w14:textId="68BC89A4" w:rsidR="007A3D1F" w:rsidRDefault="007A3D1F" w:rsidP="007A3D1F">
      <w:pPr>
        <w:snapToGrid w:val="0"/>
        <w:ind w:firstLineChars="177" w:firstLine="372"/>
        <w:rPr>
          <w:rFonts w:ascii="Segoe UI" w:hAnsi="Segoe UI" w:cs="Segoe UI"/>
          <w:color w:val="1F2329"/>
          <w:shd w:val="clear" w:color="auto" w:fill="EFF0F1"/>
        </w:rPr>
      </w:pPr>
    </w:p>
    <w:p w14:paraId="7A6C6A6F" w14:textId="09042D2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81F0E18"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65CF9E63" w14:textId="641D0BDE"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高度重视测试环境的搭建工作，将积极配合</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，根据项目需求与测试目标，利用华为云强大的资源调配能力与技术支持，共同部署必要的测试环境。从服务器资源的配置、网络环境的搭建，到测试工具的部署、数据的准备，</w:t>
      </w:r>
      <w:r>
        <w:rPr>
          <w:rFonts w:ascii="Segoe UI" w:hAnsi="Segoe UI" w:cs="Segoe UI"/>
          <w:color w:val="1F2329"/>
          <w:shd w:val="clear" w:color="auto" w:fill="EFF0F1"/>
        </w:rPr>
        <w:t>我公司</w:t>
      </w:r>
      <w:r w:rsidR="007A3D1F">
        <w:rPr>
          <w:rFonts w:ascii="Segoe UI" w:hAnsi="Segoe UI" w:cs="Segoe UI"/>
          <w:color w:val="1F2329"/>
          <w:shd w:val="clear" w:color="auto" w:fill="EFF0F1"/>
        </w:rPr>
        <w:t>都将全程参与，确保测试环境能够真实模拟生产场景。同时，安排专业的技术人员协助进行环境调试与优化，保障测试环境的稳定性与可靠性，为项目的测试工作提供有力支持，助力及时发现并解决潜在问题。</w:t>
      </w:r>
    </w:p>
    <w:p w14:paraId="2F32B414" w14:textId="176B5262" w:rsidR="007A3D1F" w:rsidRDefault="007A3D1F" w:rsidP="007A3D1F">
      <w:pPr>
        <w:snapToGrid w:val="0"/>
        <w:ind w:firstLineChars="177" w:firstLine="372"/>
        <w:rPr>
          <w:rFonts w:ascii="Segoe UI" w:hAnsi="Segoe UI" w:cs="Segoe UI"/>
          <w:color w:val="1F2329"/>
          <w:shd w:val="clear" w:color="auto" w:fill="EFF0F1"/>
        </w:rPr>
      </w:pPr>
    </w:p>
    <w:p w14:paraId="0B442A4F" w14:textId="5117CEB9" w:rsidR="00F94661" w:rsidRDefault="00F94661" w:rsidP="007A3D1F">
      <w:pPr>
        <w:snapToGrid w:val="0"/>
        <w:ind w:firstLineChars="177" w:firstLine="372"/>
        <w:rPr>
          <w:rFonts w:ascii="Segoe UI" w:hAnsi="Segoe UI" w:cs="Segoe UI"/>
          <w:color w:val="1F2329"/>
          <w:shd w:val="clear" w:color="auto" w:fill="EFF0F1"/>
        </w:rPr>
      </w:pPr>
    </w:p>
    <w:p w14:paraId="6F2E257C" w14:textId="4DA04114" w:rsidR="00F94661" w:rsidRPr="00A31C8F" w:rsidRDefault="006C6F6D" w:rsidP="006C6F6D">
      <w:pPr>
        <w:rPr>
          <w:rFonts w:hint="eastAsia"/>
        </w:rPr>
      </w:pPr>
      <w:r w:rsidRPr="006C6F6D">
        <w:rPr>
          <w:rFonts w:hint="eastAsia"/>
          <w:b/>
        </w:rPr>
        <w:t>招标文件要求</w:t>
      </w:r>
    </w:p>
    <w:p w14:paraId="196267A0"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4D0707B" w14:textId="47333BAE"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联合</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制定切实可行的应急预案，制定完善的应急恢复计划；</w:t>
      </w:r>
    </w:p>
    <w:p w14:paraId="138568F1" w14:textId="1E735234" w:rsidR="007A3D1F" w:rsidRDefault="007A3D1F" w:rsidP="007A3D1F">
      <w:pPr>
        <w:snapToGrid w:val="0"/>
        <w:ind w:firstLineChars="177" w:firstLine="372"/>
        <w:rPr>
          <w:rFonts w:ascii="Segoe UI" w:hAnsi="Segoe UI" w:cs="Segoe UI"/>
          <w:color w:val="1F2329"/>
          <w:shd w:val="clear" w:color="auto" w:fill="EFF0F1"/>
        </w:rPr>
      </w:pPr>
    </w:p>
    <w:p w14:paraId="4D036B4C" w14:textId="707FA30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4E91626"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7D91F125" w14:textId="1709F603"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将与</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成立联合应急小组，基于对项目各环节风险的全面评估，结合华为云成熟的应急管理经验，共同制定切实可行的应急预案与完善的应急恢复计划。针对专线故障、网络攻击、数据丢失、应用崩溃等可能出现的突发情况，明确应急响应流程、责任分工及处置措施。同时，定期对应急预案进行演练与优化，确保在遇到紧急情况时，能够快速响应、有效处置，最大限度降低对业务的影响，保障项目的连续性与稳定性。</w:t>
      </w:r>
    </w:p>
    <w:p w14:paraId="5893F1D7" w14:textId="7423171B" w:rsidR="007A3D1F" w:rsidRDefault="007A3D1F" w:rsidP="007A3D1F">
      <w:pPr>
        <w:snapToGrid w:val="0"/>
        <w:ind w:firstLineChars="177" w:firstLine="372"/>
        <w:rPr>
          <w:rFonts w:ascii="Segoe UI" w:hAnsi="Segoe UI" w:cs="Segoe UI"/>
          <w:color w:val="1F2329"/>
          <w:shd w:val="clear" w:color="auto" w:fill="EFF0F1"/>
        </w:rPr>
      </w:pPr>
    </w:p>
    <w:p w14:paraId="013A50B0" w14:textId="35361660" w:rsidR="00F94661" w:rsidRDefault="00F94661" w:rsidP="007A3D1F">
      <w:pPr>
        <w:snapToGrid w:val="0"/>
        <w:ind w:firstLineChars="177" w:firstLine="372"/>
        <w:rPr>
          <w:rFonts w:ascii="Segoe UI" w:hAnsi="Segoe UI" w:cs="Segoe UI"/>
          <w:color w:val="1F2329"/>
          <w:shd w:val="clear" w:color="auto" w:fill="EFF0F1"/>
        </w:rPr>
      </w:pPr>
    </w:p>
    <w:p w14:paraId="1FB5AFA1" w14:textId="0EE3B870" w:rsidR="00F94661" w:rsidRPr="00A31C8F" w:rsidRDefault="006C6F6D" w:rsidP="006C6F6D">
      <w:pPr>
        <w:rPr>
          <w:rFonts w:hint="eastAsia"/>
        </w:rPr>
      </w:pPr>
      <w:r w:rsidRPr="006C6F6D">
        <w:rPr>
          <w:rFonts w:hint="eastAsia"/>
          <w:b/>
        </w:rPr>
        <w:t>招标文件要求</w:t>
      </w:r>
    </w:p>
    <w:p w14:paraId="770541AE"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B77D8FB" w14:textId="6C1F8913"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根据</w:t>
      </w:r>
      <w:proofErr w:type="spellStart"/>
      <w:r w:rsidRPr="00880FE9">
        <w:rPr>
          <w:rFonts w:ascii="Arial" w:eastAsia="等线" w:hAnsi="Arial" w:cs="Arial"/>
          <w:color w:val="000000"/>
          <w:sz w:val="24"/>
        </w:rPr>
        <w:t>Ameco</w:t>
      </w:r>
      <w:proofErr w:type="spellEnd"/>
      <w:r w:rsidR="006C6F6D" w:rsidRPr="006C6F6D">
        <w:rPr>
          <w:rFonts w:ascii="Arial" w:eastAsia="等线" w:hAnsi="Arial" w:cs="Arial"/>
          <w:b/>
          <w:color w:val="000000"/>
          <w:sz w:val="24"/>
        </w:rPr>
        <w:t>招标文件要求</w:t>
      </w:r>
      <w:r w:rsidRPr="00880FE9">
        <w:rPr>
          <w:rFonts w:ascii="Arial" w:eastAsia="等线" w:hAnsi="Arial" w:cs="Arial"/>
          <w:color w:val="000000"/>
          <w:sz w:val="24"/>
        </w:rPr>
        <w:t>提供项目所有相关文档；</w:t>
      </w:r>
    </w:p>
    <w:p w14:paraId="412844B2" w14:textId="38C2FA28" w:rsidR="007A3D1F" w:rsidRDefault="007A3D1F" w:rsidP="007A3D1F">
      <w:pPr>
        <w:snapToGrid w:val="0"/>
        <w:ind w:firstLineChars="177" w:firstLine="372"/>
        <w:rPr>
          <w:rFonts w:ascii="Segoe UI" w:hAnsi="Segoe UI" w:cs="Segoe UI"/>
          <w:color w:val="1F2329"/>
          <w:shd w:val="clear" w:color="auto" w:fill="EFF0F1"/>
        </w:rPr>
      </w:pPr>
    </w:p>
    <w:p w14:paraId="62CDB73C" w14:textId="3306E60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25D5D36"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2238CCD6" w14:textId="5FFD2953"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建立了完善的文档管理体系，在项目实施过程中，严格按照</w:t>
      </w:r>
      <w:proofErr w:type="spellStart"/>
      <w:r w:rsidR="007A3D1F">
        <w:rPr>
          <w:rFonts w:ascii="Segoe UI" w:hAnsi="Segoe UI" w:cs="Segoe UI"/>
          <w:color w:val="1F2329"/>
          <w:shd w:val="clear" w:color="auto" w:fill="EFF0F1"/>
        </w:rPr>
        <w:t>Ameco</w:t>
      </w:r>
      <w:proofErr w:type="spellEnd"/>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及时、准确地整理与提供项目所有相关文档。文档内容涵盖项目组织方案、技术方案、实施计划、测试报告、运维手册等各个方面，确保文档内容完整、逻辑清晰、格式规范。通过专业的文档管理工具，对文档进行版本控制与权限管理，保障文档的安全性与可追溯性。同时，安排专人负责与</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对接文档需求，及时响应反馈，确保文档交付工作满足</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的期望与</w:t>
      </w:r>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w:t>
      </w:r>
    </w:p>
    <w:p w14:paraId="258DBC2F" w14:textId="6BE08112" w:rsidR="007A3D1F" w:rsidRDefault="007A3D1F" w:rsidP="007A3D1F">
      <w:pPr>
        <w:snapToGrid w:val="0"/>
        <w:ind w:firstLineChars="177" w:firstLine="372"/>
        <w:rPr>
          <w:rFonts w:ascii="Segoe UI" w:hAnsi="Segoe UI" w:cs="Segoe UI"/>
          <w:color w:val="1F2329"/>
          <w:shd w:val="clear" w:color="auto" w:fill="EFF0F1"/>
        </w:rPr>
      </w:pPr>
    </w:p>
    <w:p w14:paraId="1EC47E10" w14:textId="7324DC4A" w:rsidR="00F94661" w:rsidRDefault="00F94661" w:rsidP="007A3D1F">
      <w:pPr>
        <w:snapToGrid w:val="0"/>
        <w:ind w:firstLineChars="177" w:firstLine="372"/>
        <w:rPr>
          <w:rFonts w:ascii="Segoe UI" w:hAnsi="Segoe UI" w:cs="Segoe UI"/>
          <w:color w:val="1F2329"/>
          <w:shd w:val="clear" w:color="auto" w:fill="EFF0F1"/>
        </w:rPr>
      </w:pPr>
    </w:p>
    <w:p w14:paraId="45D6F480" w14:textId="08892B70" w:rsidR="00F94661" w:rsidRPr="00A31C8F" w:rsidRDefault="006C6F6D" w:rsidP="006C6F6D">
      <w:pPr>
        <w:rPr>
          <w:rFonts w:hint="eastAsia"/>
        </w:rPr>
      </w:pPr>
      <w:r w:rsidRPr="006C6F6D">
        <w:rPr>
          <w:rFonts w:hint="eastAsia"/>
          <w:b/>
        </w:rPr>
        <w:t>招标文件要求</w:t>
      </w:r>
    </w:p>
    <w:p w14:paraId="6823F0BA"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5FCBD4CC" w14:textId="62AE6B69"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lastRenderedPageBreak/>
        <w:t>性能</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：系统访问、内部调用的速度应符合原</w:t>
      </w:r>
      <w:r w:rsidRPr="00880FE9">
        <w:rPr>
          <w:rFonts w:ascii="Arial" w:eastAsia="等线" w:hAnsi="Arial" w:cs="Arial"/>
          <w:color w:val="000000"/>
          <w:sz w:val="24"/>
        </w:rPr>
        <w:t>AWS</w:t>
      </w:r>
      <w:r w:rsidRPr="00880FE9">
        <w:rPr>
          <w:rFonts w:ascii="Arial" w:eastAsia="等线" w:hAnsi="Arial" w:cs="Arial"/>
          <w:color w:val="000000"/>
          <w:sz w:val="24"/>
        </w:rPr>
        <w:t>平台对应标准；</w:t>
      </w:r>
    </w:p>
    <w:p w14:paraId="4625F768" w14:textId="2D0EFE03" w:rsidR="007A3D1F" w:rsidRDefault="007A3D1F" w:rsidP="007A3D1F">
      <w:pPr>
        <w:snapToGrid w:val="0"/>
        <w:ind w:firstLineChars="177" w:firstLine="372"/>
        <w:rPr>
          <w:rFonts w:ascii="Segoe UI" w:hAnsi="Segoe UI" w:cs="Segoe UI"/>
          <w:color w:val="1F2329"/>
          <w:shd w:val="clear" w:color="auto" w:fill="EFF0F1"/>
        </w:rPr>
      </w:pPr>
    </w:p>
    <w:p w14:paraId="06F57D3D" w14:textId="374CDAF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14ECC04"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34D30902" w14:textId="153EDE87"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系统访问、内部调用的速度应符合原</w:t>
      </w:r>
      <w:r>
        <w:rPr>
          <w:rFonts w:ascii="Segoe UI" w:hAnsi="Segoe UI" w:cs="Segoe UI"/>
          <w:color w:val="1F2329"/>
          <w:shd w:val="clear" w:color="auto" w:fill="EFF0F1"/>
        </w:rPr>
        <w:t>AWS</w:t>
      </w:r>
      <w:r>
        <w:rPr>
          <w:rFonts w:ascii="Segoe UI" w:hAnsi="Segoe UI" w:cs="Segoe UI"/>
          <w:color w:val="1F2329"/>
          <w:shd w:val="clear" w:color="auto" w:fill="EFF0F1"/>
        </w:rPr>
        <w:t>平台对应标准：</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将以原</w:t>
      </w:r>
      <w:r>
        <w:rPr>
          <w:rFonts w:ascii="Segoe UI" w:hAnsi="Segoe UI" w:cs="Segoe UI"/>
          <w:color w:val="1F2329"/>
          <w:shd w:val="clear" w:color="auto" w:fill="EFF0F1"/>
        </w:rPr>
        <w:t>AWS</w:t>
      </w:r>
      <w:r>
        <w:rPr>
          <w:rFonts w:ascii="Segoe UI" w:hAnsi="Segoe UI" w:cs="Segoe UI"/>
          <w:color w:val="1F2329"/>
          <w:shd w:val="clear" w:color="auto" w:fill="EFF0F1"/>
        </w:rPr>
        <w:t>平台性能标准为基准，在项目实施过程中，从架构设计、资源配置、代码优化、网络优化等多个维度入手，确保系统访问与内部调用速度满足</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在架构设计上，采用高效的分布式架构与缓存机制；资源配置方面，根据业务负载动态调配计算、存储、网络资源；通过代码性能调优与网络链路优化，降低系统延迟，提升数据传输效率。同时，在测试阶段，运用专业的性能测试工具，对系统进行全方位的性能测试与监控，及时发现性能瓶颈并进行优化，确保系统性能达到或超过原</w:t>
      </w:r>
      <w:r>
        <w:rPr>
          <w:rFonts w:ascii="Segoe UI" w:hAnsi="Segoe UI" w:cs="Segoe UI"/>
          <w:color w:val="1F2329"/>
          <w:shd w:val="clear" w:color="auto" w:fill="EFF0F1"/>
        </w:rPr>
        <w:t>AWS</w:t>
      </w:r>
      <w:r>
        <w:rPr>
          <w:rFonts w:ascii="Segoe UI" w:hAnsi="Segoe UI" w:cs="Segoe UI"/>
          <w:color w:val="1F2329"/>
          <w:shd w:val="clear" w:color="auto" w:fill="EFF0F1"/>
        </w:rPr>
        <w:t>平台标准。</w:t>
      </w:r>
    </w:p>
    <w:p w14:paraId="5CC29AF0" w14:textId="46905378" w:rsidR="007A3D1F" w:rsidRDefault="007A3D1F" w:rsidP="007A3D1F">
      <w:pPr>
        <w:snapToGrid w:val="0"/>
        <w:ind w:firstLineChars="177" w:firstLine="372"/>
        <w:rPr>
          <w:rFonts w:ascii="Segoe UI" w:hAnsi="Segoe UI" w:cs="Segoe UI"/>
          <w:color w:val="1F2329"/>
          <w:shd w:val="clear" w:color="auto" w:fill="EFF0F1"/>
        </w:rPr>
      </w:pPr>
    </w:p>
    <w:p w14:paraId="29DF0BA5" w14:textId="6CCE85BE" w:rsidR="00F94661" w:rsidRDefault="00F94661" w:rsidP="007A3D1F">
      <w:pPr>
        <w:snapToGrid w:val="0"/>
        <w:ind w:firstLineChars="177" w:firstLine="372"/>
        <w:rPr>
          <w:rFonts w:ascii="Segoe UI" w:hAnsi="Segoe UI" w:cs="Segoe UI"/>
          <w:color w:val="1F2329"/>
          <w:shd w:val="clear" w:color="auto" w:fill="EFF0F1"/>
        </w:rPr>
      </w:pPr>
    </w:p>
    <w:p w14:paraId="3DBF7AEE" w14:textId="6E50FE83" w:rsidR="00F94661" w:rsidRPr="00A31C8F" w:rsidRDefault="006C6F6D" w:rsidP="006C6F6D">
      <w:pPr>
        <w:rPr>
          <w:rFonts w:hint="eastAsia"/>
        </w:rPr>
      </w:pPr>
      <w:r w:rsidRPr="006C6F6D">
        <w:rPr>
          <w:rFonts w:hint="eastAsia"/>
          <w:b/>
        </w:rPr>
        <w:t>招标文件要求</w:t>
      </w:r>
    </w:p>
    <w:p w14:paraId="49EDAAD5"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29AF781E" w14:textId="30BED6F5"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实施工作遵守</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对于相关资源及服务的管理流程、规定；</w:t>
      </w:r>
    </w:p>
    <w:p w14:paraId="244952D1" w14:textId="2865B3DC" w:rsidR="007A3D1F" w:rsidRDefault="007A3D1F" w:rsidP="007A3D1F">
      <w:pPr>
        <w:snapToGrid w:val="0"/>
        <w:ind w:firstLineChars="177" w:firstLine="372"/>
        <w:rPr>
          <w:rFonts w:ascii="Segoe UI" w:hAnsi="Segoe UI" w:cs="Segoe UI"/>
          <w:color w:val="1F2329"/>
          <w:shd w:val="clear" w:color="auto" w:fill="EFF0F1"/>
        </w:rPr>
      </w:pPr>
    </w:p>
    <w:p w14:paraId="1C2A7A4E" w14:textId="2A1BF900"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2A702FD"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01871A0E" w14:textId="155CB098"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将组织项目团队深入学习</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对于相关资源及服务的管理流程与规定，将其融入项目实施的各个环节。在资源下单、部署、迁移、运维等工作中，严格按照</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w:t>
      </w:r>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进行操作，确保流程合规、操作规范。建立内部审核机制，对项目实施过程进行定期检查与监督，及时纠正不符合</w:t>
      </w:r>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的行为。同时，保持与</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的密切沟通，及时了解管理</w:t>
      </w:r>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的变化，动态调整项目实施策略，确保项目实施工作始终符合</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的管理规定，实现双方良好协作。</w:t>
      </w:r>
    </w:p>
    <w:p w14:paraId="76836957" w14:textId="2A6D2239" w:rsidR="007A3D1F" w:rsidRPr="007A3D1F" w:rsidRDefault="007A3D1F" w:rsidP="007A3D1F">
      <w:pPr>
        <w:snapToGrid w:val="0"/>
        <w:ind w:firstLineChars="177" w:firstLine="372"/>
        <w:rPr>
          <w:rFonts w:ascii="Segoe UI" w:hAnsi="Segoe UI" w:cs="Segoe UI"/>
          <w:color w:val="1F2329"/>
          <w:shd w:val="clear" w:color="auto" w:fill="EFF0F1"/>
        </w:rPr>
      </w:pPr>
    </w:p>
    <w:p w14:paraId="37C6A2AC" w14:textId="77777777" w:rsidR="007A3D1F" w:rsidRPr="007A3D1F" w:rsidRDefault="007A3D1F" w:rsidP="007A3D1F">
      <w:pPr>
        <w:snapToGrid w:val="0"/>
        <w:ind w:firstLineChars="177" w:firstLine="372"/>
        <w:rPr>
          <w:rFonts w:ascii="Segoe UI" w:hAnsi="Segoe UI" w:cs="Segoe UI"/>
          <w:color w:val="1F2329"/>
          <w:shd w:val="clear" w:color="auto" w:fill="EFF0F1"/>
        </w:rPr>
      </w:pPr>
    </w:p>
    <w:p w14:paraId="4210F98B" w14:textId="46C1B185" w:rsidR="007A3D1F" w:rsidRDefault="007A3D1F" w:rsidP="007A3D1F">
      <w:pPr>
        <w:snapToGrid w:val="0"/>
        <w:ind w:firstLineChars="177" w:firstLine="372"/>
        <w:rPr>
          <w:rFonts w:ascii="Segoe UI" w:hAnsi="Segoe UI" w:cs="Segoe UI"/>
          <w:color w:val="1F2329"/>
          <w:shd w:val="clear" w:color="auto" w:fill="EFF0F1"/>
        </w:rPr>
      </w:pPr>
    </w:p>
    <w:p w14:paraId="0FC40B6B" w14:textId="6EF6C203" w:rsidR="007A3D1F" w:rsidRDefault="007A3D1F" w:rsidP="007A3D1F">
      <w:pPr>
        <w:snapToGrid w:val="0"/>
        <w:ind w:firstLineChars="177" w:firstLine="372"/>
        <w:rPr>
          <w:rFonts w:ascii="Segoe UI" w:hAnsi="Segoe UI" w:cs="Segoe UI"/>
          <w:color w:val="1F2329"/>
          <w:shd w:val="clear" w:color="auto" w:fill="EFF0F1"/>
        </w:rPr>
      </w:pPr>
    </w:p>
    <w:p w14:paraId="0B7DEB7F" w14:textId="78C02B18" w:rsidR="007A3D1F" w:rsidRDefault="007A3D1F" w:rsidP="007A3D1F">
      <w:pPr>
        <w:snapToGrid w:val="0"/>
        <w:ind w:firstLineChars="177" w:firstLine="372"/>
        <w:rPr>
          <w:rFonts w:ascii="Segoe UI" w:hAnsi="Segoe UI" w:cs="Segoe UI"/>
          <w:color w:val="1F2329"/>
          <w:shd w:val="clear" w:color="auto" w:fill="EFF0F1"/>
        </w:rPr>
      </w:pPr>
    </w:p>
    <w:p w14:paraId="7F422E40" w14:textId="77777777" w:rsidR="007A3D1F" w:rsidRPr="007A3D1F" w:rsidRDefault="007A3D1F" w:rsidP="007A3D1F">
      <w:pPr>
        <w:snapToGrid w:val="0"/>
        <w:ind w:firstLineChars="177" w:firstLine="372"/>
        <w:rPr>
          <w:rFonts w:ascii="Segoe UI" w:hAnsi="Segoe UI" w:cs="Segoe UI"/>
          <w:color w:val="1F2329"/>
          <w:shd w:val="clear" w:color="auto" w:fill="EFF0F1"/>
        </w:rPr>
      </w:pPr>
    </w:p>
    <w:p w14:paraId="31AB3EFC" w14:textId="7C995209" w:rsidR="00BE572F" w:rsidRDefault="00BE572F" w:rsidP="007A3D1F">
      <w:pPr>
        <w:pStyle w:val="2"/>
        <w:rPr>
          <w:rFonts w:hint="eastAsia"/>
        </w:rPr>
      </w:pPr>
      <w:r>
        <w:tab/>
        <w:t>★实施周期（总集）</w:t>
      </w:r>
      <w:r>
        <w:tab/>
      </w:r>
    </w:p>
    <w:p w14:paraId="4403AFE0" w14:textId="2D739C73" w:rsidR="00F94661" w:rsidRPr="00A31C8F" w:rsidRDefault="006C6F6D" w:rsidP="006C6F6D">
      <w:pPr>
        <w:rPr>
          <w:rFonts w:hint="eastAsia"/>
        </w:rPr>
      </w:pPr>
      <w:r w:rsidRPr="006C6F6D">
        <w:rPr>
          <w:rFonts w:hint="eastAsia"/>
          <w:b/>
        </w:rPr>
        <w:t>招标文件要求</w:t>
      </w:r>
    </w:p>
    <w:p w14:paraId="20ED207A" w14:textId="77777777" w:rsidR="00F94661" w:rsidRPr="00F94661" w:rsidRDefault="00F94661" w:rsidP="00F94661">
      <w:pPr>
        <w:rPr>
          <w:rFonts w:hint="eastAsia"/>
        </w:rPr>
      </w:pPr>
    </w:p>
    <w:p w14:paraId="7B5335B9" w14:textId="7E6F27D0" w:rsidR="007A3D1F" w:rsidRPr="007A3D1F" w:rsidRDefault="007A3D1F" w:rsidP="007A3D1F">
      <w:pPr>
        <w:snapToGrid w:val="0"/>
        <w:ind w:firstLineChars="177" w:firstLine="372"/>
        <w:rPr>
          <w:rFonts w:ascii="Segoe UI" w:hAnsi="Segoe UI" w:cs="Segoe UI"/>
          <w:color w:val="1F2329"/>
          <w:shd w:val="clear" w:color="auto" w:fill="EFF0F1"/>
        </w:rPr>
      </w:pPr>
      <w:r w:rsidRPr="007A3D1F">
        <w:rPr>
          <w:rFonts w:ascii="Segoe UI" w:hAnsi="Segoe UI" w:cs="Segoe UI" w:hint="eastAsia"/>
          <w:color w:val="1F2329"/>
          <w:shd w:val="clear" w:color="auto" w:fill="EFF0F1"/>
        </w:rPr>
        <w:t>合同生效后，投标人应在</w:t>
      </w:r>
      <w:r w:rsidRPr="007A3D1F">
        <w:rPr>
          <w:rFonts w:ascii="Segoe UI" w:hAnsi="Segoe UI" w:cs="Segoe UI"/>
          <w:color w:val="1F2329"/>
          <w:shd w:val="clear" w:color="auto" w:fill="EFF0F1"/>
        </w:rPr>
        <w:t>7</w:t>
      </w:r>
      <w:r w:rsidRPr="007A3D1F">
        <w:rPr>
          <w:rFonts w:ascii="Segoe UI" w:hAnsi="Segoe UI" w:cs="Segoe UI"/>
          <w:color w:val="1F2329"/>
          <w:shd w:val="clear" w:color="auto" w:fill="EFF0F1"/>
        </w:rPr>
        <w:t>个工作日内交付公有云账号，</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个工作日内完成专线部署，在专线开通后的</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个工作日内完成合理的混合云架构设计、资源开通、应用部署、和相关业务迁移实施。</w:t>
      </w:r>
    </w:p>
    <w:p w14:paraId="095763F5" w14:textId="038A012E" w:rsidR="007A3D1F" w:rsidRDefault="007A3D1F" w:rsidP="007A3D1F">
      <w:pPr>
        <w:snapToGrid w:val="0"/>
        <w:ind w:firstLineChars="177" w:firstLine="372"/>
        <w:rPr>
          <w:rFonts w:ascii="Segoe UI" w:hAnsi="Segoe UI" w:cs="Segoe UI"/>
          <w:color w:val="1F2329"/>
          <w:shd w:val="clear" w:color="auto" w:fill="EFF0F1"/>
        </w:rPr>
      </w:pPr>
    </w:p>
    <w:p w14:paraId="44979010" w14:textId="5010D6D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05C00CD"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58666FEC" w14:textId="3E25089D" w:rsidR="007A3D1F" w:rsidRPr="007A3D1F" w:rsidRDefault="007A3D1F">
      <w:pPr>
        <w:pStyle w:val="a3"/>
        <w:numPr>
          <w:ilvl w:val="0"/>
          <w:numId w:val="112"/>
        </w:numPr>
        <w:snapToGrid w:val="0"/>
        <w:ind w:firstLineChars="0"/>
        <w:rPr>
          <w:rFonts w:ascii="Segoe UI" w:hAnsi="Segoe UI" w:cs="Segoe UI"/>
          <w:color w:val="1F2329"/>
          <w:shd w:val="clear" w:color="auto" w:fill="EFF0F1"/>
        </w:rPr>
      </w:pPr>
      <w:r w:rsidRPr="007A3D1F">
        <w:rPr>
          <w:rFonts w:ascii="Segoe UI" w:hAnsi="Segoe UI" w:cs="Segoe UI" w:hint="eastAsia"/>
          <w:color w:val="1F2329"/>
          <w:shd w:val="clear" w:color="auto" w:fill="EFF0F1"/>
        </w:rPr>
        <w:t>合同生效后，投标人应在</w:t>
      </w:r>
      <w:r w:rsidRPr="007A3D1F">
        <w:rPr>
          <w:rFonts w:ascii="Segoe UI" w:hAnsi="Segoe UI" w:cs="Segoe UI"/>
          <w:color w:val="1F2329"/>
          <w:shd w:val="clear" w:color="auto" w:fill="EFF0F1"/>
        </w:rPr>
        <w:t>7</w:t>
      </w:r>
      <w:r w:rsidRPr="007A3D1F">
        <w:rPr>
          <w:rFonts w:ascii="Segoe UI" w:hAnsi="Segoe UI" w:cs="Segoe UI"/>
          <w:color w:val="1F2329"/>
          <w:shd w:val="clear" w:color="auto" w:fill="EFF0F1"/>
        </w:rPr>
        <w:t>个工作日内交付公有云账号：</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建立了高效的资源开通与账号交付流程。合同生效后，</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将立即启动专项工作，安排专人负责与华为云资源管理部门对接，快速完成公有云账号的创建、权限配置与安全设置工作。</w:t>
      </w:r>
      <w:r w:rsidRPr="007A3D1F">
        <w:rPr>
          <w:rFonts w:ascii="Segoe UI" w:hAnsi="Segoe UI" w:cs="Segoe UI"/>
          <w:color w:val="1F2329"/>
          <w:shd w:val="clear" w:color="auto" w:fill="EFF0F1"/>
        </w:rPr>
        <w:lastRenderedPageBreak/>
        <w:t>依托华为云自动化资源管理系统，结合成熟的交付经验，严格把控每个环节的时间节点，确保在</w:t>
      </w:r>
      <w:r w:rsidRPr="007A3D1F">
        <w:rPr>
          <w:rFonts w:ascii="Segoe UI" w:hAnsi="Segoe UI" w:cs="Segoe UI"/>
          <w:color w:val="1F2329"/>
          <w:shd w:val="clear" w:color="auto" w:fill="EFF0F1"/>
        </w:rPr>
        <w:t>7</w:t>
      </w:r>
      <w:r w:rsidRPr="007A3D1F">
        <w:rPr>
          <w:rFonts w:ascii="Segoe UI" w:hAnsi="Segoe UI" w:cs="Segoe UI"/>
          <w:color w:val="1F2329"/>
          <w:shd w:val="clear" w:color="auto" w:fill="EFF0F1"/>
        </w:rPr>
        <w:t>个工作日内高质量交付公有云账号，为后续项目推进奠定基础。</w:t>
      </w:r>
      <w:r w:rsidRPr="007A3D1F">
        <w:rPr>
          <w:rFonts w:ascii="Segoe UI" w:hAnsi="Segoe UI" w:cs="Segoe UI"/>
          <w:color w:val="1F2329"/>
          <w:shd w:val="clear" w:color="auto" w:fill="EFF0F1"/>
        </w:rPr>
        <w:t>​</w:t>
      </w:r>
    </w:p>
    <w:p w14:paraId="6CE09177" w14:textId="5FDC0AD1" w:rsidR="007A3D1F" w:rsidRPr="007A3D1F" w:rsidRDefault="007A3D1F">
      <w:pPr>
        <w:pStyle w:val="a3"/>
        <w:numPr>
          <w:ilvl w:val="0"/>
          <w:numId w:val="112"/>
        </w:numPr>
        <w:snapToGrid w:val="0"/>
        <w:ind w:firstLineChars="0"/>
        <w:rPr>
          <w:rFonts w:ascii="Segoe UI" w:hAnsi="Segoe UI" w:cs="Segoe UI"/>
          <w:color w:val="1F2329"/>
          <w:shd w:val="clear" w:color="auto" w:fill="EFF0F1"/>
        </w:rPr>
      </w:pP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个工作日内完成专线部署：在专线部署方面，</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具备丰富的实施经验与专业的技术团队。合同生效后，</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将第一时间开展网络需求调研与现场勘查，制定详细的专线部署方案。从线路规划、设备采购到安装调试，</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将严格按照计划推进，充分协调各方资源，采用并行作业等方式提升效率。同时，建立进度跟踪机制，每日汇报进展情况，遇到问题及时解决，确保在</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个工作日内全面完成专线部署工作，为混合云架构搭建与业务迁移提供稳定的网络保障。</w:t>
      </w:r>
      <w:r w:rsidRPr="007A3D1F">
        <w:rPr>
          <w:rFonts w:ascii="Segoe UI" w:hAnsi="Segoe UI" w:cs="Segoe UI"/>
          <w:color w:val="1F2329"/>
          <w:shd w:val="clear" w:color="auto" w:fill="EFF0F1"/>
        </w:rPr>
        <w:t>​</w:t>
      </w:r>
    </w:p>
    <w:p w14:paraId="10F1219B" w14:textId="3A32D689" w:rsidR="007A3D1F" w:rsidRPr="007A3D1F" w:rsidRDefault="007A3D1F">
      <w:pPr>
        <w:pStyle w:val="a3"/>
        <w:numPr>
          <w:ilvl w:val="0"/>
          <w:numId w:val="112"/>
        </w:numPr>
        <w:snapToGrid w:val="0"/>
        <w:ind w:firstLineChars="0"/>
        <w:rPr>
          <w:rFonts w:ascii="Segoe UI" w:hAnsi="Segoe UI" w:cs="Segoe UI"/>
          <w:color w:val="1F2329"/>
          <w:shd w:val="clear" w:color="auto" w:fill="EFF0F1"/>
        </w:rPr>
      </w:pPr>
      <w:r w:rsidRPr="007A3D1F">
        <w:rPr>
          <w:rFonts w:ascii="Segoe UI" w:hAnsi="Segoe UI" w:cs="Segoe UI" w:hint="eastAsia"/>
          <w:color w:val="1F2329"/>
          <w:shd w:val="clear" w:color="auto" w:fill="EFF0F1"/>
        </w:rPr>
        <w:t>在专线开通后的</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个工作日内完成合理的混合云架构设计、资源开通、应用部署和相关业务迁移实施：专线开通后，</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将迅速组织架构师、工程师等专业人员，依据前期制定的方案，开展混合云架构设计工作。凭借华为云强大的技术支撑与模板化设计能力，高效完成架构设计并通过审核。同步进行资源开通工作，利用华为云弹性资源池与自动化开通工具，快速配置所需计算、存储、网络等资源。在应用部署与业务迁移环节，采用分阶段、分批次的策略，结合成熟的迁移工具与测试流程，确保应用与业务平稳过渡。通过制定详细的项目甘特图，细化每个任务的时间节点</w:t>
      </w:r>
      <w:r w:rsidRPr="007A3D1F">
        <w:rPr>
          <w:rFonts w:ascii="Segoe UI" w:hAnsi="Segoe UI" w:cs="Segoe UI" w:hint="eastAsia"/>
          <w:color w:val="1F2329"/>
          <w:shd w:val="clear" w:color="auto" w:fill="EFF0F1"/>
        </w:rPr>
        <w:t>与责任人，加强团队协作与沟通，严格把控项目进度，确保在专线开通后的</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个工作日内，高质量完成混合云架构设计、资源开通、应用部署和相关业务迁移实施工作，助力</w:t>
      </w:r>
      <w:proofErr w:type="spellStart"/>
      <w:r w:rsidRPr="007A3D1F">
        <w:rPr>
          <w:rFonts w:ascii="Segoe UI" w:hAnsi="Segoe UI" w:cs="Segoe UI"/>
          <w:color w:val="1F2329"/>
          <w:shd w:val="clear" w:color="auto" w:fill="EFF0F1"/>
        </w:rPr>
        <w:t>Ameco</w:t>
      </w:r>
      <w:proofErr w:type="spellEnd"/>
      <w:r w:rsidRPr="007A3D1F">
        <w:rPr>
          <w:rFonts w:ascii="Segoe UI" w:hAnsi="Segoe UI" w:cs="Segoe UI"/>
          <w:color w:val="1F2329"/>
          <w:shd w:val="clear" w:color="auto" w:fill="EFF0F1"/>
        </w:rPr>
        <w:t>顺利实现混合云转型。</w:t>
      </w:r>
    </w:p>
    <w:p w14:paraId="3CF0BFE2" w14:textId="65FAB49C" w:rsidR="007A3D1F" w:rsidRDefault="007A3D1F" w:rsidP="007A3D1F">
      <w:pPr>
        <w:snapToGrid w:val="0"/>
        <w:ind w:firstLineChars="177" w:firstLine="372"/>
        <w:rPr>
          <w:rFonts w:ascii="Segoe UI" w:hAnsi="Segoe UI" w:cs="Segoe UI"/>
          <w:color w:val="1F2329"/>
          <w:shd w:val="clear" w:color="auto" w:fill="EFF0F1"/>
        </w:rPr>
      </w:pPr>
    </w:p>
    <w:p w14:paraId="5DEFB8CF" w14:textId="5091CBDE" w:rsidR="007A3D1F" w:rsidRDefault="007A3D1F" w:rsidP="007A3D1F">
      <w:pPr>
        <w:snapToGrid w:val="0"/>
        <w:ind w:firstLineChars="177" w:firstLine="372"/>
        <w:rPr>
          <w:rFonts w:ascii="Segoe UI" w:hAnsi="Segoe UI" w:cs="Segoe UI"/>
          <w:color w:val="1F2329"/>
          <w:shd w:val="clear" w:color="auto" w:fill="EFF0F1"/>
        </w:rPr>
      </w:pPr>
    </w:p>
    <w:p w14:paraId="0446E85B" w14:textId="6DB7B39C" w:rsidR="007A3D1F" w:rsidRDefault="007A3D1F" w:rsidP="007A3D1F">
      <w:pPr>
        <w:pStyle w:val="2"/>
        <w:rPr>
          <w:rFonts w:hint="eastAsia"/>
          <w:shd w:val="clear" w:color="auto" w:fill="EFF0F1"/>
        </w:rPr>
      </w:pPr>
      <w:r w:rsidRPr="00880FE9">
        <w:rPr>
          <w:rFonts w:ascii="Segoe UI Symbol" w:eastAsia="等线" w:hAnsi="Segoe UI Symbol" w:cs="Segoe UI Symbol"/>
          <w:b w:val="0"/>
          <w:color w:val="FF0000"/>
          <w:sz w:val="24"/>
          <w:szCs w:val="24"/>
        </w:rPr>
        <w:t>★</w:t>
      </w:r>
      <w:r>
        <w:rPr>
          <w:rFonts w:hint="eastAsia"/>
          <w:shd w:val="clear" w:color="auto" w:fill="EFF0F1"/>
        </w:rPr>
        <w:t>培训</w:t>
      </w:r>
    </w:p>
    <w:p w14:paraId="18C39D13" w14:textId="236D92AF" w:rsidR="00F94661" w:rsidRDefault="00F94661" w:rsidP="00F94661">
      <w:pPr>
        <w:rPr>
          <w:rFonts w:hint="eastAsia"/>
        </w:rPr>
      </w:pPr>
    </w:p>
    <w:p w14:paraId="649F8EF8" w14:textId="56FFA027" w:rsidR="00F94661" w:rsidRPr="00A31C8F" w:rsidRDefault="006C6F6D" w:rsidP="006C6F6D">
      <w:pPr>
        <w:rPr>
          <w:rFonts w:hint="eastAsia"/>
        </w:rPr>
      </w:pPr>
      <w:r w:rsidRPr="006C6F6D">
        <w:rPr>
          <w:rFonts w:hint="eastAsia"/>
          <w:b/>
        </w:rPr>
        <w:t>招标文件要求</w:t>
      </w:r>
    </w:p>
    <w:p w14:paraId="3DA10091" w14:textId="77777777" w:rsidR="00F94661" w:rsidRPr="00F94661" w:rsidRDefault="00F94661" w:rsidP="00F94661">
      <w:pPr>
        <w:rPr>
          <w:rFonts w:hint="eastAsia"/>
        </w:rPr>
      </w:pPr>
    </w:p>
    <w:p w14:paraId="4498211B" w14:textId="4A771C64"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提供交付服务的技术讲解（单次；</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提供培训场地和培训设施，参加培训的人数不多于</w:t>
      </w:r>
      <w:r w:rsidRPr="00880FE9">
        <w:rPr>
          <w:rFonts w:ascii="Arial" w:eastAsia="等线" w:hAnsi="Arial" w:cs="Arial"/>
          <w:color w:val="000000"/>
          <w:sz w:val="24"/>
        </w:rPr>
        <w:t>6</w:t>
      </w:r>
      <w:r w:rsidRPr="00880FE9">
        <w:rPr>
          <w:rFonts w:ascii="Arial" w:eastAsia="等线" w:hAnsi="Arial" w:cs="Arial"/>
          <w:color w:val="000000"/>
          <w:sz w:val="24"/>
        </w:rPr>
        <w:t>人，讲解时间至少</w:t>
      </w:r>
      <w:r w:rsidRPr="00880FE9">
        <w:rPr>
          <w:rFonts w:ascii="Arial" w:eastAsia="等线" w:hAnsi="Arial" w:cs="Arial"/>
          <w:color w:val="000000"/>
          <w:sz w:val="24"/>
        </w:rPr>
        <w:t>2</w:t>
      </w:r>
      <w:r w:rsidRPr="00880FE9">
        <w:rPr>
          <w:rFonts w:ascii="Arial" w:eastAsia="等线" w:hAnsi="Arial" w:cs="Arial"/>
          <w:color w:val="000000"/>
          <w:sz w:val="24"/>
        </w:rPr>
        <w:t>天），并确保</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运维工程师独立使用该系统；</w:t>
      </w:r>
    </w:p>
    <w:p w14:paraId="5688F80D" w14:textId="21C5D3CA" w:rsidR="007A3D1F" w:rsidRDefault="007A3D1F" w:rsidP="007A3D1F">
      <w:pPr>
        <w:snapToGrid w:val="0"/>
        <w:ind w:firstLineChars="177" w:firstLine="372"/>
        <w:rPr>
          <w:rFonts w:ascii="Segoe UI" w:hAnsi="Segoe UI" w:cs="Segoe UI"/>
          <w:color w:val="1F2329"/>
          <w:shd w:val="clear" w:color="auto" w:fill="EFF0F1"/>
        </w:rPr>
      </w:pPr>
    </w:p>
    <w:p w14:paraId="0BD17539" w14:textId="4CDA476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B71E7AB"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E146F51" w14:textId="69EAD51F"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将组建由资深技术专家和认证讲师构成的专业培训团队，为</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提供为期至少</w:t>
      </w:r>
      <w:r w:rsidR="007A3D1F">
        <w:rPr>
          <w:rFonts w:ascii="Segoe UI" w:hAnsi="Segoe UI" w:cs="Segoe UI"/>
          <w:color w:val="1F2329"/>
          <w:shd w:val="clear" w:color="auto" w:fill="EFF0F1"/>
        </w:rPr>
        <w:t>2</w:t>
      </w:r>
      <w:r w:rsidR="007A3D1F">
        <w:rPr>
          <w:rFonts w:ascii="Segoe UI" w:hAnsi="Segoe UI" w:cs="Segoe UI"/>
          <w:color w:val="1F2329"/>
          <w:shd w:val="clear" w:color="auto" w:fill="EFF0F1"/>
        </w:rPr>
        <w:t>天的深度技术讲解。培训内容将围绕交付服务的核心技术，采用理论结合实操的方式，从系统架构、操作流程、常见问题处理等方面展开，确保每位参训的运维工程师都能充分理解和掌握。在培训过程中，安排一对一指导和分组实操演练，及时解答疑问，并通过模拟真实业务场景的实践考核，检验学习成果，确保</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运维工程师能够独立、熟练地使用该系统。</w:t>
      </w:r>
    </w:p>
    <w:p w14:paraId="2A80F75D" w14:textId="30292352" w:rsidR="007A3D1F" w:rsidRDefault="007A3D1F" w:rsidP="007A3D1F">
      <w:pPr>
        <w:snapToGrid w:val="0"/>
        <w:ind w:firstLineChars="177" w:firstLine="372"/>
        <w:rPr>
          <w:rFonts w:ascii="Segoe UI" w:hAnsi="Segoe UI" w:cs="Segoe UI"/>
          <w:color w:val="1F2329"/>
          <w:shd w:val="clear" w:color="auto" w:fill="EFF0F1"/>
        </w:rPr>
      </w:pPr>
    </w:p>
    <w:p w14:paraId="353CDE73" w14:textId="7B2EBD90" w:rsidR="00F94661" w:rsidRDefault="00F94661" w:rsidP="007A3D1F">
      <w:pPr>
        <w:snapToGrid w:val="0"/>
        <w:ind w:firstLineChars="177" w:firstLine="372"/>
        <w:rPr>
          <w:rFonts w:ascii="Segoe UI" w:hAnsi="Segoe UI" w:cs="Segoe UI"/>
          <w:color w:val="1F2329"/>
          <w:shd w:val="clear" w:color="auto" w:fill="EFF0F1"/>
        </w:rPr>
      </w:pPr>
    </w:p>
    <w:p w14:paraId="52124316" w14:textId="1EDC0B1E" w:rsidR="00F94661" w:rsidRPr="00A31C8F" w:rsidRDefault="006C6F6D" w:rsidP="006C6F6D">
      <w:pPr>
        <w:rPr>
          <w:rFonts w:hint="eastAsia"/>
        </w:rPr>
      </w:pPr>
      <w:r w:rsidRPr="006C6F6D">
        <w:rPr>
          <w:rFonts w:hint="eastAsia"/>
          <w:b/>
        </w:rPr>
        <w:t>招标文件要求</w:t>
      </w:r>
    </w:p>
    <w:p w14:paraId="4B2B2AB5" w14:textId="77777777" w:rsidR="00F94661" w:rsidRPr="00F94661" w:rsidRDefault="00F94661" w:rsidP="007A3D1F">
      <w:pPr>
        <w:snapToGrid w:val="0"/>
        <w:ind w:firstLineChars="177" w:firstLine="372"/>
        <w:rPr>
          <w:rFonts w:ascii="Segoe UI" w:hAnsi="Segoe UI" w:cs="Segoe UI"/>
          <w:b/>
          <w:bCs/>
          <w:color w:val="1F2329"/>
          <w:shd w:val="clear" w:color="auto" w:fill="EFF0F1"/>
        </w:rPr>
      </w:pPr>
    </w:p>
    <w:p w14:paraId="1B3ADB02" w14:textId="309E7989"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培训地点及数量：在北京提供至少</w:t>
      </w:r>
      <w:r w:rsidRPr="00880FE9">
        <w:rPr>
          <w:rFonts w:ascii="Arial" w:eastAsia="等线" w:hAnsi="Arial" w:cs="Arial"/>
          <w:color w:val="000000"/>
          <w:sz w:val="24"/>
        </w:rPr>
        <w:t>1</w:t>
      </w:r>
      <w:r w:rsidRPr="00880FE9">
        <w:rPr>
          <w:rFonts w:ascii="Arial" w:eastAsia="等线" w:hAnsi="Arial" w:cs="Arial"/>
          <w:color w:val="000000"/>
          <w:sz w:val="24"/>
        </w:rPr>
        <w:t>次运维培训；</w:t>
      </w:r>
    </w:p>
    <w:p w14:paraId="4AA952F0" w14:textId="2D4C912A" w:rsidR="007A3D1F" w:rsidRDefault="007A3D1F" w:rsidP="007A3D1F">
      <w:pPr>
        <w:snapToGrid w:val="0"/>
        <w:ind w:firstLineChars="177" w:firstLine="372"/>
        <w:rPr>
          <w:rFonts w:ascii="Segoe UI" w:hAnsi="Segoe UI" w:cs="Segoe UI"/>
          <w:color w:val="1F2329"/>
          <w:shd w:val="clear" w:color="auto" w:fill="EFF0F1"/>
        </w:rPr>
      </w:pPr>
    </w:p>
    <w:p w14:paraId="6D69D265" w14:textId="0FB95A3D" w:rsidR="007671BD" w:rsidRDefault="007671BD" w:rsidP="007A3D1F">
      <w:pPr>
        <w:snapToGrid w:val="0"/>
        <w:ind w:firstLineChars="177" w:firstLine="372"/>
        <w:rPr>
          <w:rFonts w:ascii="Segoe UI" w:hAnsi="Segoe UI" w:cs="Segoe UI"/>
          <w:color w:val="1F2329"/>
          <w:shd w:val="clear" w:color="auto" w:fill="EFF0F1"/>
        </w:rPr>
      </w:pPr>
    </w:p>
    <w:p w14:paraId="0933DEA5" w14:textId="393D7FE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lastRenderedPageBreak/>
        <w:t>应答：满足</w:t>
      </w:r>
    </w:p>
    <w:p w14:paraId="54C79F37"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278E52F9" w14:textId="4AC9C0ED"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充分尊重</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的培训安排，将积极配合在北京开展至少</w:t>
      </w:r>
      <w:r w:rsidR="007A3D1F">
        <w:rPr>
          <w:rFonts w:ascii="Segoe UI" w:hAnsi="Segoe UI" w:cs="Segoe UI"/>
          <w:color w:val="1F2329"/>
          <w:shd w:val="clear" w:color="auto" w:fill="EFF0F1"/>
        </w:rPr>
        <w:t>1</w:t>
      </w:r>
      <w:r w:rsidR="007A3D1F">
        <w:rPr>
          <w:rFonts w:ascii="Segoe UI" w:hAnsi="Segoe UI" w:cs="Segoe UI"/>
          <w:color w:val="1F2329"/>
          <w:shd w:val="clear" w:color="auto" w:fill="EFF0F1"/>
        </w:rPr>
        <w:t>次运维培训。在培训筹备阶段，提前与</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沟通确定培训具体时间、场地细节及参训人员名单等信息，根据实际情况优化培训课程内容和流程。培训期间，严格把控培训质量，安排经验丰富的讲师进行授课，通过现场讲解、案例分析、互动答疑等多样化教学方式，确保培训效果，助力</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运维团队提升专业技能。</w:t>
      </w:r>
    </w:p>
    <w:p w14:paraId="3ADC1B8E" w14:textId="6F5D065C" w:rsidR="007A3D1F" w:rsidRDefault="007A3D1F" w:rsidP="007A3D1F">
      <w:pPr>
        <w:snapToGrid w:val="0"/>
        <w:ind w:firstLineChars="177" w:firstLine="372"/>
        <w:rPr>
          <w:rFonts w:ascii="Segoe UI" w:hAnsi="Segoe UI" w:cs="Segoe UI"/>
          <w:color w:val="1F2329"/>
          <w:shd w:val="clear" w:color="auto" w:fill="EFF0F1"/>
        </w:rPr>
      </w:pPr>
    </w:p>
    <w:p w14:paraId="5EC9E5F1" w14:textId="02872566" w:rsidR="00F94661" w:rsidRDefault="00F94661" w:rsidP="007A3D1F">
      <w:pPr>
        <w:snapToGrid w:val="0"/>
        <w:ind w:firstLineChars="177" w:firstLine="372"/>
        <w:rPr>
          <w:rFonts w:ascii="Segoe UI" w:hAnsi="Segoe UI" w:cs="Segoe UI"/>
          <w:color w:val="1F2329"/>
          <w:shd w:val="clear" w:color="auto" w:fill="EFF0F1"/>
        </w:rPr>
      </w:pPr>
    </w:p>
    <w:p w14:paraId="76608BC3" w14:textId="63115161" w:rsidR="00F94661" w:rsidRPr="00A31C8F" w:rsidRDefault="006C6F6D" w:rsidP="006C6F6D">
      <w:pPr>
        <w:rPr>
          <w:rFonts w:hint="eastAsia"/>
        </w:rPr>
      </w:pPr>
      <w:r w:rsidRPr="006C6F6D">
        <w:rPr>
          <w:rFonts w:hint="eastAsia"/>
          <w:b/>
        </w:rPr>
        <w:t>招标文件要求</w:t>
      </w:r>
    </w:p>
    <w:p w14:paraId="15B25B2D"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3BF0992B" w14:textId="2919DB86"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投标人准备培训文档及其他需要的资料；</w:t>
      </w:r>
    </w:p>
    <w:p w14:paraId="630EDA9C" w14:textId="4BE58862" w:rsidR="007671BD" w:rsidRDefault="007671BD" w:rsidP="007A3D1F">
      <w:pPr>
        <w:snapToGrid w:val="0"/>
        <w:ind w:firstLineChars="177" w:firstLine="372"/>
        <w:rPr>
          <w:rFonts w:ascii="Segoe UI" w:hAnsi="Segoe UI" w:cs="Segoe UI"/>
          <w:color w:val="1F2329"/>
          <w:shd w:val="clear" w:color="auto" w:fill="EFF0F1"/>
        </w:rPr>
      </w:pPr>
    </w:p>
    <w:p w14:paraId="1122560F" w14:textId="22513CC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FADFF27"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65DD7F61" w14:textId="15CF2551"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将精心编制全面、详实的培训文档及相关资料。培训文档涵盖系统操作手册、技术原理指南、故障排查手册等内容，采用图文并茂、通俗易懂的编写方式，方便</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工程师学习和查阅。同时，准备丰富的案例资料、演示视频、练习题等辅助培训资料，帮助参训人员更好地理解和掌握知识要点。所有资料在培训前进行严格审核与校对，并在培训过程中根据实际需求进行补充和完善，确保资料的准确性和实用性。</w:t>
      </w:r>
    </w:p>
    <w:p w14:paraId="4A405DD4" w14:textId="2EBD79D8" w:rsidR="007A3D1F" w:rsidRDefault="007A3D1F" w:rsidP="007A3D1F">
      <w:pPr>
        <w:snapToGrid w:val="0"/>
        <w:ind w:firstLineChars="177" w:firstLine="372"/>
        <w:rPr>
          <w:rFonts w:ascii="Segoe UI" w:hAnsi="Segoe UI" w:cs="Segoe UI"/>
          <w:color w:val="1F2329"/>
          <w:shd w:val="clear" w:color="auto" w:fill="EFF0F1"/>
        </w:rPr>
      </w:pPr>
    </w:p>
    <w:p w14:paraId="35F81C26" w14:textId="0A5CBEFE" w:rsidR="00F94661" w:rsidRDefault="00F94661" w:rsidP="007A3D1F">
      <w:pPr>
        <w:snapToGrid w:val="0"/>
        <w:ind w:firstLineChars="177" w:firstLine="372"/>
        <w:rPr>
          <w:rFonts w:ascii="Segoe UI" w:hAnsi="Segoe UI" w:cs="Segoe UI"/>
          <w:color w:val="1F2329"/>
          <w:shd w:val="clear" w:color="auto" w:fill="EFF0F1"/>
        </w:rPr>
      </w:pPr>
    </w:p>
    <w:p w14:paraId="604517B5" w14:textId="08563BB2" w:rsidR="00F94661" w:rsidRPr="00A31C8F" w:rsidRDefault="006C6F6D" w:rsidP="006C6F6D">
      <w:pPr>
        <w:rPr>
          <w:rFonts w:hint="eastAsia"/>
        </w:rPr>
      </w:pPr>
      <w:r w:rsidRPr="006C6F6D">
        <w:rPr>
          <w:rFonts w:hint="eastAsia"/>
          <w:b/>
        </w:rPr>
        <w:t>招标文件要求</w:t>
      </w:r>
    </w:p>
    <w:p w14:paraId="2317B9F1"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830DE5D" w14:textId="225C7ABD"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工程师能够独立使用及日常运维相关系统；</w:t>
      </w:r>
    </w:p>
    <w:p w14:paraId="50DD6DA4" w14:textId="00368A94" w:rsidR="007A3D1F" w:rsidRDefault="007A3D1F" w:rsidP="007A3D1F">
      <w:pPr>
        <w:snapToGrid w:val="0"/>
        <w:ind w:firstLineChars="177" w:firstLine="372"/>
        <w:rPr>
          <w:rFonts w:ascii="Segoe UI" w:hAnsi="Segoe UI" w:cs="Segoe UI"/>
          <w:color w:val="1F2329"/>
          <w:shd w:val="clear" w:color="auto" w:fill="EFF0F1"/>
        </w:rPr>
      </w:pPr>
    </w:p>
    <w:p w14:paraId="2FF515F8" w14:textId="204B3922"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1951936"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D60F215" w14:textId="4F32B4F5"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为确保</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工程师能够独立使用及进行日常运维相关系统，</w:t>
      </w:r>
      <w:r w:rsidR="00152F2A">
        <w:rPr>
          <w:rFonts w:ascii="Segoe UI" w:hAnsi="Segoe UI" w:cs="Segoe UI"/>
          <w:color w:val="1F2329"/>
          <w:shd w:val="clear" w:color="auto" w:fill="EFF0F1"/>
        </w:rPr>
        <w:t>我公司</w:t>
      </w:r>
      <w:r>
        <w:rPr>
          <w:rFonts w:ascii="Segoe UI" w:hAnsi="Segoe UI" w:cs="Segoe UI"/>
          <w:color w:val="1F2329"/>
          <w:shd w:val="clear" w:color="auto" w:fill="EFF0F1"/>
        </w:rPr>
        <w:t>制定了完善的培训计划和考核机制。培训初期，通过基础理论讲解和基础操作演示，帮助工程师建立系统认知；中期开展进阶实操训练，深入学习系统高级功能和运维技巧；后期设置模拟真实场景的综合演练和考核，检验工程师对系统的掌握程度。培训结束后，提供一定周期的远程技术支持，及时解答工程师在实际工作中遇到的问题，持续助力</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工程师提升独立运维能力，保障相关系统稳定、高效运行。</w:t>
      </w:r>
    </w:p>
    <w:p w14:paraId="7BFEB268" w14:textId="77777777" w:rsidR="007A3D1F" w:rsidRPr="007A3D1F" w:rsidRDefault="007A3D1F" w:rsidP="007A3D1F">
      <w:pPr>
        <w:snapToGrid w:val="0"/>
        <w:ind w:firstLineChars="177" w:firstLine="372"/>
        <w:rPr>
          <w:rFonts w:ascii="Segoe UI" w:hAnsi="Segoe UI" w:cs="Segoe UI"/>
          <w:color w:val="1F2329"/>
          <w:shd w:val="clear" w:color="auto" w:fill="EFF0F1"/>
        </w:rPr>
      </w:pPr>
    </w:p>
    <w:p w14:paraId="733F33FE" w14:textId="22C4ED05" w:rsidR="007A3D1F" w:rsidRDefault="007A3D1F" w:rsidP="007A3D1F">
      <w:pPr>
        <w:snapToGrid w:val="0"/>
        <w:ind w:firstLineChars="177" w:firstLine="372"/>
        <w:rPr>
          <w:rFonts w:ascii="Segoe UI" w:hAnsi="Segoe UI" w:cs="Segoe UI"/>
          <w:color w:val="1F2329"/>
          <w:shd w:val="clear" w:color="auto" w:fill="EFF0F1"/>
        </w:rPr>
      </w:pPr>
    </w:p>
    <w:p w14:paraId="77C59A60" w14:textId="72C0529A" w:rsidR="007A3D1F" w:rsidRDefault="007A3D1F" w:rsidP="007A3D1F">
      <w:pPr>
        <w:snapToGrid w:val="0"/>
        <w:ind w:firstLineChars="177" w:firstLine="372"/>
        <w:rPr>
          <w:rFonts w:ascii="Segoe UI" w:hAnsi="Segoe UI" w:cs="Segoe UI"/>
          <w:color w:val="1F2329"/>
          <w:shd w:val="clear" w:color="auto" w:fill="EFF0F1"/>
        </w:rPr>
      </w:pPr>
    </w:p>
    <w:p w14:paraId="572DD65B" w14:textId="77777777" w:rsidR="007A3D1F" w:rsidRPr="007A3D1F" w:rsidRDefault="007A3D1F" w:rsidP="007A3D1F">
      <w:pPr>
        <w:snapToGrid w:val="0"/>
        <w:ind w:firstLineChars="177" w:firstLine="372"/>
        <w:rPr>
          <w:rFonts w:ascii="Segoe UI" w:hAnsi="Segoe UI" w:cs="Segoe UI"/>
          <w:color w:val="1F2329"/>
          <w:shd w:val="clear" w:color="auto" w:fill="EFF0F1"/>
        </w:rPr>
      </w:pPr>
    </w:p>
    <w:p w14:paraId="2A0CCC6B" w14:textId="306DBEEA" w:rsidR="00BE572F" w:rsidRDefault="00BE572F" w:rsidP="007A3D1F">
      <w:pPr>
        <w:pStyle w:val="2"/>
        <w:rPr>
          <w:rFonts w:hint="eastAsia"/>
        </w:rPr>
      </w:pPr>
      <w:r>
        <w:tab/>
      </w:r>
      <w:bookmarkStart w:id="138" w:name="OLE_LINK17"/>
      <w:proofErr w:type="spellStart"/>
      <w:r>
        <w:t>Ameco</w:t>
      </w:r>
      <w:proofErr w:type="spellEnd"/>
      <w:r>
        <w:t>提供的资源</w:t>
      </w:r>
      <w:bookmarkEnd w:id="138"/>
      <w:r>
        <w:t>（总集）</w:t>
      </w:r>
      <w:r>
        <w:tab/>
      </w:r>
    </w:p>
    <w:p w14:paraId="7D41EAD9" w14:textId="64DB90D9" w:rsidR="00F94661" w:rsidRDefault="00F94661" w:rsidP="00F94661">
      <w:pPr>
        <w:rPr>
          <w:rFonts w:hint="eastAsia"/>
        </w:rPr>
      </w:pPr>
    </w:p>
    <w:p w14:paraId="73A8275B" w14:textId="0B2E2664" w:rsidR="00F94661" w:rsidRPr="00A31C8F" w:rsidRDefault="006C6F6D" w:rsidP="006C6F6D">
      <w:pPr>
        <w:rPr>
          <w:rFonts w:hint="eastAsia"/>
        </w:rPr>
      </w:pPr>
      <w:r w:rsidRPr="006C6F6D">
        <w:rPr>
          <w:rFonts w:hint="eastAsia"/>
          <w:b/>
        </w:rPr>
        <w:t>招标文件要求</w:t>
      </w:r>
    </w:p>
    <w:p w14:paraId="5650C526" w14:textId="77777777" w:rsidR="00F94661" w:rsidRPr="00F94661" w:rsidRDefault="00F94661" w:rsidP="00F94661">
      <w:pPr>
        <w:rPr>
          <w:rFonts w:hint="eastAsia"/>
        </w:rPr>
      </w:pPr>
    </w:p>
    <w:p w14:paraId="38C1BF5D" w14:textId="3598A9F9" w:rsidR="007A3D1F" w:rsidRDefault="007A3D1F">
      <w:pPr>
        <w:pStyle w:val="a3"/>
        <w:widowControl/>
        <w:numPr>
          <w:ilvl w:val="0"/>
          <w:numId w:val="114"/>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必要的测试环境；</w:t>
      </w:r>
    </w:p>
    <w:p w14:paraId="3CBD8E06" w14:textId="2F90268C" w:rsidR="007A3D1F" w:rsidRDefault="007A3D1F" w:rsidP="007A3D1F">
      <w:pPr>
        <w:snapToGrid w:val="0"/>
        <w:ind w:firstLineChars="177" w:firstLine="372"/>
        <w:rPr>
          <w:rFonts w:ascii="Segoe UI" w:hAnsi="Segoe UI" w:cs="Segoe UI"/>
          <w:color w:val="1F2329"/>
          <w:shd w:val="clear" w:color="auto" w:fill="EFF0F1"/>
        </w:rPr>
      </w:pPr>
    </w:p>
    <w:p w14:paraId="482396C9" w14:textId="185C7344" w:rsidR="007671BD" w:rsidRDefault="007671BD" w:rsidP="007A3D1F">
      <w:pPr>
        <w:snapToGrid w:val="0"/>
        <w:ind w:firstLineChars="177" w:firstLine="372"/>
        <w:rPr>
          <w:rFonts w:ascii="Segoe UI" w:hAnsi="Segoe UI" w:cs="Segoe UI"/>
          <w:color w:val="1F2329"/>
          <w:shd w:val="clear" w:color="auto" w:fill="EFF0F1"/>
        </w:rPr>
      </w:pPr>
    </w:p>
    <w:p w14:paraId="071E70DC" w14:textId="0398EC4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DBEADCE"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2AAAE6F3" w14:textId="5DB737A2"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将充分发挥华为云的技术与资源优势，全力配合</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搭建必要的测试环境。</w:t>
      </w:r>
      <w:r>
        <w:rPr>
          <w:rFonts w:ascii="Segoe UI" w:hAnsi="Segoe UI" w:cs="Segoe UI"/>
          <w:color w:val="1F2329"/>
          <w:shd w:val="clear" w:color="auto" w:fill="EFF0F1"/>
        </w:rPr>
        <w:t>我公司</w:t>
      </w:r>
      <w:r w:rsidR="007A3D1F">
        <w:rPr>
          <w:rFonts w:ascii="Segoe UI" w:hAnsi="Segoe UI" w:cs="Segoe UI"/>
          <w:color w:val="1F2329"/>
          <w:shd w:val="clear" w:color="auto" w:fill="EFF0F1"/>
        </w:rPr>
        <w:t>将根据项目需求，利用华为云弹性计算、存储和网络资源，快速构建模拟真实业务场景的测试环境，涵盖服务器、数据库、中间件等关键组件。在环境搭建过程中，</w:t>
      </w:r>
      <w:r>
        <w:rPr>
          <w:rFonts w:ascii="Segoe UI" w:hAnsi="Segoe UI" w:cs="Segoe UI"/>
          <w:color w:val="1F2329"/>
          <w:shd w:val="clear" w:color="auto" w:fill="EFF0F1"/>
        </w:rPr>
        <w:t>我公司</w:t>
      </w:r>
      <w:r w:rsidR="007A3D1F">
        <w:rPr>
          <w:rFonts w:ascii="Segoe UI" w:hAnsi="Segoe UI" w:cs="Segoe UI"/>
          <w:color w:val="1F2329"/>
          <w:shd w:val="clear" w:color="auto" w:fill="EFF0F1"/>
        </w:rPr>
        <w:t>将严格遵循相关技术标准和规范，对网络配置、安全策略进行精细调整，确保测试环境的稳定性、可靠性和安全性。同时，安排专业技术人员提供全程技术支持，协助进行环境调试、优化以及问题排查，确保测试环境能够满足项目测试需求，助力</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高效完成测试工作。</w:t>
      </w:r>
    </w:p>
    <w:p w14:paraId="0F70B894" w14:textId="7265B5F1" w:rsidR="007A3D1F" w:rsidRPr="007A3D1F" w:rsidRDefault="007A3D1F" w:rsidP="007A3D1F">
      <w:pPr>
        <w:snapToGrid w:val="0"/>
        <w:ind w:firstLineChars="177" w:firstLine="372"/>
        <w:rPr>
          <w:rFonts w:ascii="Segoe UI" w:hAnsi="Segoe UI" w:cs="Segoe UI"/>
          <w:color w:val="1F2329"/>
          <w:shd w:val="clear" w:color="auto" w:fill="EFF0F1"/>
        </w:rPr>
      </w:pPr>
    </w:p>
    <w:p w14:paraId="4301D6E3" w14:textId="7CFD530D" w:rsidR="007A3D1F" w:rsidRDefault="007A3D1F" w:rsidP="007A3D1F">
      <w:pPr>
        <w:snapToGrid w:val="0"/>
        <w:ind w:firstLineChars="177" w:firstLine="372"/>
        <w:rPr>
          <w:rFonts w:ascii="Segoe UI" w:hAnsi="Segoe UI" w:cs="Segoe UI"/>
          <w:color w:val="1F2329"/>
          <w:shd w:val="clear" w:color="auto" w:fill="EFF0F1"/>
        </w:rPr>
      </w:pPr>
    </w:p>
    <w:p w14:paraId="3ED6DDEA" w14:textId="449D8C93" w:rsidR="00F94661" w:rsidRPr="00A31C8F" w:rsidRDefault="006C6F6D" w:rsidP="006C6F6D">
      <w:pPr>
        <w:rPr>
          <w:rFonts w:hint="eastAsia"/>
        </w:rPr>
      </w:pPr>
      <w:r w:rsidRPr="006C6F6D">
        <w:rPr>
          <w:rFonts w:hint="eastAsia"/>
          <w:b/>
        </w:rPr>
        <w:t>招标文件要求</w:t>
      </w:r>
    </w:p>
    <w:p w14:paraId="1D68216C"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7BD7273A" w14:textId="77777777" w:rsidR="007A3D1F" w:rsidRPr="00880FE9" w:rsidRDefault="007A3D1F">
      <w:pPr>
        <w:pStyle w:val="a3"/>
        <w:widowControl/>
        <w:numPr>
          <w:ilvl w:val="0"/>
          <w:numId w:val="114"/>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满足需求的</w:t>
      </w:r>
      <w:r w:rsidRPr="00880FE9">
        <w:rPr>
          <w:rFonts w:ascii="Arial" w:eastAsia="等线" w:hAnsi="Arial" w:cs="Arial"/>
          <w:color w:val="000000"/>
          <w:sz w:val="24"/>
        </w:rPr>
        <w:t>IP</w:t>
      </w:r>
      <w:r w:rsidRPr="00880FE9">
        <w:rPr>
          <w:rFonts w:ascii="Arial" w:eastAsia="等线" w:hAnsi="Arial" w:cs="Arial"/>
          <w:color w:val="000000"/>
          <w:sz w:val="24"/>
        </w:rPr>
        <w:t>地址等；</w:t>
      </w:r>
    </w:p>
    <w:p w14:paraId="4C51F3EE" w14:textId="7F07C8DC" w:rsidR="007671BD" w:rsidRDefault="007671BD" w:rsidP="007A3D1F">
      <w:pPr>
        <w:snapToGrid w:val="0"/>
        <w:ind w:firstLineChars="177" w:firstLine="372"/>
        <w:rPr>
          <w:rFonts w:ascii="Segoe UI" w:hAnsi="Segoe UI" w:cs="Segoe UI"/>
          <w:color w:val="1F2329"/>
          <w:shd w:val="clear" w:color="auto" w:fill="EFF0F1"/>
        </w:rPr>
      </w:pPr>
    </w:p>
    <w:p w14:paraId="038F03D3" w14:textId="2F9F2DB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8B1AEE2"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4257B63A" w14:textId="4F82D778"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对于</w:t>
      </w:r>
      <w:r>
        <w:rPr>
          <w:rFonts w:ascii="Segoe UI" w:hAnsi="Segoe UI" w:cs="Segoe UI"/>
          <w:color w:val="1F2329"/>
          <w:shd w:val="clear" w:color="auto" w:fill="EFF0F1"/>
        </w:rPr>
        <w:t>IP</w:t>
      </w:r>
      <w:r>
        <w:rPr>
          <w:rFonts w:ascii="Segoe UI" w:hAnsi="Segoe UI" w:cs="Segoe UI"/>
          <w:color w:val="1F2329"/>
          <w:shd w:val="clear" w:color="auto" w:fill="EFF0F1"/>
        </w:rPr>
        <w:t>地址需求，</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将依据项目的网络架构设计和业务流量规划，结合华为云成熟的网络管理方案，为</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提供科学合理的</w:t>
      </w:r>
      <w:r>
        <w:rPr>
          <w:rFonts w:ascii="Segoe UI" w:hAnsi="Segoe UI" w:cs="Segoe UI"/>
          <w:color w:val="1F2329"/>
          <w:shd w:val="clear" w:color="auto" w:fill="EFF0F1"/>
        </w:rPr>
        <w:t>IP</w:t>
      </w:r>
      <w:r>
        <w:rPr>
          <w:rFonts w:ascii="Segoe UI" w:hAnsi="Segoe UI" w:cs="Segoe UI"/>
          <w:color w:val="1F2329"/>
          <w:shd w:val="clear" w:color="auto" w:fill="EFF0F1"/>
        </w:rPr>
        <w:t>地址规划与配置建议。</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将充分考虑网络安全、地址复用、子网划分等因素，制定详细的</w:t>
      </w:r>
      <w:r>
        <w:rPr>
          <w:rFonts w:ascii="Segoe UI" w:hAnsi="Segoe UI" w:cs="Segoe UI"/>
          <w:color w:val="1F2329"/>
          <w:shd w:val="clear" w:color="auto" w:fill="EFF0F1"/>
        </w:rPr>
        <w:t>IP</w:t>
      </w:r>
      <w:r>
        <w:rPr>
          <w:rFonts w:ascii="Segoe UI" w:hAnsi="Segoe UI" w:cs="Segoe UI"/>
          <w:color w:val="1F2329"/>
          <w:shd w:val="clear" w:color="auto" w:fill="EFF0F1"/>
        </w:rPr>
        <w:t>地址分配方案，确保</w:t>
      </w:r>
      <w:r>
        <w:rPr>
          <w:rFonts w:ascii="Segoe UI" w:hAnsi="Segoe UI" w:cs="Segoe UI"/>
          <w:color w:val="1F2329"/>
          <w:shd w:val="clear" w:color="auto" w:fill="EFF0F1"/>
        </w:rPr>
        <w:t>IP</w:t>
      </w:r>
      <w:r>
        <w:rPr>
          <w:rFonts w:ascii="Segoe UI" w:hAnsi="Segoe UI" w:cs="Segoe UI"/>
          <w:color w:val="1F2329"/>
          <w:shd w:val="clear" w:color="auto" w:fill="EFF0F1"/>
        </w:rPr>
        <w:t>地址的分配既能满足当前业务需求，又具备良好的扩展性以适应未来业务发展。在实施过程中，</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将利用华为云先进的网络配置工具和技术，快速、准确地完成</w:t>
      </w:r>
      <w:r>
        <w:rPr>
          <w:rFonts w:ascii="Segoe UI" w:hAnsi="Segoe UI" w:cs="Segoe UI"/>
          <w:color w:val="1F2329"/>
          <w:shd w:val="clear" w:color="auto" w:fill="EFF0F1"/>
        </w:rPr>
        <w:t>IP</w:t>
      </w:r>
      <w:r>
        <w:rPr>
          <w:rFonts w:ascii="Segoe UI" w:hAnsi="Segoe UI" w:cs="Segoe UI"/>
          <w:color w:val="1F2329"/>
          <w:shd w:val="clear" w:color="auto" w:fill="EFF0F1"/>
        </w:rPr>
        <w:t>地址的配置与部署工作，并进行全面的网络连通性和性能测试，保障网络通信的稳定与高效。同时，</w:t>
      </w:r>
      <w:r w:rsidR="00152F2A">
        <w:rPr>
          <w:rFonts w:ascii="Segoe UI" w:hAnsi="Segoe UI" w:cs="Segoe UI"/>
          <w:color w:val="1F2329"/>
          <w:shd w:val="clear" w:color="auto" w:fill="EFF0F1"/>
        </w:rPr>
        <w:t>我公司</w:t>
      </w:r>
      <w:r>
        <w:rPr>
          <w:rFonts w:ascii="Segoe UI" w:hAnsi="Segoe UI" w:cs="Segoe UI"/>
          <w:color w:val="1F2329"/>
          <w:shd w:val="clear" w:color="auto" w:fill="EFF0F1"/>
        </w:rPr>
        <w:t>还将提供完善的</w:t>
      </w:r>
      <w:r>
        <w:rPr>
          <w:rFonts w:ascii="Segoe UI" w:hAnsi="Segoe UI" w:cs="Segoe UI"/>
          <w:color w:val="1F2329"/>
          <w:shd w:val="clear" w:color="auto" w:fill="EFF0F1"/>
        </w:rPr>
        <w:t>IP</w:t>
      </w:r>
      <w:r>
        <w:rPr>
          <w:rFonts w:ascii="Segoe UI" w:hAnsi="Segoe UI" w:cs="Segoe UI"/>
          <w:color w:val="1F2329"/>
          <w:shd w:val="clear" w:color="auto" w:fill="EFF0F1"/>
        </w:rPr>
        <w:t>地址管理文档和技术支持，方便</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后续进行网络管理和维护。</w:t>
      </w:r>
    </w:p>
    <w:p w14:paraId="47AF1953" w14:textId="77777777" w:rsidR="007A3D1F" w:rsidRPr="007A3D1F" w:rsidRDefault="007A3D1F" w:rsidP="007A3D1F">
      <w:pPr>
        <w:snapToGrid w:val="0"/>
        <w:ind w:firstLineChars="177" w:firstLine="372"/>
        <w:rPr>
          <w:rFonts w:ascii="Segoe UI" w:hAnsi="Segoe UI" w:cs="Segoe UI"/>
          <w:color w:val="1F2329"/>
          <w:shd w:val="clear" w:color="auto" w:fill="EFF0F1"/>
        </w:rPr>
      </w:pPr>
    </w:p>
    <w:p w14:paraId="480AFF4F" w14:textId="47F95095" w:rsidR="00BE572F" w:rsidRDefault="00BE572F" w:rsidP="007A3D1F">
      <w:pPr>
        <w:pStyle w:val="2"/>
        <w:rPr>
          <w:rFonts w:hint="eastAsia"/>
        </w:rPr>
      </w:pPr>
      <w:r>
        <w:tab/>
        <w:t>★交付文档（总集）</w:t>
      </w:r>
      <w:r>
        <w:tab/>
      </w:r>
    </w:p>
    <w:p w14:paraId="74852D19" w14:textId="49A0F4E6" w:rsidR="00F94661" w:rsidRPr="00A31C8F" w:rsidRDefault="006C6F6D" w:rsidP="006C6F6D">
      <w:pPr>
        <w:rPr>
          <w:rFonts w:hint="eastAsia"/>
        </w:rPr>
      </w:pPr>
      <w:r w:rsidRPr="006C6F6D">
        <w:rPr>
          <w:rFonts w:hint="eastAsia"/>
          <w:b/>
        </w:rPr>
        <w:t>招标文件要求</w:t>
      </w:r>
    </w:p>
    <w:p w14:paraId="42954BAE" w14:textId="77777777" w:rsidR="00F94661" w:rsidRPr="00F94661" w:rsidRDefault="00F94661" w:rsidP="00F94661">
      <w:pPr>
        <w:rPr>
          <w:rFonts w:hint="eastAsia"/>
        </w:rPr>
      </w:pPr>
    </w:p>
    <w:p w14:paraId="5AB4B9F5" w14:textId="323A5F26"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设计方案；</w:t>
      </w:r>
    </w:p>
    <w:p w14:paraId="04610CED" w14:textId="4073ABDC" w:rsidR="007A3D1F" w:rsidRDefault="007A3D1F" w:rsidP="007A3D1F">
      <w:pPr>
        <w:snapToGrid w:val="0"/>
        <w:ind w:firstLineChars="177" w:firstLine="372"/>
        <w:rPr>
          <w:rFonts w:ascii="Segoe UI" w:hAnsi="Segoe UI" w:cs="Segoe UI"/>
          <w:color w:val="1F2329"/>
          <w:shd w:val="clear" w:color="auto" w:fill="EFF0F1"/>
        </w:rPr>
      </w:pPr>
    </w:p>
    <w:p w14:paraId="5F18A12A" w14:textId="1A9F3035"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094FF73"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2A82C2B6" w14:textId="78F17DA8"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将组织专业的技术团队，针对项目需求深入调研与分析，编制全面且专业的设计方案。方案将涵盖混合云架构设计、组网方案设计、混合云容灾服务迁移方案等核心内容，结合华为云先进技术与行业最佳实践，详细阐述设计思路、技术架构、功能模块、性能指标等。通过清晰的图表、严谨的技术说明，确保设计方案逻辑严密、技术可行，既能满足项目当前需求，又具备良好的扩展性，为项目实施提供坚实的技术指导与决策依据。</w:t>
      </w:r>
    </w:p>
    <w:p w14:paraId="134EF42E" w14:textId="05FE70D0" w:rsidR="007A3D1F" w:rsidRDefault="007A3D1F" w:rsidP="007A3D1F">
      <w:pPr>
        <w:snapToGrid w:val="0"/>
        <w:ind w:firstLineChars="177" w:firstLine="372"/>
        <w:rPr>
          <w:rFonts w:ascii="Segoe UI" w:hAnsi="Segoe UI" w:cs="Segoe UI"/>
          <w:color w:val="1F2329"/>
          <w:shd w:val="clear" w:color="auto" w:fill="EFF0F1"/>
        </w:rPr>
      </w:pPr>
    </w:p>
    <w:p w14:paraId="0D3A80F5" w14:textId="1871DC9F" w:rsidR="00F94661" w:rsidRDefault="00F94661" w:rsidP="007A3D1F">
      <w:pPr>
        <w:snapToGrid w:val="0"/>
        <w:ind w:firstLineChars="177" w:firstLine="372"/>
        <w:rPr>
          <w:rFonts w:ascii="Segoe UI" w:hAnsi="Segoe UI" w:cs="Segoe UI"/>
          <w:color w:val="1F2329"/>
          <w:shd w:val="clear" w:color="auto" w:fill="EFF0F1"/>
        </w:rPr>
      </w:pPr>
    </w:p>
    <w:p w14:paraId="4944F0AD" w14:textId="3370D75C" w:rsidR="00F94661" w:rsidRPr="00A31C8F" w:rsidRDefault="006C6F6D" w:rsidP="006C6F6D">
      <w:pPr>
        <w:rPr>
          <w:rFonts w:hint="eastAsia"/>
        </w:rPr>
      </w:pPr>
      <w:r w:rsidRPr="006C6F6D">
        <w:rPr>
          <w:rFonts w:hint="eastAsia"/>
          <w:b/>
        </w:rPr>
        <w:t>招标文件要求</w:t>
      </w:r>
    </w:p>
    <w:p w14:paraId="63297A47"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624ED80C" w14:textId="56FA5643"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资源清单；</w:t>
      </w:r>
    </w:p>
    <w:p w14:paraId="04C2019C" w14:textId="21C4611D" w:rsidR="007671BD" w:rsidRDefault="007671BD" w:rsidP="007A3D1F">
      <w:pPr>
        <w:snapToGrid w:val="0"/>
        <w:ind w:firstLineChars="177" w:firstLine="372"/>
        <w:rPr>
          <w:rFonts w:ascii="Segoe UI" w:hAnsi="Segoe UI" w:cs="Segoe UI"/>
          <w:color w:val="1F2329"/>
          <w:shd w:val="clear" w:color="auto" w:fill="EFF0F1"/>
        </w:rPr>
      </w:pPr>
    </w:p>
    <w:p w14:paraId="5B17ED1B" w14:textId="4331803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lastRenderedPageBreak/>
        <w:t>应答：满足</w:t>
      </w:r>
    </w:p>
    <w:p w14:paraId="05CE6C28"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7BB85409" w14:textId="22F0FFDB"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将依据项目设计方案与实施需求，精准梳理并制定详细的资源清单。清单内容包括但不限于计算资源（如云主机规格、数量）、存储资源（云盘、对象存储、文件存储等参数）、网络资源（</w:t>
      </w:r>
      <w:r w:rsidR="00A31C8F">
        <w:rPr>
          <w:rFonts w:ascii="Segoe UI" w:hAnsi="Segoe UI" w:cs="Segoe UI"/>
          <w:color w:val="1F2329"/>
          <w:shd w:val="clear" w:color="auto" w:fill="EFF0F1"/>
        </w:rPr>
        <w:t>IP</w:t>
      </w:r>
      <w:r w:rsidR="00A31C8F">
        <w:rPr>
          <w:rFonts w:ascii="Segoe UI" w:hAnsi="Segoe UI" w:cs="Segoe UI"/>
          <w:color w:val="1F2329"/>
          <w:shd w:val="clear" w:color="auto" w:fill="EFF0F1"/>
        </w:rPr>
        <w:t>地址分配、专线带宽等）、软件资源（操作系统、数据库、中间件版本及授权情况）等。资源清单将明确标注资源名称、规格型号、数量、用途及所属项目阶段，确保资源信息准确无误、清晰易懂，便于</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进行资源管理、成本核算与后续项目验收。</w:t>
      </w:r>
    </w:p>
    <w:p w14:paraId="73F63765" w14:textId="1B1DD1AA" w:rsidR="007A3D1F" w:rsidRDefault="007A3D1F" w:rsidP="007A3D1F">
      <w:pPr>
        <w:snapToGrid w:val="0"/>
        <w:ind w:firstLineChars="177" w:firstLine="372"/>
        <w:rPr>
          <w:rFonts w:ascii="Segoe UI" w:hAnsi="Segoe UI" w:cs="Segoe UI"/>
          <w:color w:val="1F2329"/>
          <w:shd w:val="clear" w:color="auto" w:fill="EFF0F1"/>
        </w:rPr>
      </w:pPr>
    </w:p>
    <w:p w14:paraId="62012B3E" w14:textId="61E4C41C" w:rsidR="00F94661" w:rsidRDefault="00F94661" w:rsidP="007A3D1F">
      <w:pPr>
        <w:snapToGrid w:val="0"/>
        <w:ind w:firstLineChars="177" w:firstLine="372"/>
        <w:rPr>
          <w:rFonts w:ascii="Segoe UI" w:hAnsi="Segoe UI" w:cs="Segoe UI"/>
          <w:color w:val="1F2329"/>
          <w:shd w:val="clear" w:color="auto" w:fill="EFF0F1"/>
        </w:rPr>
      </w:pPr>
    </w:p>
    <w:p w14:paraId="78D0BCCC" w14:textId="03AB9D9E" w:rsidR="00F94661" w:rsidRPr="00A31C8F" w:rsidRDefault="006C6F6D" w:rsidP="006C6F6D">
      <w:pPr>
        <w:rPr>
          <w:rFonts w:hint="eastAsia"/>
        </w:rPr>
      </w:pPr>
      <w:r w:rsidRPr="006C6F6D">
        <w:rPr>
          <w:rFonts w:hint="eastAsia"/>
          <w:b/>
        </w:rPr>
        <w:t>招标文件要求</w:t>
      </w:r>
    </w:p>
    <w:p w14:paraId="2044572A"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05C341B8" w14:textId="47B82683"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配置文档；</w:t>
      </w:r>
    </w:p>
    <w:p w14:paraId="7EAA3D23" w14:textId="35B7C975" w:rsidR="007A3D1F" w:rsidRDefault="007A3D1F" w:rsidP="007A3D1F">
      <w:pPr>
        <w:snapToGrid w:val="0"/>
        <w:ind w:firstLineChars="177" w:firstLine="372"/>
        <w:rPr>
          <w:rFonts w:ascii="Segoe UI" w:hAnsi="Segoe UI" w:cs="Segoe UI"/>
          <w:color w:val="1F2329"/>
          <w:shd w:val="clear" w:color="auto" w:fill="EFF0F1"/>
        </w:rPr>
      </w:pPr>
    </w:p>
    <w:p w14:paraId="4E62A18E" w14:textId="632F675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0F2D1AD"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A52E3DB" w14:textId="5EAB9043"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配置文档将围绕项目各系统、设备及软件的配置信息展开编制，由专业技术人员依据实际部署情况进行整理。内容包含网络设备配置（路由器、交换机参数设置）、云平台资源配置（云主机、存储、网络服务参数）、操作系统与应用程序配置（系统参数、服务启停设置、数据库连接配置等）。通过分步操作说明、配置截图及参数解释，确保配置文档内容详实、操作指导性强，方便</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运维人员进行系统配置管理、故障排查与日常维护。</w:t>
      </w:r>
    </w:p>
    <w:p w14:paraId="7867DB43" w14:textId="71AB3B2A" w:rsidR="007A3D1F" w:rsidRDefault="007A3D1F" w:rsidP="007A3D1F">
      <w:pPr>
        <w:snapToGrid w:val="0"/>
        <w:ind w:firstLineChars="177" w:firstLine="372"/>
        <w:rPr>
          <w:rFonts w:ascii="Segoe UI" w:hAnsi="Segoe UI" w:cs="Segoe UI"/>
          <w:color w:val="1F2329"/>
          <w:shd w:val="clear" w:color="auto" w:fill="EFF0F1"/>
        </w:rPr>
      </w:pPr>
    </w:p>
    <w:p w14:paraId="5109B896" w14:textId="7CFB35EB" w:rsidR="00F94661" w:rsidRDefault="00F94661" w:rsidP="007A3D1F">
      <w:pPr>
        <w:snapToGrid w:val="0"/>
        <w:ind w:firstLineChars="177" w:firstLine="372"/>
        <w:rPr>
          <w:rFonts w:ascii="Segoe UI" w:hAnsi="Segoe UI" w:cs="Segoe UI"/>
          <w:color w:val="1F2329"/>
          <w:shd w:val="clear" w:color="auto" w:fill="EFF0F1"/>
        </w:rPr>
      </w:pPr>
    </w:p>
    <w:p w14:paraId="46650EC4" w14:textId="173AF1CE" w:rsidR="00F94661" w:rsidRPr="00A31C8F" w:rsidRDefault="006C6F6D" w:rsidP="006C6F6D">
      <w:pPr>
        <w:rPr>
          <w:rFonts w:hint="eastAsia"/>
        </w:rPr>
      </w:pPr>
      <w:r w:rsidRPr="006C6F6D">
        <w:rPr>
          <w:rFonts w:hint="eastAsia"/>
          <w:b/>
        </w:rPr>
        <w:t>招标文件要求</w:t>
      </w:r>
    </w:p>
    <w:p w14:paraId="4C5079FF"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2EBCDEE6" w14:textId="4353998B"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实施文档；</w:t>
      </w:r>
    </w:p>
    <w:p w14:paraId="09C5800A" w14:textId="78CDB62D" w:rsidR="007671BD" w:rsidRDefault="007671BD" w:rsidP="007A3D1F">
      <w:pPr>
        <w:snapToGrid w:val="0"/>
        <w:ind w:firstLineChars="177" w:firstLine="372"/>
        <w:rPr>
          <w:rFonts w:ascii="Segoe UI" w:hAnsi="Segoe UI" w:cs="Segoe UI"/>
          <w:color w:val="1F2329"/>
          <w:shd w:val="clear" w:color="auto" w:fill="EFF0F1"/>
        </w:rPr>
      </w:pPr>
    </w:p>
    <w:p w14:paraId="63BCCF73" w14:textId="0B760124"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6D2E58C"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67F36FFB" w14:textId="30C8AD05"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实施文档将完整记录项目从启动到交付的全过程，涵盖项目实施计划、各阶段实施方案、进度跟踪记录、风险应对措施等内容。实施计划明确项目里程碑、关键节点、责任人及交付时间；实施方案详细描述专线部署、资源迁移、应用部署等具体工作的操作流程、技术要点与质量标准；进度跟踪记录实时反馈项目进展情况；风险应对措施则针对实施过程中出现的问题提供解决方案。实施文档将为项目复盘、经验总结及后续优化提供重要参考。</w:t>
      </w:r>
    </w:p>
    <w:p w14:paraId="26FBE1FC" w14:textId="28194A5B" w:rsidR="007A3D1F" w:rsidRPr="007A3D1F" w:rsidRDefault="007A3D1F" w:rsidP="007A3D1F">
      <w:pPr>
        <w:snapToGrid w:val="0"/>
        <w:ind w:firstLineChars="177" w:firstLine="372"/>
        <w:rPr>
          <w:rFonts w:ascii="Segoe UI" w:hAnsi="Segoe UI" w:cs="Segoe UI"/>
          <w:color w:val="1F2329"/>
          <w:shd w:val="clear" w:color="auto" w:fill="EFF0F1"/>
        </w:rPr>
      </w:pPr>
    </w:p>
    <w:p w14:paraId="6D4640D0" w14:textId="43CB0A08" w:rsidR="007A3D1F" w:rsidRDefault="007A3D1F" w:rsidP="007A3D1F">
      <w:pPr>
        <w:snapToGrid w:val="0"/>
        <w:ind w:firstLineChars="177" w:firstLine="372"/>
        <w:rPr>
          <w:rFonts w:ascii="Segoe UI" w:hAnsi="Segoe UI" w:cs="Segoe UI"/>
          <w:color w:val="1F2329"/>
          <w:shd w:val="clear" w:color="auto" w:fill="EFF0F1"/>
        </w:rPr>
      </w:pPr>
    </w:p>
    <w:p w14:paraId="40DEB80F" w14:textId="04BE2FDB" w:rsidR="00F94661" w:rsidRPr="00A31C8F" w:rsidRDefault="006C6F6D" w:rsidP="006C6F6D">
      <w:pPr>
        <w:rPr>
          <w:rFonts w:hint="eastAsia"/>
        </w:rPr>
      </w:pPr>
      <w:r w:rsidRPr="006C6F6D">
        <w:rPr>
          <w:rFonts w:hint="eastAsia"/>
          <w:b/>
        </w:rPr>
        <w:t>招标文件要求</w:t>
      </w:r>
    </w:p>
    <w:p w14:paraId="2E6702AF"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EBFFA18" w14:textId="3B315327"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验收文档；</w:t>
      </w:r>
    </w:p>
    <w:p w14:paraId="7A0E3346" w14:textId="0DD1FA12" w:rsidR="007671BD" w:rsidRDefault="007671BD" w:rsidP="007A3D1F">
      <w:pPr>
        <w:snapToGrid w:val="0"/>
        <w:ind w:firstLineChars="177" w:firstLine="372"/>
        <w:rPr>
          <w:rFonts w:ascii="Segoe UI" w:hAnsi="Segoe UI" w:cs="Segoe UI"/>
          <w:color w:val="1F2329"/>
          <w:shd w:val="clear" w:color="auto" w:fill="EFF0F1"/>
        </w:rPr>
      </w:pPr>
    </w:p>
    <w:p w14:paraId="1F41373B" w14:textId="7B6C93FE"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B733EE8"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7B938D7C" w14:textId="5BADB1F6"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将严格按照项目合同</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与技术标准，编制规范的验收文档。文档包含验收计划（验收时间、地点、人员安排）、验收标准（功能验收、性能验收、安全验收指标）、验收测试报告（测试用例、测试结果、问题整改情况）等。通过客观、准确的数据与测试结果，全面展示项目成果是否达到预期目标，为</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提供清晰、可靠的验收依据，确保验收工作顺利进行。</w:t>
      </w:r>
    </w:p>
    <w:p w14:paraId="4DF9867F" w14:textId="78A99F55" w:rsidR="007A3D1F" w:rsidRPr="007A3D1F" w:rsidRDefault="007A3D1F" w:rsidP="007A3D1F">
      <w:pPr>
        <w:snapToGrid w:val="0"/>
        <w:ind w:firstLineChars="177" w:firstLine="372"/>
        <w:rPr>
          <w:rFonts w:ascii="Segoe UI" w:hAnsi="Segoe UI" w:cs="Segoe UI"/>
          <w:color w:val="1F2329"/>
          <w:shd w:val="clear" w:color="auto" w:fill="EFF0F1"/>
        </w:rPr>
      </w:pPr>
    </w:p>
    <w:p w14:paraId="1E5280FC" w14:textId="6043EA93" w:rsidR="007A3D1F" w:rsidRDefault="007A3D1F" w:rsidP="007A3D1F">
      <w:pPr>
        <w:snapToGrid w:val="0"/>
        <w:ind w:firstLineChars="177" w:firstLine="372"/>
        <w:rPr>
          <w:rFonts w:ascii="Segoe UI" w:hAnsi="Segoe UI" w:cs="Segoe UI"/>
          <w:color w:val="1F2329"/>
          <w:shd w:val="clear" w:color="auto" w:fill="EFF0F1"/>
        </w:rPr>
      </w:pPr>
    </w:p>
    <w:p w14:paraId="784A18FF" w14:textId="3CBF2BA1" w:rsidR="00F94661" w:rsidRPr="00A31C8F" w:rsidRDefault="006C6F6D" w:rsidP="006C6F6D">
      <w:pPr>
        <w:rPr>
          <w:rFonts w:hint="eastAsia"/>
        </w:rPr>
      </w:pPr>
      <w:r w:rsidRPr="006C6F6D">
        <w:rPr>
          <w:rFonts w:hint="eastAsia"/>
          <w:b/>
        </w:rPr>
        <w:t>招标文件要求</w:t>
      </w:r>
    </w:p>
    <w:p w14:paraId="288B04F6"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45EA2AB5" w14:textId="5E2AF5D2"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管理员手册；</w:t>
      </w:r>
    </w:p>
    <w:p w14:paraId="1A7651EA" w14:textId="4831371A" w:rsidR="007671BD" w:rsidRDefault="007671BD" w:rsidP="007A3D1F">
      <w:pPr>
        <w:snapToGrid w:val="0"/>
        <w:ind w:firstLineChars="177" w:firstLine="372"/>
        <w:rPr>
          <w:rFonts w:ascii="Segoe UI" w:hAnsi="Segoe UI" w:cs="Segoe UI"/>
          <w:color w:val="1F2329"/>
          <w:shd w:val="clear" w:color="auto" w:fill="EFF0F1"/>
        </w:rPr>
      </w:pPr>
    </w:p>
    <w:p w14:paraId="7C21F908" w14:textId="4B2C1F2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31BCA05"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0016E261" w14:textId="26C7EF7C"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管理员手册旨在帮助</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管理员高效管理项目系统与资源，</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从系统架构、管理流程、操作指南、故障处理等方面进行编写。详细介绍系统管理架构与权限分配，提供资源创建、监控、维护等操作的分步指南，整理常见故障现象、原因分析及解决方案。手册采用图文结合、通俗易懂的表述方式，确保管理员能够快速掌握系统管理技能，保障系统稳定、安全运行。</w:t>
      </w:r>
    </w:p>
    <w:p w14:paraId="1616A184" w14:textId="1F3D83B3" w:rsidR="007A3D1F" w:rsidRDefault="007A3D1F" w:rsidP="007A3D1F">
      <w:pPr>
        <w:snapToGrid w:val="0"/>
        <w:ind w:firstLineChars="177" w:firstLine="372"/>
        <w:rPr>
          <w:rFonts w:ascii="Segoe UI" w:hAnsi="Segoe UI" w:cs="Segoe UI"/>
          <w:color w:val="1F2329"/>
          <w:shd w:val="clear" w:color="auto" w:fill="EFF0F1"/>
        </w:rPr>
      </w:pPr>
    </w:p>
    <w:p w14:paraId="15F221DA" w14:textId="0509680A" w:rsidR="00F94661" w:rsidRDefault="00F94661" w:rsidP="007A3D1F">
      <w:pPr>
        <w:snapToGrid w:val="0"/>
        <w:ind w:firstLineChars="177" w:firstLine="372"/>
        <w:rPr>
          <w:rFonts w:ascii="Segoe UI" w:hAnsi="Segoe UI" w:cs="Segoe UI"/>
          <w:color w:val="1F2329"/>
          <w:shd w:val="clear" w:color="auto" w:fill="EFF0F1"/>
        </w:rPr>
      </w:pPr>
    </w:p>
    <w:p w14:paraId="0791C2E2" w14:textId="5F64D2B6" w:rsidR="00F94661" w:rsidRPr="00A31C8F" w:rsidRDefault="006C6F6D" w:rsidP="006C6F6D">
      <w:pPr>
        <w:rPr>
          <w:rFonts w:hint="eastAsia"/>
        </w:rPr>
      </w:pPr>
      <w:r w:rsidRPr="006C6F6D">
        <w:rPr>
          <w:rFonts w:hint="eastAsia"/>
          <w:b/>
        </w:rPr>
        <w:t>招标文件要求</w:t>
      </w:r>
    </w:p>
    <w:p w14:paraId="54E8F1D1"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4375403D" w14:textId="7D3F00B0"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用户手册；</w:t>
      </w:r>
    </w:p>
    <w:p w14:paraId="2735203F" w14:textId="3C22E63B" w:rsidR="007671BD" w:rsidRDefault="007671BD" w:rsidP="007A3D1F">
      <w:pPr>
        <w:snapToGrid w:val="0"/>
        <w:ind w:firstLineChars="177" w:firstLine="372"/>
        <w:rPr>
          <w:rFonts w:ascii="Segoe UI" w:hAnsi="Segoe UI" w:cs="Segoe UI"/>
          <w:color w:val="1F2329"/>
          <w:shd w:val="clear" w:color="auto" w:fill="EFF0F1"/>
        </w:rPr>
      </w:pPr>
    </w:p>
    <w:p w14:paraId="3ECF5979" w14:textId="0F0DE2DE"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1E73B01"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68E4FC65" w14:textId="616AA68D"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用户手册将以用户使用体验为核心，聚焦项目系统的功能介绍与操作指导。内容包括系统登录、功能模块使用（如数据查询、业务提交等）、操作流程演示、常见问题解答等。通过简洁明了的语言、直观的界面截图与操作步骤说明，帮助用户快速熟悉系统操作，提升使用效率，降低使用过程中的困惑与障碍。</w:t>
      </w:r>
    </w:p>
    <w:p w14:paraId="0CF373C4" w14:textId="285D0C59" w:rsidR="007A3D1F" w:rsidRDefault="007A3D1F" w:rsidP="007A3D1F">
      <w:pPr>
        <w:snapToGrid w:val="0"/>
        <w:ind w:firstLineChars="177" w:firstLine="372"/>
        <w:rPr>
          <w:rFonts w:ascii="Segoe UI" w:hAnsi="Segoe UI" w:cs="Segoe UI"/>
          <w:color w:val="1F2329"/>
          <w:shd w:val="clear" w:color="auto" w:fill="EFF0F1"/>
        </w:rPr>
      </w:pPr>
    </w:p>
    <w:p w14:paraId="14AF7EE9" w14:textId="2BA47C8C" w:rsidR="00F94661" w:rsidRDefault="00F94661" w:rsidP="007A3D1F">
      <w:pPr>
        <w:snapToGrid w:val="0"/>
        <w:ind w:firstLineChars="177" w:firstLine="372"/>
        <w:rPr>
          <w:rFonts w:ascii="Segoe UI" w:hAnsi="Segoe UI" w:cs="Segoe UI"/>
          <w:color w:val="1F2329"/>
          <w:shd w:val="clear" w:color="auto" w:fill="EFF0F1"/>
        </w:rPr>
      </w:pPr>
    </w:p>
    <w:p w14:paraId="339DE492" w14:textId="72383AA9" w:rsidR="00F94661" w:rsidRPr="00A31C8F" w:rsidRDefault="006C6F6D" w:rsidP="006C6F6D">
      <w:pPr>
        <w:rPr>
          <w:rFonts w:hint="eastAsia"/>
        </w:rPr>
      </w:pPr>
      <w:r w:rsidRPr="006C6F6D">
        <w:rPr>
          <w:rFonts w:hint="eastAsia"/>
          <w:b/>
        </w:rPr>
        <w:t>招标文件要求</w:t>
      </w:r>
    </w:p>
    <w:p w14:paraId="604AE0C6"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042E3FE0" w14:textId="72ACE66A"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结项汇报；</w:t>
      </w:r>
    </w:p>
    <w:p w14:paraId="3796F3CF" w14:textId="351419FA" w:rsidR="007671BD" w:rsidRDefault="007671BD" w:rsidP="007A3D1F">
      <w:pPr>
        <w:snapToGrid w:val="0"/>
        <w:ind w:firstLineChars="177" w:firstLine="372"/>
        <w:rPr>
          <w:rFonts w:ascii="Segoe UI" w:hAnsi="Segoe UI" w:cs="Segoe UI"/>
          <w:color w:val="1F2329"/>
          <w:shd w:val="clear" w:color="auto" w:fill="EFF0F1"/>
        </w:rPr>
      </w:pPr>
    </w:p>
    <w:p w14:paraId="1BE93455" w14:textId="0023C6F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F355420"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9FF5765" w14:textId="0908B5F4"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结项汇报将对项目整体情况进行全面总结与展示，涵盖项目背景、目标、实施过程、主要成果、经验教训等内容。通过数据图表、对比分析，直观呈现项目在技术实现、成本控制、进度管理等方面的成果；深入总结项目实施过程中的成功经验与不足之处，提出改进建议，为后续项目提供参考借鉴，同时向</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全面汇报项目完成情况，展现项目价值与团队工作成效。</w:t>
      </w:r>
    </w:p>
    <w:p w14:paraId="6CA1852B" w14:textId="2DD01CE2" w:rsidR="007A3D1F" w:rsidRDefault="007A3D1F" w:rsidP="007A3D1F">
      <w:pPr>
        <w:snapToGrid w:val="0"/>
        <w:ind w:firstLineChars="177" w:firstLine="372"/>
        <w:rPr>
          <w:rFonts w:ascii="Segoe UI" w:hAnsi="Segoe UI" w:cs="Segoe UI"/>
          <w:color w:val="1F2329"/>
          <w:shd w:val="clear" w:color="auto" w:fill="EFF0F1"/>
        </w:rPr>
      </w:pPr>
    </w:p>
    <w:p w14:paraId="23F0E5F7" w14:textId="6BB302BA" w:rsidR="00F94661" w:rsidRDefault="00F94661" w:rsidP="007A3D1F">
      <w:pPr>
        <w:snapToGrid w:val="0"/>
        <w:ind w:firstLineChars="177" w:firstLine="372"/>
        <w:rPr>
          <w:rFonts w:ascii="Segoe UI" w:hAnsi="Segoe UI" w:cs="Segoe UI"/>
          <w:color w:val="1F2329"/>
          <w:shd w:val="clear" w:color="auto" w:fill="EFF0F1"/>
        </w:rPr>
      </w:pPr>
    </w:p>
    <w:p w14:paraId="40A56CC8" w14:textId="207BC332" w:rsidR="00F94661" w:rsidRPr="00A31C8F" w:rsidRDefault="006C6F6D" w:rsidP="006C6F6D">
      <w:pPr>
        <w:rPr>
          <w:rFonts w:hint="eastAsia"/>
        </w:rPr>
      </w:pPr>
      <w:r w:rsidRPr="006C6F6D">
        <w:rPr>
          <w:rFonts w:hint="eastAsia"/>
          <w:b/>
        </w:rPr>
        <w:t>招标文件要求</w:t>
      </w:r>
    </w:p>
    <w:p w14:paraId="4D7C9D25"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7D55346F" w14:textId="0B7EB93C"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其他相关文档；</w:t>
      </w:r>
    </w:p>
    <w:p w14:paraId="1794FAF5" w14:textId="3DF1CF57" w:rsidR="007A3D1F" w:rsidRDefault="007A3D1F" w:rsidP="007A3D1F">
      <w:pPr>
        <w:snapToGrid w:val="0"/>
        <w:ind w:firstLineChars="177" w:firstLine="372"/>
        <w:rPr>
          <w:rFonts w:ascii="Segoe UI" w:hAnsi="Segoe UI" w:cs="Segoe UI"/>
          <w:color w:val="1F2329"/>
          <w:shd w:val="clear" w:color="auto" w:fill="EFF0F1"/>
        </w:rPr>
      </w:pPr>
    </w:p>
    <w:p w14:paraId="0559F578" w14:textId="2315E8E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2189D5F"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021D19EE" w14:textId="7AE6467A"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除上述文档外，</w:t>
      </w:r>
      <w:r w:rsidR="00152F2A">
        <w:rPr>
          <w:rFonts w:ascii="Segoe UI" w:hAnsi="Segoe UI" w:cs="Segoe UI"/>
          <w:color w:val="1F2329"/>
          <w:shd w:val="clear" w:color="auto" w:fill="EFF0F1"/>
        </w:rPr>
        <w:t>我公司</w:t>
      </w:r>
      <w:r>
        <w:rPr>
          <w:rFonts w:ascii="Segoe UI" w:hAnsi="Segoe UI" w:cs="Segoe UI"/>
          <w:color w:val="1F2329"/>
          <w:shd w:val="clear" w:color="auto" w:fill="EFF0F1"/>
        </w:rPr>
        <w:t>还将根据项目实际需求与</w:t>
      </w:r>
      <w:proofErr w:type="spellStart"/>
      <w:r>
        <w:rPr>
          <w:rFonts w:ascii="Segoe UI" w:hAnsi="Segoe UI" w:cs="Segoe UI"/>
          <w:color w:val="1F2329"/>
          <w:shd w:val="clear" w:color="auto" w:fill="EFF0F1"/>
        </w:rPr>
        <w:t>Ameco</w:t>
      </w:r>
      <w:proofErr w:type="spellEnd"/>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，编制其他相关文档，如培训资料、会议纪要、技术交底文档等。培训资料助力</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人员掌握系统操作</w:t>
      </w:r>
      <w:r>
        <w:rPr>
          <w:rFonts w:ascii="Segoe UI" w:hAnsi="Segoe UI" w:cs="Segoe UI"/>
          <w:color w:val="1F2329"/>
          <w:shd w:val="clear" w:color="auto" w:fill="EFF0F1"/>
        </w:rPr>
        <w:lastRenderedPageBreak/>
        <w:t>与运维技能；会议纪要记录项目重要决策与沟通内容；技术交底文档确保项目各参与方对技术细节达成共识。所有文档均遵循统一的编制规范与管理流程，确保文档完整性、准确性与规范性，为项目全生命周期管理提供有力支持。</w:t>
      </w:r>
    </w:p>
    <w:p w14:paraId="7306C811" w14:textId="66363C3E" w:rsidR="007A3D1F" w:rsidRPr="007A3D1F" w:rsidRDefault="007A3D1F" w:rsidP="007A3D1F">
      <w:pPr>
        <w:snapToGrid w:val="0"/>
        <w:ind w:firstLineChars="177" w:firstLine="372"/>
        <w:rPr>
          <w:rFonts w:ascii="Segoe UI" w:hAnsi="Segoe UI" w:cs="Segoe UI"/>
          <w:color w:val="1F2329"/>
          <w:shd w:val="clear" w:color="auto" w:fill="EFF0F1"/>
        </w:rPr>
      </w:pPr>
    </w:p>
    <w:p w14:paraId="49B21155" w14:textId="77777777" w:rsidR="007A3D1F" w:rsidRPr="007A3D1F" w:rsidRDefault="007A3D1F" w:rsidP="007A3D1F">
      <w:pPr>
        <w:snapToGrid w:val="0"/>
        <w:ind w:firstLineChars="177" w:firstLine="372"/>
        <w:rPr>
          <w:rFonts w:ascii="Segoe UI" w:hAnsi="Segoe UI" w:cs="Segoe UI"/>
          <w:color w:val="1F2329"/>
          <w:shd w:val="clear" w:color="auto" w:fill="EFF0F1"/>
        </w:rPr>
      </w:pPr>
    </w:p>
    <w:p w14:paraId="662CAB4E" w14:textId="6269DC0D" w:rsidR="007A3D1F" w:rsidRPr="007A3D1F" w:rsidRDefault="007A3D1F" w:rsidP="007A3D1F">
      <w:pPr>
        <w:snapToGrid w:val="0"/>
        <w:ind w:firstLineChars="177" w:firstLine="372"/>
        <w:rPr>
          <w:rFonts w:ascii="Segoe UI" w:hAnsi="Segoe UI" w:cs="Segoe UI"/>
          <w:color w:val="1F2329"/>
          <w:shd w:val="clear" w:color="auto" w:fill="EFF0F1"/>
        </w:rPr>
      </w:pPr>
    </w:p>
    <w:p w14:paraId="122BB7E4" w14:textId="77777777" w:rsidR="007A3D1F" w:rsidRPr="007A3D1F" w:rsidRDefault="007A3D1F" w:rsidP="007A3D1F">
      <w:pPr>
        <w:snapToGrid w:val="0"/>
        <w:ind w:firstLineChars="177" w:firstLine="372"/>
        <w:rPr>
          <w:rFonts w:ascii="Segoe UI" w:hAnsi="Segoe UI" w:cs="Segoe UI"/>
          <w:color w:val="1F2329"/>
          <w:shd w:val="clear" w:color="auto" w:fill="EFF0F1"/>
        </w:rPr>
      </w:pPr>
    </w:p>
    <w:p w14:paraId="52E92CBC" w14:textId="5C7C1567" w:rsidR="00F94661" w:rsidRDefault="00BE572F" w:rsidP="00F94661">
      <w:pPr>
        <w:pStyle w:val="1"/>
        <w:rPr>
          <w:rFonts w:hint="eastAsia"/>
        </w:rPr>
      </w:pPr>
      <w:r>
        <w:tab/>
        <w:t>★</w:t>
      </w:r>
      <w:bookmarkStart w:id="139" w:name="OLE_LINK19"/>
      <w:r>
        <w:t>服务验收以及维保</w:t>
      </w:r>
      <w:r w:rsidR="006C6F6D" w:rsidRPr="006C6F6D">
        <w:t>招标文件要求</w:t>
      </w:r>
      <w:bookmarkEnd w:id="139"/>
      <w:r>
        <w:t>（总集承诺）</w:t>
      </w:r>
      <w:r>
        <w:tab/>
      </w:r>
    </w:p>
    <w:p w14:paraId="4FDEB131" w14:textId="2D40865C" w:rsidR="00F94661" w:rsidRDefault="00F94661" w:rsidP="00F94661">
      <w:pPr>
        <w:rPr>
          <w:rFonts w:hint="eastAsia"/>
        </w:rPr>
      </w:pPr>
    </w:p>
    <w:p w14:paraId="09A7AA62" w14:textId="0B43361A" w:rsidR="00F94661" w:rsidRPr="00A31C8F" w:rsidRDefault="006C6F6D" w:rsidP="006C6F6D">
      <w:pPr>
        <w:rPr>
          <w:rFonts w:hint="eastAsia"/>
        </w:rPr>
      </w:pPr>
      <w:r w:rsidRPr="006C6F6D">
        <w:rPr>
          <w:rFonts w:hint="eastAsia"/>
          <w:b/>
        </w:rPr>
        <w:t>招标文件要求</w:t>
      </w:r>
    </w:p>
    <w:p w14:paraId="1F6F3DEF" w14:textId="77777777" w:rsidR="00F94661" w:rsidRPr="00F94661" w:rsidRDefault="00F94661" w:rsidP="00F94661">
      <w:pPr>
        <w:rPr>
          <w:rFonts w:hint="eastAsia"/>
        </w:rPr>
      </w:pPr>
    </w:p>
    <w:p w14:paraId="18649177" w14:textId="702D6EFB" w:rsidR="00A31C8F" w:rsidRDefault="00A31C8F" w:rsidP="00A31C8F">
      <w:pPr>
        <w:pStyle w:val="af1"/>
        <w:spacing w:after="93"/>
        <w:ind w:firstLine="480"/>
        <w:rPr>
          <w:rFonts w:ascii="Arial" w:eastAsia="等线" w:hAnsi="Arial" w:cs="Arial"/>
          <w:sz w:val="24"/>
          <w:szCs w:val="24"/>
        </w:rPr>
      </w:pPr>
      <w:r w:rsidRPr="00880FE9">
        <w:rPr>
          <w:rFonts w:ascii="Arial" w:eastAsia="等线" w:hAnsi="Arial" w:cs="Arial"/>
          <w:sz w:val="24"/>
          <w:szCs w:val="24"/>
        </w:rPr>
        <w:t>投标人必须向</w:t>
      </w:r>
      <w:proofErr w:type="spellStart"/>
      <w:r w:rsidRPr="00880FE9">
        <w:rPr>
          <w:rFonts w:ascii="Arial" w:eastAsia="等线" w:hAnsi="Arial" w:cs="Arial"/>
          <w:sz w:val="24"/>
          <w:szCs w:val="24"/>
        </w:rPr>
        <w:t>Ameco</w:t>
      </w:r>
      <w:proofErr w:type="spellEnd"/>
      <w:r w:rsidRPr="00880FE9">
        <w:rPr>
          <w:rFonts w:ascii="Arial" w:eastAsia="等线" w:hAnsi="Arial" w:cs="Arial"/>
          <w:sz w:val="24"/>
          <w:szCs w:val="24"/>
        </w:rPr>
        <w:t>提供技术需求书中列举的除增值服务外，所有软硬件及服务的全部内容，在达到本章所规定的验收</w:t>
      </w:r>
      <w:r w:rsidR="006C6F6D" w:rsidRPr="006C6F6D">
        <w:rPr>
          <w:rFonts w:ascii="Arial" w:eastAsia="等线" w:hAnsi="Arial" w:cs="Arial"/>
          <w:b/>
          <w:sz w:val="24"/>
          <w:szCs w:val="24"/>
        </w:rPr>
        <w:t>招标文件要求</w:t>
      </w:r>
      <w:r w:rsidRPr="00880FE9">
        <w:rPr>
          <w:rFonts w:ascii="Arial" w:eastAsia="等线" w:hAnsi="Arial" w:cs="Arial"/>
          <w:sz w:val="24"/>
          <w:szCs w:val="24"/>
        </w:rPr>
        <w:t>后方可验收。若本技术需求书中的设备配置或</w:t>
      </w:r>
      <w:r w:rsidR="006C6F6D" w:rsidRPr="006C6F6D">
        <w:rPr>
          <w:rFonts w:ascii="Arial" w:eastAsia="等线" w:hAnsi="Arial" w:cs="Arial"/>
          <w:b/>
          <w:sz w:val="24"/>
          <w:szCs w:val="24"/>
        </w:rPr>
        <w:t>招标文件要求</w:t>
      </w:r>
      <w:r w:rsidRPr="00880FE9">
        <w:rPr>
          <w:rFonts w:ascii="Arial" w:eastAsia="等线" w:hAnsi="Arial" w:cs="Arial"/>
          <w:sz w:val="24"/>
          <w:szCs w:val="24"/>
        </w:rPr>
        <w:t>中出现不合理、不完整或不满足等问题时，投标人有责任和义务提出补充修改方案并在征得</w:t>
      </w:r>
      <w:proofErr w:type="spellStart"/>
      <w:r w:rsidRPr="00880FE9">
        <w:rPr>
          <w:rFonts w:ascii="Arial" w:eastAsia="等线" w:hAnsi="Arial" w:cs="Arial"/>
          <w:sz w:val="24"/>
          <w:szCs w:val="24"/>
        </w:rPr>
        <w:t>Ameco</w:t>
      </w:r>
      <w:proofErr w:type="spellEnd"/>
      <w:r w:rsidRPr="00880FE9">
        <w:rPr>
          <w:rFonts w:ascii="Arial" w:eastAsia="等线" w:hAnsi="Arial" w:cs="Arial"/>
          <w:sz w:val="24"/>
          <w:szCs w:val="24"/>
        </w:rPr>
        <w:t>同意后付于实施。</w:t>
      </w:r>
    </w:p>
    <w:p w14:paraId="5763A73D" w14:textId="661B29CC" w:rsidR="00A31C8F" w:rsidRDefault="00A31C8F" w:rsidP="00A31C8F">
      <w:pPr>
        <w:snapToGrid w:val="0"/>
        <w:ind w:firstLineChars="177" w:firstLine="372"/>
        <w:rPr>
          <w:rFonts w:ascii="Segoe UI" w:hAnsi="Segoe UI" w:cs="Segoe UI"/>
          <w:color w:val="1F2329"/>
          <w:shd w:val="clear" w:color="auto" w:fill="EFF0F1"/>
        </w:rPr>
      </w:pPr>
    </w:p>
    <w:p w14:paraId="3D657572" w14:textId="6EE27A6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B1F5DFD"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0254E7FD" w14:textId="3051C62C" w:rsidR="00A31C8F" w:rsidRP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郑重承诺将严格按照</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技术需求书的规定，完整提供除增值服务外的所有软硬件及服务内容。在筹备阶段，</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将依据需求书精准规划资源，确保软硬件设备型号、性能符合标准，服务团队配置专业且充足。交付过程中，严格把控各环节质量，以满足验收</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为目标推进工作，在完成部署、测试、试运行等流程，且各项指标均达到规定标准后，方才申请验收。若在执行过程中发现技术需求书中的设备配置或</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存在不合理、不完整或不满足实际需求的情况，</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将凭借华为云深厚的技术积累和丰富的项目经验，第一时间组织专家团队进行分析研讨，迅速提出科学合理的补充修改方案，并主动与</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充分沟通，在征得同意后高效推进方案实施，确保项目最终成果完全契合</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的业务需求与预期目标。</w:t>
      </w:r>
    </w:p>
    <w:p w14:paraId="5D34A1CD" w14:textId="77927F4C" w:rsidR="00A31C8F" w:rsidRDefault="00A31C8F" w:rsidP="00A31C8F">
      <w:pPr>
        <w:snapToGrid w:val="0"/>
        <w:ind w:firstLineChars="177" w:firstLine="372"/>
        <w:rPr>
          <w:rFonts w:ascii="Segoe UI" w:hAnsi="Segoe UI" w:cs="Segoe UI"/>
          <w:color w:val="1F2329"/>
          <w:shd w:val="clear" w:color="auto" w:fill="EFF0F1"/>
        </w:rPr>
      </w:pPr>
    </w:p>
    <w:p w14:paraId="4A2A6CE3" w14:textId="58A0180E" w:rsidR="00F94661" w:rsidRDefault="00F94661" w:rsidP="00A31C8F">
      <w:pPr>
        <w:snapToGrid w:val="0"/>
        <w:ind w:firstLineChars="177" w:firstLine="372"/>
        <w:rPr>
          <w:rFonts w:ascii="Segoe UI" w:hAnsi="Segoe UI" w:cs="Segoe UI"/>
          <w:color w:val="1F2329"/>
          <w:shd w:val="clear" w:color="auto" w:fill="EFF0F1"/>
        </w:rPr>
      </w:pPr>
    </w:p>
    <w:p w14:paraId="58E66165" w14:textId="0F30A1E2" w:rsidR="00F94661" w:rsidRPr="00A31C8F" w:rsidRDefault="006C6F6D" w:rsidP="006C6F6D">
      <w:pPr>
        <w:rPr>
          <w:rFonts w:hint="eastAsia"/>
        </w:rPr>
      </w:pPr>
      <w:r w:rsidRPr="006C6F6D">
        <w:rPr>
          <w:rFonts w:hint="eastAsia"/>
          <w:b/>
        </w:rPr>
        <w:t>招标文件要求</w:t>
      </w:r>
    </w:p>
    <w:p w14:paraId="10C7B7E4" w14:textId="77777777" w:rsidR="00F94661" w:rsidRPr="00A31C8F" w:rsidRDefault="00F94661" w:rsidP="00A31C8F">
      <w:pPr>
        <w:snapToGrid w:val="0"/>
        <w:ind w:firstLineChars="177" w:firstLine="372"/>
        <w:rPr>
          <w:rFonts w:ascii="Segoe UI" w:hAnsi="Segoe UI" w:cs="Segoe UI"/>
          <w:color w:val="1F2329"/>
          <w:shd w:val="clear" w:color="auto" w:fill="EFF0F1"/>
        </w:rPr>
      </w:pPr>
    </w:p>
    <w:p w14:paraId="652D4E35" w14:textId="46A1F3FD" w:rsidR="00A31C8F"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产品验收地点由</w:t>
      </w:r>
      <w:proofErr w:type="spellStart"/>
      <w:r w:rsidRPr="00880FE9">
        <w:rPr>
          <w:rFonts w:ascii="Arial" w:eastAsia="等线" w:hAnsi="Arial" w:cs="Arial"/>
          <w:sz w:val="24"/>
          <w:szCs w:val="24"/>
        </w:rPr>
        <w:t>Ameco</w:t>
      </w:r>
      <w:proofErr w:type="spellEnd"/>
      <w:r w:rsidRPr="00880FE9">
        <w:rPr>
          <w:rFonts w:ascii="Arial" w:eastAsia="等线" w:hAnsi="Arial" w:cs="Arial"/>
          <w:sz w:val="24"/>
          <w:szCs w:val="24"/>
        </w:rPr>
        <w:t>指定</w:t>
      </w:r>
      <w:bookmarkStart w:id="140" w:name="_Toc290466127"/>
      <w:bookmarkStart w:id="141" w:name="_Toc173939302"/>
      <w:r w:rsidRPr="00880FE9">
        <w:rPr>
          <w:rFonts w:ascii="Arial" w:eastAsia="等线" w:hAnsi="Arial" w:cs="Arial"/>
          <w:sz w:val="24"/>
          <w:szCs w:val="24"/>
        </w:rPr>
        <w:t>；</w:t>
      </w:r>
    </w:p>
    <w:p w14:paraId="4E1A1384" w14:textId="7F64AD57" w:rsidR="00A31C8F" w:rsidRDefault="00A31C8F" w:rsidP="00A31C8F">
      <w:pPr>
        <w:snapToGrid w:val="0"/>
        <w:ind w:firstLineChars="177" w:firstLine="372"/>
        <w:rPr>
          <w:rFonts w:ascii="Segoe UI" w:hAnsi="Segoe UI" w:cs="Segoe UI"/>
          <w:color w:val="1F2329"/>
          <w:shd w:val="clear" w:color="auto" w:fill="EFF0F1"/>
        </w:rPr>
      </w:pPr>
    </w:p>
    <w:p w14:paraId="3FEC77CD" w14:textId="7B3D8FC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45AF16B"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70997CCE" w14:textId="5B9EC7C2" w:rsidR="00A31C8F" w:rsidRP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lastRenderedPageBreak/>
        <w:t>我公司</w:t>
      </w:r>
      <w:r w:rsidR="00A31C8F">
        <w:rPr>
          <w:rFonts w:ascii="Segoe UI" w:hAnsi="Segoe UI" w:cs="Segoe UI"/>
          <w:color w:val="1F2329"/>
          <w:shd w:val="clear" w:color="auto" w:fill="EFF0F1"/>
        </w:rPr>
        <w:t>完全尊重</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对于产品验收地点的指定</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。在项目验收阶段，</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将积极配合</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的工作安排，提前与</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沟通确认验收地点的具体情况，包括场地环境、设备接入条件等。根据验收地点的实际需求，合理调配资源，确保验收所需的软硬件设备、技术人员等及时到位。同时，安排专业的项目人员全程参与验收过程，对</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提出的问题和需求迅速响应，全力保障验收工作在指定地点顺利、高效地开展，直至达到验收标准。</w:t>
      </w:r>
    </w:p>
    <w:p w14:paraId="4D78DBD4" w14:textId="7E89B7FA" w:rsidR="00A31C8F" w:rsidRDefault="00A31C8F" w:rsidP="00A31C8F">
      <w:pPr>
        <w:snapToGrid w:val="0"/>
        <w:ind w:firstLineChars="177" w:firstLine="372"/>
        <w:rPr>
          <w:rFonts w:ascii="Segoe UI" w:hAnsi="Segoe UI" w:cs="Segoe UI"/>
          <w:color w:val="1F2329"/>
          <w:shd w:val="clear" w:color="auto" w:fill="EFF0F1"/>
        </w:rPr>
      </w:pPr>
    </w:p>
    <w:p w14:paraId="0463FA0B" w14:textId="0199FF33" w:rsidR="00F94661" w:rsidRDefault="00F94661" w:rsidP="00A31C8F">
      <w:pPr>
        <w:snapToGrid w:val="0"/>
        <w:ind w:firstLineChars="177" w:firstLine="372"/>
        <w:rPr>
          <w:rFonts w:ascii="Segoe UI" w:hAnsi="Segoe UI" w:cs="Segoe UI"/>
          <w:color w:val="1F2329"/>
          <w:shd w:val="clear" w:color="auto" w:fill="EFF0F1"/>
        </w:rPr>
      </w:pPr>
    </w:p>
    <w:p w14:paraId="5E42E520" w14:textId="269952AB" w:rsidR="00F94661" w:rsidRPr="00A31C8F" w:rsidRDefault="006C6F6D" w:rsidP="006C6F6D">
      <w:pPr>
        <w:rPr>
          <w:rFonts w:hint="eastAsia"/>
        </w:rPr>
      </w:pPr>
      <w:r w:rsidRPr="006C6F6D">
        <w:rPr>
          <w:rFonts w:hint="eastAsia"/>
          <w:b/>
        </w:rPr>
        <w:t>招标文件要求</w:t>
      </w:r>
    </w:p>
    <w:p w14:paraId="0BDFF47D" w14:textId="77777777" w:rsidR="00F94661" w:rsidRPr="00A31C8F" w:rsidRDefault="00F94661" w:rsidP="00A31C8F">
      <w:pPr>
        <w:snapToGrid w:val="0"/>
        <w:ind w:firstLineChars="177" w:firstLine="372"/>
        <w:rPr>
          <w:rFonts w:ascii="Segoe UI" w:hAnsi="Segoe UI" w:cs="Segoe UI"/>
          <w:color w:val="1F2329"/>
          <w:shd w:val="clear" w:color="auto" w:fill="EFF0F1"/>
        </w:rPr>
      </w:pPr>
    </w:p>
    <w:bookmarkEnd w:id="140"/>
    <w:bookmarkEnd w:id="141"/>
    <w:p w14:paraId="161E33A4" w14:textId="77777777" w:rsidR="00A31C8F" w:rsidRPr="00880FE9"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对于所有应答服务必须满足以下维保条件：</w:t>
      </w:r>
    </w:p>
    <w:p w14:paraId="1FAFD76C" w14:textId="77777777" w:rsidR="00A31C8F" w:rsidRPr="00880FE9" w:rsidRDefault="00A31C8F" w:rsidP="00A31C8F">
      <w:pPr>
        <w:pStyle w:val="af1"/>
        <w:spacing w:after="93"/>
        <w:ind w:firstLine="480"/>
        <w:rPr>
          <w:rFonts w:ascii="Arial" w:eastAsia="等线" w:hAnsi="Arial" w:cs="Arial"/>
          <w:sz w:val="24"/>
          <w:szCs w:val="24"/>
        </w:rPr>
      </w:pPr>
      <w:r w:rsidRPr="00880FE9">
        <w:rPr>
          <w:rFonts w:ascii="Arial" w:eastAsia="等线" w:hAnsi="Arial" w:cs="Arial"/>
          <w:sz w:val="24"/>
          <w:szCs w:val="24"/>
        </w:rPr>
        <w:t>合同期内提供免费维保服务。包含但不限于：</w:t>
      </w:r>
    </w:p>
    <w:p w14:paraId="37E81098" w14:textId="7FE1D9D8" w:rsidR="00A31C8F" w:rsidRDefault="00A31C8F" w:rsidP="00A31C8F">
      <w:pPr>
        <w:pStyle w:val="af1"/>
        <w:spacing w:after="93"/>
        <w:ind w:firstLine="480"/>
        <w:rPr>
          <w:rFonts w:ascii="Arial" w:eastAsia="等线" w:hAnsi="Arial" w:cs="Arial"/>
          <w:sz w:val="24"/>
          <w:szCs w:val="24"/>
        </w:rPr>
      </w:pPr>
      <w:r w:rsidRPr="00880FE9">
        <w:rPr>
          <w:rFonts w:ascii="Arial" w:eastAsia="等线" w:hAnsi="Arial" w:cs="Arial"/>
          <w:sz w:val="24"/>
          <w:szCs w:val="24"/>
        </w:rPr>
        <w:t>对于实施内包含的所有服务，应提供</w:t>
      </w:r>
      <w:r w:rsidRPr="00880FE9">
        <w:rPr>
          <w:rFonts w:ascii="Arial" w:eastAsia="等线" w:hAnsi="Arial" w:cs="Arial"/>
          <w:sz w:val="24"/>
          <w:szCs w:val="24"/>
        </w:rPr>
        <w:t>7×24×4</w:t>
      </w:r>
      <w:r w:rsidRPr="00880FE9">
        <w:rPr>
          <w:rFonts w:ascii="Arial" w:eastAsia="等线" w:hAnsi="Arial" w:cs="Arial"/>
          <w:sz w:val="24"/>
          <w:szCs w:val="24"/>
        </w:rPr>
        <w:t>（</w:t>
      </w:r>
      <w:r w:rsidRPr="00880FE9">
        <w:rPr>
          <w:rFonts w:ascii="Arial" w:eastAsia="等线" w:hAnsi="Arial" w:cs="Arial"/>
          <w:sz w:val="24"/>
          <w:szCs w:val="24"/>
        </w:rPr>
        <w:t>10</w:t>
      </w:r>
      <w:r w:rsidRPr="00880FE9">
        <w:rPr>
          <w:rFonts w:ascii="Arial" w:eastAsia="等线" w:hAnsi="Arial" w:cs="Arial"/>
          <w:sz w:val="24"/>
          <w:szCs w:val="24"/>
        </w:rPr>
        <w:t>分钟工程师响应，</w:t>
      </w:r>
      <w:r w:rsidRPr="00880FE9">
        <w:rPr>
          <w:rFonts w:ascii="Arial" w:eastAsia="等线" w:hAnsi="Arial" w:cs="Arial"/>
          <w:sz w:val="24"/>
          <w:szCs w:val="24"/>
        </w:rPr>
        <w:t>4</w:t>
      </w:r>
      <w:r w:rsidRPr="00880FE9">
        <w:rPr>
          <w:rFonts w:ascii="Arial" w:eastAsia="等线" w:hAnsi="Arial" w:cs="Arial"/>
          <w:sz w:val="24"/>
          <w:szCs w:val="24"/>
        </w:rPr>
        <w:t>小时原厂工程师）免费的售后服务与支持；</w:t>
      </w:r>
    </w:p>
    <w:p w14:paraId="166F3E9D" w14:textId="6F32C3E0" w:rsidR="00A31C8F" w:rsidRDefault="00A31C8F" w:rsidP="00A31C8F">
      <w:pPr>
        <w:snapToGrid w:val="0"/>
        <w:ind w:firstLineChars="177" w:firstLine="372"/>
        <w:rPr>
          <w:rFonts w:ascii="Segoe UI" w:hAnsi="Segoe UI" w:cs="Segoe UI"/>
          <w:color w:val="1F2329"/>
          <w:shd w:val="clear" w:color="auto" w:fill="EFF0F1"/>
        </w:rPr>
      </w:pPr>
    </w:p>
    <w:p w14:paraId="1707E1F6" w14:textId="4570192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45FB74C"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656ED632" w14:textId="32920D59" w:rsidR="00A31C8F" w:rsidRPr="00A31C8F" w:rsidRDefault="00A31C8F"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合同期内提供免费维保服务。包含但不限于：对于实施内包含的所有服务，应提供</w:t>
      </w:r>
      <w:r>
        <w:rPr>
          <w:rFonts w:ascii="Segoe UI" w:hAnsi="Segoe UI" w:cs="Segoe UI"/>
          <w:color w:val="1F2329"/>
          <w:shd w:val="clear" w:color="auto" w:fill="EFF0F1"/>
        </w:rPr>
        <w:t>7×24×4</w:t>
      </w:r>
      <w:r>
        <w:rPr>
          <w:rFonts w:ascii="Segoe UI" w:hAnsi="Segoe UI" w:cs="Segoe UI"/>
          <w:color w:val="1F2329"/>
          <w:shd w:val="clear" w:color="auto" w:fill="EFF0F1"/>
        </w:rPr>
        <w:t>（</w:t>
      </w:r>
      <w:r>
        <w:rPr>
          <w:rFonts w:ascii="Segoe UI" w:hAnsi="Segoe UI" w:cs="Segoe UI"/>
          <w:color w:val="1F2329"/>
          <w:shd w:val="clear" w:color="auto" w:fill="EFF0F1"/>
        </w:rPr>
        <w:t>10</w:t>
      </w:r>
      <w:r>
        <w:rPr>
          <w:rFonts w:ascii="Segoe UI" w:hAnsi="Segoe UI" w:cs="Segoe UI"/>
          <w:color w:val="1F2329"/>
          <w:shd w:val="clear" w:color="auto" w:fill="EFF0F1"/>
        </w:rPr>
        <w:t>分钟工程师响应，</w:t>
      </w:r>
      <w:r>
        <w:rPr>
          <w:rFonts w:ascii="Segoe UI" w:hAnsi="Segoe UI" w:cs="Segoe UI"/>
          <w:color w:val="1F2329"/>
          <w:shd w:val="clear" w:color="auto" w:fill="EFF0F1"/>
        </w:rPr>
        <w:t>4</w:t>
      </w:r>
      <w:r>
        <w:rPr>
          <w:rFonts w:ascii="Segoe UI" w:hAnsi="Segoe UI" w:cs="Segoe UI"/>
          <w:color w:val="1F2329"/>
          <w:shd w:val="clear" w:color="auto" w:fill="EFF0F1"/>
        </w:rPr>
        <w:t>小时原厂工程师）免费的售后服务与支持：</w:t>
      </w:r>
      <w:r w:rsidR="00152F2A">
        <w:rPr>
          <w:rFonts w:ascii="Segoe UI" w:hAnsi="Segoe UI" w:cs="Segoe UI"/>
          <w:color w:val="1F2329"/>
          <w:shd w:val="clear" w:color="auto" w:fill="EFF0F1"/>
        </w:rPr>
        <w:t>我公司</w:t>
      </w:r>
      <w:r>
        <w:rPr>
          <w:rFonts w:ascii="Segoe UI" w:hAnsi="Segoe UI" w:cs="Segoe UI"/>
          <w:color w:val="1F2329"/>
          <w:shd w:val="clear" w:color="auto" w:fill="EFF0F1"/>
        </w:rPr>
        <w:t>严格遵循合同约定，在合同期内为</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提供全面的免费维保服务。依托华为云强大的全球技术支持网络和专业的服务团队，针对实施范围内的所有服务，建立</w:t>
      </w:r>
      <w:r>
        <w:rPr>
          <w:rFonts w:ascii="Segoe UI" w:hAnsi="Segoe UI" w:cs="Segoe UI"/>
          <w:color w:val="1F2329"/>
          <w:shd w:val="clear" w:color="auto" w:fill="EFF0F1"/>
        </w:rPr>
        <w:t>7×24</w:t>
      </w:r>
      <w:r>
        <w:rPr>
          <w:rFonts w:ascii="Segoe UI" w:hAnsi="Segoe UI" w:cs="Segoe UI"/>
          <w:color w:val="1F2329"/>
          <w:shd w:val="clear" w:color="auto" w:fill="EFF0F1"/>
        </w:rPr>
        <w:t>小时全天候响应机制。一旦接到服务请求，确保在</w:t>
      </w:r>
      <w:r>
        <w:rPr>
          <w:rFonts w:ascii="Segoe UI" w:hAnsi="Segoe UI" w:cs="Segoe UI"/>
          <w:color w:val="1F2329"/>
          <w:shd w:val="clear" w:color="auto" w:fill="EFF0F1"/>
        </w:rPr>
        <w:t>10</w:t>
      </w:r>
      <w:r>
        <w:rPr>
          <w:rFonts w:ascii="Segoe UI" w:hAnsi="Segoe UI" w:cs="Segoe UI"/>
          <w:color w:val="1F2329"/>
          <w:shd w:val="clear" w:color="auto" w:fill="EFF0F1"/>
        </w:rPr>
        <w:t>分钟内有专业工程师响应，快速定位问题；对于紧急故障，保证</w:t>
      </w:r>
      <w:r>
        <w:rPr>
          <w:rFonts w:ascii="Segoe UI" w:hAnsi="Segoe UI" w:cs="Segoe UI"/>
          <w:color w:val="1F2329"/>
          <w:shd w:val="clear" w:color="auto" w:fill="EFF0F1"/>
        </w:rPr>
        <w:t>4</w:t>
      </w:r>
      <w:r>
        <w:rPr>
          <w:rFonts w:ascii="Segoe UI" w:hAnsi="Segoe UI" w:cs="Segoe UI"/>
          <w:color w:val="1F2329"/>
          <w:shd w:val="clear" w:color="auto" w:fill="EFF0F1"/>
        </w:rPr>
        <w:t>小时内派遣华为云原厂工程师或具备公有云认证资质的工程师到达现场，提供高效、专业的技术支持，直至问题彻底解决。同时，定期对服务进行健康检查和优化，提前预防潜在问题，保障服务持续稳定运行。</w:t>
      </w:r>
    </w:p>
    <w:p w14:paraId="1942AD81" w14:textId="2E06DD72" w:rsidR="00A31C8F" w:rsidRPr="00A31C8F" w:rsidRDefault="00A31C8F" w:rsidP="00A31C8F">
      <w:pPr>
        <w:snapToGrid w:val="0"/>
        <w:ind w:firstLineChars="177" w:firstLine="372"/>
        <w:rPr>
          <w:rFonts w:ascii="Segoe UI" w:hAnsi="Segoe UI" w:cs="Segoe UI"/>
          <w:color w:val="1F2329"/>
          <w:shd w:val="clear" w:color="auto" w:fill="EFF0F1"/>
        </w:rPr>
      </w:pPr>
    </w:p>
    <w:p w14:paraId="586A1F00" w14:textId="0493F992" w:rsidR="00A31C8F" w:rsidRDefault="00A31C8F" w:rsidP="00A31C8F">
      <w:pPr>
        <w:snapToGrid w:val="0"/>
        <w:ind w:firstLineChars="177" w:firstLine="372"/>
        <w:rPr>
          <w:rFonts w:ascii="Segoe UI" w:hAnsi="Segoe UI" w:cs="Segoe UI"/>
          <w:color w:val="1F2329"/>
          <w:shd w:val="clear" w:color="auto" w:fill="EFF0F1"/>
        </w:rPr>
      </w:pPr>
    </w:p>
    <w:p w14:paraId="349256CF" w14:textId="58F0C9DC" w:rsidR="00F94661" w:rsidRPr="00A31C8F" w:rsidRDefault="006C6F6D" w:rsidP="006C6F6D">
      <w:pPr>
        <w:rPr>
          <w:rFonts w:hint="eastAsia"/>
        </w:rPr>
      </w:pPr>
      <w:r w:rsidRPr="006C6F6D">
        <w:rPr>
          <w:rFonts w:hint="eastAsia"/>
          <w:b/>
        </w:rPr>
        <w:t>招标文件要求</w:t>
      </w:r>
    </w:p>
    <w:p w14:paraId="3BD9FB81" w14:textId="77777777" w:rsidR="00F94661" w:rsidRPr="00A31C8F" w:rsidRDefault="00F94661" w:rsidP="00A31C8F">
      <w:pPr>
        <w:snapToGrid w:val="0"/>
        <w:ind w:firstLineChars="177" w:firstLine="372"/>
        <w:rPr>
          <w:rFonts w:ascii="Segoe UI" w:hAnsi="Segoe UI" w:cs="Segoe UI"/>
          <w:color w:val="1F2329"/>
          <w:shd w:val="clear" w:color="auto" w:fill="EFF0F1"/>
        </w:rPr>
      </w:pPr>
    </w:p>
    <w:p w14:paraId="5CD16033" w14:textId="7A3432DD" w:rsidR="00A31C8F"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投标人负责对其提供的服务进行现场维修与维护，不收取额外费用；</w:t>
      </w:r>
    </w:p>
    <w:p w14:paraId="3F904FC1" w14:textId="4AEE18CF" w:rsidR="00A31C8F" w:rsidRDefault="00A31C8F" w:rsidP="00A31C8F">
      <w:pPr>
        <w:snapToGrid w:val="0"/>
        <w:ind w:firstLineChars="177" w:firstLine="372"/>
        <w:rPr>
          <w:rFonts w:ascii="Segoe UI" w:hAnsi="Segoe UI" w:cs="Segoe UI"/>
          <w:color w:val="1F2329"/>
          <w:shd w:val="clear" w:color="auto" w:fill="EFF0F1"/>
        </w:rPr>
      </w:pPr>
    </w:p>
    <w:p w14:paraId="042E1060" w14:textId="2AC42F7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B3AA739"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1292DF6A" w14:textId="0906F724" w:rsidR="00A31C8F" w:rsidRP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承诺对所提供的所有服务，在合同期内提供免费的现场维修与维护服务。无论服务出现任何问题，</w:t>
      </w:r>
      <w:r>
        <w:rPr>
          <w:rFonts w:ascii="Segoe UI" w:hAnsi="Segoe UI" w:cs="Segoe UI"/>
          <w:color w:val="1F2329"/>
          <w:shd w:val="clear" w:color="auto" w:fill="EFF0F1"/>
        </w:rPr>
        <w:t>我公司</w:t>
      </w:r>
      <w:r w:rsidR="00A31C8F">
        <w:rPr>
          <w:rFonts w:ascii="Segoe UI" w:hAnsi="Segoe UI" w:cs="Segoe UI"/>
          <w:color w:val="1F2329"/>
          <w:shd w:val="clear" w:color="auto" w:fill="EFF0F1"/>
        </w:rPr>
        <w:t>都将及时安排专业工程师前往现场处理，不收取任何额外费用。在现场维修与维护过程中，严格遵循服务标准和操作规范，使用原厂配件和专业工具，确保维修质量。同时，对现场维修与维护工作进行详细记录，形成服务报告反馈给</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，做到服务透明、可追溯，让</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无后顾之忧。</w:t>
      </w:r>
    </w:p>
    <w:p w14:paraId="1B5B628B" w14:textId="1BE036A8" w:rsidR="00A31C8F" w:rsidRPr="00A31C8F" w:rsidRDefault="00A31C8F" w:rsidP="00A31C8F">
      <w:pPr>
        <w:snapToGrid w:val="0"/>
        <w:ind w:firstLineChars="177" w:firstLine="372"/>
        <w:rPr>
          <w:rFonts w:ascii="Segoe UI" w:hAnsi="Segoe UI" w:cs="Segoe UI"/>
          <w:color w:val="1F2329"/>
          <w:shd w:val="clear" w:color="auto" w:fill="EFF0F1"/>
        </w:rPr>
      </w:pPr>
    </w:p>
    <w:p w14:paraId="039D7B70" w14:textId="0B219C7F" w:rsidR="00A31C8F" w:rsidRDefault="00A31C8F" w:rsidP="00A31C8F">
      <w:pPr>
        <w:snapToGrid w:val="0"/>
        <w:ind w:firstLineChars="177" w:firstLine="372"/>
        <w:rPr>
          <w:rFonts w:ascii="Segoe UI" w:hAnsi="Segoe UI" w:cs="Segoe UI"/>
          <w:color w:val="1F2329"/>
          <w:shd w:val="clear" w:color="auto" w:fill="EFF0F1"/>
        </w:rPr>
      </w:pPr>
    </w:p>
    <w:p w14:paraId="1F752742" w14:textId="5C8EF73D" w:rsidR="00F94661" w:rsidRPr="00A31C8F" w:rsidRDefault="006C6F6D" w:rsidP="006C6F6D">
      <w:pPr>
        <w:rPr>
          <w:rFonts w:hint="eastAsia"/>
        </w:rPr>
      </w:pPr>
      <w:r w:rsidRPr="006C6F6D">
        <w:rPr>
          <w:rFonts w:hint="eastAsia"/>
          <w:b/>
        </w:rPr>
        <w:t>招标文件要求</w:t>
      </w:r>
    </w:p>
    <w:p w14:paraId="237D7819" w14:textId="77777777" w:rsidR="00F94661" w:rsidRPr="00A31C8F" w:rsidRDefault="00F94661" w:rsidP="00A31C8F">
      <w:pPr>
        <w:snapToGrid w:val="0"/>
        <w:ind w:firstLineChars="177" w:firstLine="372"/>
        <w:rPr>
          <w:rFonts w:ascii="Segoe UI" w:hAnsi="Segoe UI" w:cs="Segoe UI"/>
          <w:color w:val="1F2329"/>
          <w:shd w:val="clear" w:color="auto" w:fill="EFF0F1"/>
        </w:rPr>
      </w:pPr>
    </w:p>
    <w:p w14:paraId="67645B38" w14:textId="4B953833" w:rsidR="00A31C8F"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实施及维保服务由对应公有云原厂工程师或投标人具有公有云认证资质的工程师执行；</w:t>
      </w:r>
    </w:p>
    <w:p w14:paraId="3699E56E" w14:textId="7497C06A" w:rsidR="00A31C8F" w:rsidRDefault="00A31C8F" w:rsidP="00A31C8F">
      <w:pPr>
        <w:snapToGrid w:val="0"/>
        <w:ind w:firstLineChars="177" w:firstLine="372"/>
        <w:rPr>
          <w:rFonts w:ascii="Segoe UI" w:hAnsi="Segoe UI" w:cs="Segoe UI"/>
          <w:color w:val="1F2329"/>
          <w:shd w:val="clear" w:color="auto" w:fill="EFF0F1"/>
        </w:rPr>
      </w:pPr>
    </w:p>
    <w:p w14:paraId="0DF341AA" w14:textId="7867C93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CBD870F"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234C66B4" w14:textId="4CE9A33C" w:rsidR="00A31C8F" w:rsidRP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拥有一支由华为云原厂工程师和通过公有云认证资质的专业工程师组成的高素质服务团队，完全有能力满足实施及维保服务的人员资质</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。在项目实施和维保过程中，根据服务需求和技术难度，合理调配原厂工程师和认证工程师资源，确保每项服务都由具备相应专业能力和资质的人员执行。</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将持续加强对工程师团队的培训与管理，定期进行技能考核和资质认证更新，保证服务团队始终保持高水平的专业素养，为</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提供可靠、优质的服务。</w:t>
      </w:r>
    </w:p>
    <w:p w14:paraId="18353C9C" w14:textId="77777777" w:rsidR="00A31C8F" w:rsidRPr="00A31C8F" w:rsidRDefault="00A31C8F" w:rsidP="00A31C8F">
      <w:pPr>
        <w:snapToGrid w:val="0"/>
        <w:ind w:firstLineChars="177" w:firstLine="372"/>
        <w:rPr>
          <w:rFonts w:ascii="Segoe UI" w:hAnsi="Segoe UI" w:cs="Segoe UI"/>
          <w:color w:val="1F2329"/>
          <w:shd w:val="clear" w:color="auto" w:fill="EFF0F1"/>
        </w:rPr>
      </w:pPr>
    </w:p>
    <w:p w14:paraId="01A4552F" w14:textId="74639868" w:rsidR="00A31C8F" w:rsidRPr="00A31C8F" w:rsidRDefault="00A31C8F" w:rsidP="00A31C8F">
      <w:pPr>
        <w:snapToGrid w:val="0"/>
        <w:ind w:firstLineChars="177" w:firstLine="372"/>
        <w:rPr>
          <w:rFonts w:ascii="Segoe UI" w:hAnsi="Segoe UI" w:cs="Segoe UI"/>
          <w:color w:val="1F2329"/>
          <w:shd w:val="clear" w:color="auto" w:fill="EFF0F1"/>
        </w:rPr>
      </w:pPr>
    </w:p>
    <w:p w14:paraId="2BDAB795" w14:textId="00C194E4" w:rsidR="00A31C8F" w:rsidRPr="00A31C8F" w:rsidRDefault="00A31C8F" w:rsidP="00A31C8F">
      <w:pPr>
        <w:snapToGrid w:val="0"/>
        <w:ind w:firstLineChars="177" w:firstLine="372"/>
        <w:rPr>
          <w:rFonts w:ascii="Segoe UI" w:hAnsi="Segoe UI" w:cs="Segoe UI"/>
          <w:color w:val="1F2329"/>
          <w:shd w:val="clear" w:color="auto" w:fill="EFF0F1"/>
        </w:rPr>
      </w:pPr>
    </w:p>
    <w:p w14:paraId="1D79A66D" w14:textId="5EF274E5" w:rsidR="00A31C8F" w:rsidRPr="00A31C8F" w:rsidRDefault="00A31C8F" w:rsidP="00A31C8F">
      <w:pPr>
        <w:snapToGrid w:val="0"/>
        <w:ind w:firstLineChars="177" w:firstLine="372"/>
        <w:rPr>
          <w:rFonts w:ascii="Segoe UI" w:hAnsi="Segoe UI" w:cs="Segoe UI"/>
          <w:color w:val="1F2329"/>
          <w:shd w:val="clear" w:color="auto" w:fill="EFF0F1"/>
        </w:rPr>
      </w:pPr>
    </w:p>
    <w:p w14:paraId="167B5D9B" w14:textId="77777777" w:rsidR="00A31C8F" w:rsidRPr="00A31C8F" w:rsidRDefault="00A31C8F" w:rsidP="00A31C8F">
      <w:pPr>
        <w:snapToGrid w:val="0"/>
        <w:ind w:firstLineChars="177" w:firstLine="372"/>
        <w:rPr>
          <w:rFonts w:ascii="Segoe UI" w:hAnsi="Segoe UI" w:cs="Segoe UI"/>
          <w:color w:val="1F2329"/>
          <w:shd w:val="clear" w:color="auto" w:fill="EFF0F1"/>
        </w:rPr>
      </w:pPr>
    </w:p>
    <w:p w14:paraId="0E8036E7" w14:textId="42646EC2" w:rsidR="00BE572F" w:rsidRDefault="00BE572F" w:rsidP="00BE572F">
      <w:pPr>
        <w:pStyle w:val="1"/>
        <w:rPr>
          <w:rFonts w:hint="eastAsia"/>
        </w:rPr>
      </w:pPr>
      <w:r>
        <w:tab/>
        <w:t>★其他</w:t>
      </w:r>
      <w:r w:rsidR="006C6F6D" w:rsidRPr="006C6F6D">
        <w:t>招标文件要求</w:t>
      </w:r>
      <w:r>
        <w:t>（总集承诺）</w:t>
      </w:r>
      <w:r>
        <w:tab/>
      </w:r>
    </w:p>
    <w:p w14:paraId="2C08478C" w14:textId="086EA90E" w:rsidR="00F94661" w:rsidRPr="00A31C8F" w:rsidRDefault="006C6F6D" w:rsidP="006C6F6D">
      <w:pPr>
        <w:rPr>
          <w:rFonts w:hint="eastAsia"/>
        </w:rPr>
      </w:pPr>
      <w:r w:rsidRPr="006C6F6D">
        <w:rPr>
          <w:rFonts w:hint="eastAsia"/>
          <w:b/>
        </w:rPr>
        <w:t>招标文件要求</w:t>
      </w:r>
    </w:p>
    <w:p w14:paraId="00327D94" w14:textId="77777777" w:rsidR="00F94661" w:rsidRPr="00A31C8F" w:rsidRDefault="00F94661" w:rsidP="00A31C8F">
      <w:pPr>
        <w:snapToGrid w:val="0"/>
        <w:ind w:firstLineChars="177" w:firstLine="372"/>
        <w:rPr>
          <w:rFonts w:ascii="Segoe UI" w:hAnsi="Segoe UI" w:cs="Segoe UI"/>
          <w:color w:val="1F2329"/>
          <w:shd w:val="clear" w:color="auto" w:fill="EFF0F1"/>
        </w:rPr>
      </w:pPr>
    </w:p>
    <w:p w14:paraId="1C40F850" w14:textId="77777777" w:rsidR="00A31C8F" w:rsidRDefault="00A31C8F" w:rsidP="00A31C8F">
      <w:pPr>
        <w:pStyle w:val="af3"/>
        <w:spacing w:after="93"/>
        <w:ind w:right="-40" w:firstLine="480"/>
        <w:rPr>
          <w:rFonts w:ascii="Arial" w:eastAsia="等线" w:hAnsi="Arial" w:cs="Arial"/>
          <w:sz w:val="24"/>
          <w:szCs w:val="24"/>
        </w:rPr>
      </w:pPr>
      <w:r w:rsidRPr="00880FE9">
        <w:rPr>
          <w:rFonts w:ascii="Arial" w:eastAsia="等线" w:hAnsi="Arial" w:cs="Arial"/>
          <w:sz w:val="24"/>
          <w:szCs w:val="24"/>
        </w:rPr>
        <w:t>投标人须提供承诺书，承诺提供的服务及产品不侵犯任何第三方的知识产权，如发现此类情况，因此产生的费用和责任均由投标方承担，招标方完全免责。</w:t>
      </w:r>
    </w:p>
    <w:p w14:paraId="22533B02" w14:textId="66DA3268" w:rsidR="00A31C8F" w:rsidRDefault="00A31C8F" w:rsidP="00A31C8F">
      <w:pPr>
        <w:snapToGrid w:val="0"/>
        <w:ind w:firstLineChars="177" w:firstLine="372"/>
        <w:rPr>
          <w:rFonts w:ascii="Segoe UI" w:hAnsi="Segoe UI" w:cs="Segoe UI"/>
          <w:color w:val="1F2329"/>
          <w:shd w:val="clear" w:color="auto" w:fill="EFF0F1"/>
        </w:rPr>
      </w:pPr>
    </w:p>
    <w:p w14:paraId="575E6A32" w14:textId="3A90606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BCCB591"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488D9CDE" w14:textId="2F0E0625" w:rsid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郑重承诺，所提供的全部服务及产品均严格遵循知识产权相关法律法规，不存在侵犯任何第三方知识产权的行为。华为云始终高度重视知识产权保护，在技术研发、产品设计及服务提供过程中，建立了完善的知识产权管理体系，从源头把控风险，确保所使用的技术、软件、专利等均取得合法授权或自主研发。若在项目实施或后续使用过程中，经证实出现侵犯第三方知识产权的情况，我方将立即采取有效措施进行整改，承担由此产生的全部法律责任、诉讼费用、赔偿费用及其他一切相关费用，全力维护</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的合法权益，确保招标方完全免责。</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将以高度的责任感和严谨的工作态度，保障项目顺利推进，杜绝任何知识产权纠纷，为</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提供安全、可靠的服务与产品。</w:t>
      </w:r>
    </w:p>
    <w:p w14:paraId="4F619EBB" w14:textId="6F133DFA" w:rsidR="00A31C8F" w:rsidRDefault="00A31C8F" w:rsidP="00A31C8F">
      <w:pPr>
        <w:snapToGrid w:val="0"/>
        <w:ind w:firstLineChars="177" w:firstLine="372"/>
        <w:rPr>
          <w:rFonts w:ascii="Segoe UI" w:hAnsi="Segoe UI" w:cs="Segoe UI"/>
          <w:color w:val="1F2329"/>
          <w:shd w:val="clear" w:color="auto" w:fill="EFF0F1"/>
        </w:rPr>
      </w:pPr>
    </w:p>
    <w:p w14:paraId="503D9C0D" w14:textId="77777777" w:rsidR="00A31C8F" w:rsidRPr="00A31C8F" w:rsidRDefault="00A31C8F" w:rsidP="00A31C8F">
      <w:pPr>
        <w:snapToGrid w:val="0"/>
        <w:ind w:firstLineChars="177" w:firstLine="372"/>
        <w:rPr>
          <w:rFonts w:ascii="Segoe UI" w:hAnsi="Segoe UI" w:cs="Segoe UI"/>
          <w:color w:val="1F2329"/>
          <w:shd w:val="clear" w:color="auto" w:fill="EFF0F1"/>
        </w:rPr>
      </w:pPr>
    </w:p>
    <w:p w14:paraId="67C6E6C6" w14:textId="7902EBED" w:rsidR="00BE572F" w:rsidRDefault="00455AF9" w:rsidP="00BE572F">
      <w:pPr>
        <w:pStyle w:val="1"/>
        <w:rPr>
          <w:rFonts w:hint="eastAsia"/>
        </w:rPr>
      </w:pPr>
      <w:r>
        <w:rPr>
          <w:rFonts w:hint="eastAsia"/>
        </w:rPr>
        <w:lastRenderedPageBreak/>
        <w:t>***</w:t>
      </w:r>
      <w:r w:rsidR="00BE572F">
        <w:tab/>
        <w:t>★云资源报价清单（商务和总集确认，此处给出的都是原价）</w:t>
      </w:r>
      <w:r w:rsidR="00BE572F">
        <w:tab/>
      </w:r>
    </w:p>
    <w:p w14:paraId="5490363C" w14:textId="06555A31" w:rsidR="00BE572F" w:rsidRDefault="00BE572F" w:rsidP="00BE572F">
      <w:pPr>
        <w:pStyle w:val="2"/>
        <w:rPr>
          <w:rFonts w:hint="eastAsia"/>
        </w:rPr>
      </w:pPr>
      <w:r>
        <w:tab/>
        <w:t>云主机</w:t>
      </w:r>
      <w:r>
        <w:tab/>
      </w:r>
    </w:p>
    <w:p w14:paraId="3B7D82C0" w14:textId="10233FB0" w:rsidR="00BE572F" w:rsidRDefault="00BE572F" w:rsidP="00BE572F">
      <w:pPr>
        <w:pStyle w:val="2"/>
        <w:rPr>
          <w:rFonts w:hint="eastAsia"/>
        </w:rPr>
      </w:pPr>
      <w:r>
        <w:tab/>
        <w:t>云存储</w:t>
      </w:r>
      <w:r>
        <w:tab/>
      </w:r>
    </w:p>
    <w:p w14:paraId="590DC941" w14:textId="79BCF63E" w:rsidR="00BE572F" w:rsidRDefault="00BE572F" w:rsidP="00BE572F">
      <w:pPr>
        <w:pStyle w:val="2"/>
        <w:rPr>
          <w:rFonts w:hint="eastAsia"/>
        </w:rPr>
      </w:pPr>
      <w:r>
        <w:tab/>
        <w:t>GPU资源报价</w:t>
      </w:r>
      <w:r>
        <w:tab/>
      </w:r>
    </w:p>
    <w:p w14:paraId="00EEA3B9" w14:textId="60FC878B" w:rsidR="00BE572F" w:rsidRDefault="00BE572F" w:rsidP="00BE572F">
      <w:pPr>
        <w:pStyle w:val="2"/>
        <w:rPr>
          <w:rFonts w:hint="eastAsia"/>
        </w:rPr>
      </w:pPr>
      <w:r>
        <w:tab/>
        <w:t>云专线报价（此处给出的是一口价，不可以继续折扣后的固定价格）</w:t>
      </w:r>
      <w:r>
        <w:tab/>
      </w:r>
    </w:p>
    <w:p w14:paraId="5E0BB344" w14:textId="06F02B9A" w:rsidR="00BE572F" w:rsidRDefault="00BC7725" w:rsidP="00BE572F">
      <w:pPr>
        <w:pStyle w:val="1"/>
        <w:rPr>
          <w:rFonts w:hint="eastAsia"/>
        </w:rPr>
      </w:pPr>
      <w:r>
        <w:rPr>
          <w:rFonts w:hint="eastAsia"/>
        </w:rPr>
        <w:t>***</w:t>
      </w:r>
      <w:r w:rsidR="00BE572F">
        <w:tab/>
        <w:t>★招标文件响应偏离表（总集最后check）</w:t>
      </w:r>
      <w:r w:rsidR="00BE572F">
        <w:tab/>
      </w:r>
    </w:p>
    <w:tbl>
      <w:tblPr>
        <w:tblW w:w="96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5681"/>
        <w:gridCol w:w="761"/>
        <w:gridCol w:w="2683"/>
      </w:tblGrid>
      <w:tr w:rsidR="00455AF9" w:rsidRPr="00920338" w14:paraId="56A84119" w14:textId="77777777" w:rsidTr="009A2571">
        <w:tc>
          <w:tcPr>
            <w:tcW w:w="543" w:type="dxa"/>
          </w:tcPr>
          <w:p w14:paraId="12072B28" w14:textId="77777777" w:rsidR="00455AF9" w:rsidRPr="00920338" w:rsidRDefault="00455AF9" w:rsidP="009A2571">
            <w:pPr>
              <w:spacing w:line="360" w:lineRule="auto"/>
              <w:jc w:val="center"/>
              <w:rPr>
                <w:rFonts w:hint="eastAsia"/>
                <w:b/>
                <w:sz w:val="22"/>
              </w:rPr>
            </w:pPr>
            <w:r w:rsidRPr="00920338">
              <w:rPr>
                <w:rFonts w:hint="eastAsia"/>
                <w:b/>
                <w:sz w:val="22"/>
              </w:rPr>
              <w:t>序号</w:t>
            </w:r>
          </w:p>
        </w:tc>
        <w:tc>
          <w:tcPr>
            <w:tcW w:w="5681" w:type="dxa"/>
          </w:tcPr>
          <w:p w14:paraId="380F62EA" w14:textId="77777777" w:rsidR="00455AF9" w:rsidRPr="00920338" w:rsidRDefault="00455AF9" w:rsidP="009A2571">
            <w:pPr>
              <w:spacing w:line="360" w:lineRule="auto"/>
              <w:jc w:val="center"/>
              <w:rPr>
                <w:rFonts w:hint="eastAsia"/>
                <w:b/>
                <w:sz w:val="22"/>
              </w:rPr>
            </w:pPr>
            <w:r>
              <w:rPr>
                <w:rFonts w:hint="eastAsia"/>
                <w:b/>
                <w:sz w:val="22"/>
              </w:rPr>
              <w:t>招标</w:t>
            </w:r>
            <w:r w:rsidRPr="00920338">
              <w:rPr>
                <w:b/>
                <w:sz w:val="22"/>
              </w:rPr>
              <w:t>文件</w:t>
            </w:r>
            <w:r w:rsidRPr="00920338">
              <w:rPr>
                <w:rFonts w:hint="eastAsia"/>
                <w:b/>
                <w:sz w:val="22"/>
              </w:rPr>
              <w:t>规格</w:t>
            </w:r>
          </w:p>
        </w:tc>
        <w:tc>
          <w:tcPr>
            <w:tcW w:w="761" w:type="dxa"/>
          </w:tcPr>
          <w:p w14:paraId="41528C7D" w14:textId="77777777" w:rsidR="00455AF9" w:rsidRPr="00920338" w:rsidRDefault="00455AF9" w:rsidP="009A2571">
            <w:pPr>
              <w:spacing w:line="360" w:lineRule="auto"/>
              <w:jc w:val="center"/>
              <w:rPr>
                <w:rFonts w:hint="eastAsia"/>
                <w:b/>
                <w:sz w:val="22"/>
              </w:rPr>
            </w:pPr>
            <w:r>
              <w:rPr>
                <w:rFonts w:hint="eastAsia"/>
                <w:b/>
                <w:sz w:val="22"/>
              </w:rPr>
              <w:t>满足</w:t>
            </w:r>
            <w:r w:rsidRPr="00920338">
              <w:rPr>
                <w:rFonts w:hint="eastAsia"/>
                <w:b/>
                <w:sz w:val="22"/>
              </w:rPr>
              <w:t>/偏离</w:t>
            </w:r>
          </w:p>
        </w:tc>
        <w:tc>
          <w:tcPr>
            <w:tcW w:w="2683" w:type="dxa"/>
          </w:tcPr>
          <w:p w14:paraId="16E47D51" w14:textId="77777777" w:rsidR="00455AF9" w:rsidRPr="00920338" w:rsidRDefault="00455AF9" w:rsidP="009A2571">
            <w:pPr>
              <w:spacing w:line="360" w:lineRule="auto"/>
              <w:jc w:val="center"/>
              <w:rPr>
                <w:rFonts w:hint="eastAsia"/>
                <w:b/>
                <w:sz w:val="22"/>
              </w:rPr>
            </w:pPr>
            <w:r w:rsidRPr="00920338">
              <w:rPr>
                <w:rFonts w:hint="eastAsia"/>
                <w:b/>
                <w:sz w:val="22"/>
              </w:rPr>
              <w:t>投标</w:t>
            </w:r>
            <w:r w:rsidRPr="00920338">
              <w:rPr>
                <w:b/>
                <w:sz w:val="22"/>
              </w:rPr>
              <w:t>文件</w:t>
            </w:r>
            <w:r w:rsidRPr="00920338">
              <w:rPr>
                <w:rFonts w:hint="eastAsia"/>
                <w:b/>
                <w:sz w:val="22"/>
              </w:rPr>
              <w:t>规格</w:t>
            </w:r>
          </w:p>
        </w:tc>
      </w:tr>
      <w:tr w:rsidR="00455AF9" w:rsidRPr="00920338" w14:paraId="2BDBE27F" w14:textId="77777777" w:rsidTr="009A2571">
        <w:tc>
          <w:tcPr>
            <w:tcW w:w="9668" w:type="dxa"/>
            <w:gridSpan w:val="4"/>
          </w:tcPr>
          <w:p w14:paraId="0FD65086" w14:textId="77777777" w:rsidR="00455AF9" w:rsidRPr="00920338" w:rsidRDefault="00455AF9" w:rsidP="009A2571">
            <w:pPr>
              <w:spacing w:line="360" w:lineRule="auto"/>
              <w:jc w:val="center"/>
              <w:rPr>
                <w:rFonts w:hint="eastAsia"/>
                <w:sz w:val="22"/>
              </w:rPr>
            </w:pPr>
            <w:r w:rsidRPr="00B761E9">
              <w:rPr>
                <w:rFonts w:hint="eastAsia"/>
                <w:b/>
                <w:sz w:val="22"/>
                <w:highlight w:val="yellow"/>
              </w:rPr>
              <w:t>星号强制性条款</w:t>
            </w:r>
          </w:p>
        </w:tc>
      </w:tr>
      <w:tr w:rsidR="00455AF9" w:rsidRPr="00920338" w14:paraId="4502D9D0" w14:textId="77777777" w:rsidTr="009A2571">
        <w:tc>
          <w:tcPr>
            <w:tcW w:w="543" w:type="dxa"/>
          </w:tcPr>
          <w:p w14:paraId="2D8CF65C" w14:textId="77777777" w:rsidR="00455AF9" w:rsidRPr="00920338" w:rsidRDefault="00455AF9" w:rsidP="009A2571">
            <w:pPr>
              <w:spacing w:line="360" w:lineRule="auto"/>
              <w:jc w:val="center"/>
              <w:rPr>
                <w:rFonts w:hint="eastAsia"/>
                <w:sz w:val="22"/>
              </w:rPr>
            </w:pPr>
            <w:r>
              <w:rPr>
                <w:rFonts w:hint="eastAsia"/>
                <w:sz w:val="22"/>
              </w:rPr>
              <w:t>1</w:t>
            </w:r>
          </w:p>
        </w:tc>
        <w:tc>
          <w:tcPr>
            <w:tcW w:w="5681" w:type="dxa"/>
          </w:tcPr>
          <w:p w14:paraId="13D3E132" w14:textId="77777777" w:rsidR="00455AF9" w:rsidRPr="00923308" w:rsidRDefault="00455AF9" w:rsidP="009A2571">
            <w:pPr>
              <w:rPr>
                <w:rFonts w:asciiTheme="minorEastAsia" w:hAnsiTheme="minorEastAsia" w:hint="eastAsia"/>
                <w:b/>
                <w:bCs/>
                <w:color w:val="000000"/>
                <w:kern w:val="0"/>
                <w:sz w:val="20"/>
                <w:szCs w:val="20"/>
              </w:rPr>
            </w:pPr>
            <w:r w:rsidRPr="00923308">
              <w:rPr>
                <w:rFonts w:asciiTheme="minorEastAsia" w:hAnsiTheme="minorEastAsia" w:hint="eastAsia"/>
                <w:b/>
                <w:bCs/>
                <w:color w:val="000000"/>
                <w:kern w:val="0"/>
                <w:sz w:val="20"/>
                <w:szCs w:val="20"/>
              </w:rPr>
              <w:t>附件G</w:t>
            </w:r>
            <w:r w:rsidRPr="00923308">
              <w:rPr>
                <w:rFonts w:asciiTheme="minorEastAsia" w:hAnsiTheme="minorEastAsia"/>
                <w:b/>
                <w:bCs/>
                <w:color w:val="000000"/>
                <w:kern w:val="0"/>
                <w:sz w:val="20"/>
                <w:szCs w:val="20"/>
              </w:rPr>
              <w:t>:</w:t>
            </w:r>
            <w:r w:rsidRPr="00923308">
              <w:rPr>
                <w:rFonts w:asciiTheme="minorEastAsia" w:hAnsiTheme="minorEastAsia" w:hint="eastAsia"/>
                <w:b/>
                <w:bCs/>
                <w:color w:val="000000"/>
                <w:sz w:val="20"/>
                <w:szCs w:val="20"/>
              </w:rPr>
              <w:t xml:space="preserve"> </w:t>
            </w:r>
            <w:r w:rsidRPr="00923308">
              <w:rPr>
                <w:rFonts w:asciiTheme="minorEastAsia" w:hAnsiTheme="minorEastAsia" w:hint="eastAsia"/>
                <w:b/>
                <w:bCs/>
                <w:color w:val="000000"/>
                <w:kern w:val="0"/>
                <w:sz w:val="20"/>
                <w:szCs w:val="20"/>
              </w:rPr>
              <w:t>AMECO</w:t>
            </w:r>
            <w:proofErr w:type="gramStart"/>
            <w:r w:rsidRPr="00923308">
              <w:rPr>
                <w:rFonts w:asciiTheme="minorEastAsia" w:hAnsiTheme="minorEastAsia" w:hint="eastAsia"/>
                <w:b/>
                <w:bCs/>
                <w:color w:val="000000"/>
                <w:kern w:val="0"/>
                <w:sz w:val="20"/>
                <w:szCs w:val="20"/>
              </w:rPr>
              <w:t>主容灾云</w:t>
            </w:r>
            <w:proofErr w:type="gramEnd"/>
            <w:r w:rsidRPr="00923308">
              <w:rPr>
                <w:rFonts w:asciiTheme="minorEastAsia" w:hAnsiTheme="minorEastAsia" w:hint="eastAsia"/>
                <w:b/>
                <w:bCs/>
                <w:color w:val="000000"/>
                <w:kern w:val="0"/>
                <w:sz w:val="20"/>
                <w:szCs w:val="20"/>
              </w:rPr>
              <w:t>与GPU云端资源池建设项目</w:t>
            </w:r>
            <w:r w:rsidRPr="00923308">
              <w:rPr>
                <w:rFonts w:asciiTheme="minorEastAsia" w:hAnsiTheme="minorEastAsia"/>
                <w:b/>
                <w:bCs/>
                <w:color w:val="000000"/>
                <w:kern w:val="0"/>
                <w:sz w:val="20"/>
                <w:szCs w:val="20"/>
              </w:rPr>
              <w:t>商务要求</w:t>
            </w:r>
          </w:p>
          <w:p w14:paraId="4272F05D" w14:textId="77777777" w:rsidR="00455AF9" w:rsidRPr="00923308" w:rsidRDefault="00455AF9" w:rsidP="009A2571">
            <w:pPr>
              <w:rPr>
                <w:rFonts w:asciiTheme="minorEastAsia" w:hAnsiTheme="minorEastAsia" w:hint="eastAsia"/>
                <w:sz w:val="20"/>
                <w:szCs w:val="20"/>
              </w:rPr>
            </w:pPr>
            <w:r w:rsidRPr="00923308">
              <w:rPr>
                <w:rFonts w:asciiTheme="minorEastAsia" w:hAnsiTheme="minorEastAsia" w:hint="eastAsia"/>
                <w:sz w:val="20"/>
                <w:szCs w:val="20"/>
              </w:rPr>
              <w:t>2</w:t>
            </w:r>
            <w:r w:rsidRPr="00923308">
              <w:rPr>
                <w:rFonts w:asciiTheme="minorEastAsia" w:hAnsiTheme="minorEastAsia"/>
                <w:sz w:val="20"/>
                <w:szCs w:val="20"/>
              </w:rPr>
              <w:t>.1付款方</w:t>
            </w:r>
            <w:r w:rsidRPr="00923308">
              <w:rPr>
                <w:rFonts w:asciiTheme="minorEastAsia" w:hAnsiTheme="minorEastAsia" w:hint="eastAsia"/>
                <w:sz w:val="20"/>
                <w:szCs w:val="20"/>
              </w:rPr>
              <w:t>式</w:t>
            </w:r>
            <w:r w:rsidRPr="00923308">
              <w:rPr>
                <w:rFonts w:asciiTheme="minorEastAsia" w:hAnsiTheme="minorEastAsia"/>
                <w:sz w:val="20"/>
                <w:szCs w:val="20"/>
              </w:rPr>
              <w:t>和</w:t>
            </w:r>
            <w:r w:rsidRPr="00923308">
              <w:rPr>
                <w:rFonts w:asciiTheme="minorEastAsia" w:hAnsiTheme="minorEastAsia" w:hint="eastAsia"/>
                <w:sz w:val="20"/>
                <w:szCs w:val="20"/>
              </w:rPr>
              <w:t>时间：</w:t>
            </w:r>
          </w:p>
          <w:p w14:paraId="4E7BF846" w14:textId="77777777" w:rsidR="00455AF9" w:rsidRPr="00923308" w:rsidRDefault="00455AF9" w:rsidP="009A2571">
            <w:pPr>
              <w:rPr>
                <w:rFonts w:asciiTheme="minorEastAsia" w:hAnsiTheme="minorEastAsia" w:hint="eastAsia"/>
                <w:sz w:val="20"/>
                <w:szCs w:val="20"/>
              </w:rPr>
            </w:pPr>
            <w:r w:rsidRPr="00923308">
              <w:rPr>
                <w:rFonts w:asciiTheme="minorEastAsia" w:hAnsiTheme="minorEastAsia" w:hint="eastAsia"/>
                <w:color w:val="000000"/>
                <w:kern w:val="0"/>
                <w:sz w:val="20"/>
                <w:szCs w:val="20"/>
              </w:rPr>
              <w:t>★</w:t>
            </w:r>
            <w:r w:rsidRPr="00923308">
              <w:rPr>
                <w:rFonts w:asciiTheme="minorEastAsia" w:hAnsiTheme="minorEastAsia" w:hint="eastAsia"/>
                <w:sz w:val="20"/>
                <w:szCs w:val="20"/>
              </w:rPr>
              <w:t>每季度后向AMECO提供当季实际使用的</w:t>
            </w:r>
            <w:proofErr w:type="gramStart"/>
            <w:r w:rsidRPr="00923308">
              <w:rPr>
                <w:rFonts w:asciiTheme="minorEastAsia" w:hAnsiTheme="minorEastAsia" w:hint="eastAsia"/>
                <w:sz w:val="20"/>
                <w:szCs w:val="20"/>
              </w:rPr>
              <w:t>云资源</w:t>
            </w:r>
            <w:proofErr w:type="gramEnd"/>
            <w:r w:rsidRPr="00923308">
              <w:rPr>
                <w:rFonts w:asciiTheme="minorEastAsia" w:hAnsiTheme="minorEastAsia" w:hint="eastAsia"/>
                <w:sz w:val="20"/>
                <w:szCs w:val="20"/>
              </w:rPr>
              <w:t>费用清单及云专线带宽费用清单。服务无需预先充值，支持后付款，不设最低消费限制。</w:t>
            </w:r>
          </w:p>
          <w:p w14:paraId="04F08321" w14:textId="77777777" w:rsidR="00455AF9" w:rsidRPr="00923308" w:rsidRDefault="00455AF9" w:rsidP="009A2571">
            <w:pPr>
              <w:rPr>
                <w:rFonts w:asciiTheme="minorEastAsia" w:hAnsiTheme="minorEastAsia" w:hint="eastAsia"/>
                <w:sz w:val="20"/>
                <w:szCs w:val="20"/>
              </w:rPr>
            </w:pPr>
            <w:r w:rsidRPr="00923308">
              <w:rPr>
                <w:rFonts w:asciiTheme="minorEastAsia" w:hAnsiTheme="minorEastAsia" w:hint="eastAsia"/>
                <w:color w:val="000000"/>
                <w:kern w:val="0"/>
                <w:sz w:val="20"/>
                <w:szCs w:val="20"/>
              </w:rPr>
              <w:t>★</w:t>
            </w:r>
            <w:r w:rsidRPr="00923308">
              <w:rPr>
                <w:rFonts w:asciiTheme="minorEastAsia" w:hAnsiTheme="minorEastAsia" w:hint="eastAsia"/>
                <w:sz w:val="20"/>
                <w:szCs w:val="20"/>
              </w:rPr>
              <w:t>一次性实施服务费在首次季度付款时全部结清。</w:t>
            </w:r>
          </w:p>
          <w:p w14:paraId="19E33978" w14:textId="77777777" w:rsidR="00455AF9" w:rsidRPr="00923308" w:rsidRDefault="00455AF9" w:rsidP="009A2571">
            <w:pPr>
              <w:rPr>
                <w:rFonts w:asciiTheme="minorEastAsia" w:hAnsiTheme="minorEastAsia" w:hint="eastAsia"/>
                <w:sz w:val="20"/>
                <w:szCs w:val="20"/>
              </w:rPr>
            </w:pPr>
          </w:p>
        </w:tc>
        <w:tc>
          <w:tcPr>
            <w:tcW w:w="761" w:type="dxa"/>
          </w:tcPr>
          <w:p w14:paraId="3D207813" w14:textId="330F91D3" w:rsidR="00455AF9" w:rsidRPr="00920338" w:rsidRDefault="00455AF9" w:rsidP="009A2571">
            <w:pPr>
              <w:spacing w:line="360" w:lineRule="auto"/>
              <w:jc w:val="center"/>
              <w:rPr>
                <w:rFonts w:hint="eastAsia"/>
                <w:sz w:val="22"/>
              </w:rPr>
            </w:pPr>
            <w:r>
              <w:rPr>
                <w:rFonts w:hint="eastAsia"/>
                <w:sz w:val="22"/>
              </w:rPr>
              <w:t>满足</w:t>
            </w:r>
          </w:p>
        </w:tc>
        <w:tc>
          <w:tcPr>
            <w:tcW w:w="2683" w:type="dxa"/>
          </w:tcPr>
          <w:p w14:paraId="21AB55AF" w14:textId="2701677D" w:rsidR="00455AF9" w:rsidRPr="00920338" w:rsidRDefault="00455AF9" w:rsidP="009A2571">
            <w:pPr>
              <w:spacing w:line="360" w:lineRule="auto"/>
              <w:rPr>
                <w:rFonts w:hint="eastAsia"/>
                <w:sz w:val="22"/>
              </w:rPr>
            </w:pPr>
            <w:r>
              <w:rPr>
                <w:rFonts w:hint="eastAsia"/>
                <w:sz w:val="22"/>
              </w:rPr>
              <w:t>商务应答</w:t>
            </w:r>
          </w:p>
        </w:tc>
      </w:tr>
      <w:tr w:rsidR="00455AF9" w:rsidRPr="00920338" w14:paraId="10D34B5B" w14:textId="77777777" w:rsidTr="009A2571">
        <w:tc>
          <w:tcPr>
            <w:tcW w:w="543" w:type="dxa"/>
          </w:tcPr>
          <w:p w14:paraId="196AE618" w14:textId="77777777" w:rsidR="00455AF9" w:rsidRPr="00920338" w:rsidRDefault="00455AF9" w:rsidP="009A2571">
            <w:pPr>
              <w:spacing w:line="360" w:lineRule="auto"/>
              <w:jc w:val="center"/>
              <w:rPr>
                <w:rFonts w:hint="eastAsia"/>
                <w:sz w:val="22"/>
              </w:rPr>
            </w:pPr>
            <w:r>
              <w:rPr>
                <w:rFonts w:hint="eastAsia"/>
                <w:sz w:val="22"/>
              </w:rPr>
              <w:t>2</w:t>
            </w:r>
          </w:p>
        </w:tc>
        <w:tc>
          <w:tcPr>
            <w:tcW w:w="5681" w:type="dxa"/>
          </w:tcPr>
          <w:p w14:paraId="3509DEEA" w14:textId="77777777" w:rsidR="00455AF9" w:rsidRPr="00923308" w:rsidRDefault="00455AF9" w:rsidP="009A2571">
            <w:pPr>
              <w:rPr>
                <w:rFonts w:asciiTheme="minorEastAsia" w:hAnsiTheme="minorEastAsia" w:hint="eastAsia"/>
                <w:sz w:val="20"/>
                <w:szCs w:val="20"/>
              </w:rPr>
            </w:pPr>
            <w:r w:rsidRPr="00923308">
              <w:rPr>
                <w:rFonts w:asciiTheme="minorEastAsia" w:hAnsiTheme="minorEastAsia" w:hint="eastAsia"/>
                <w:color w:val="000000"/>
                <w:kern w:val="0"/>
                <w:sz w:val="20"/>
                <w:szCs w:val="20"/>
              </w:rPr>
              <w:t>★</w:t>
            </w:r>
            <w:r w:rsidRPr="00923308">
              <w:rPr>
                <w:rFonts w:asciiTheme="minorEastAsia" w:hAnsiTheme="minorEastAsia"/>
                <w:sz w:val="20"/>
                <w:szCs w:val="20"/>
              </w:rPr>
              <w:t>5</w:t>
            </w:r>
            <w:r w:rsidRPr="00923308">
              <w:rPr>
                <w:rFonts w:asciiTheme="minorEastAsia" w:hAnsiTheme="minorEastAsia" w:hint="eastAsia"/>
                <w:sz w:val="20"/>
                <w:szCs w:val="20"/>
              </w:rPr>
              <w:t>.1</w:t>
            </w:r>
            <w:proofErr w:type="gramStart"/>
            <w:r w:rsidRPr="00923308">
              <w:rPr>
                <w:rFonts w:asciiTheme="minorEastAsia" w:hAnsiTheme="minorEastAsia" w:hint="eastAsia"/>
                <w:bCs/>
                <w:color w:val="000000"/>
                <w:kern w:val="0"/>
                <w:sz w:val="20"/>
                <w:szCs w:val="20"/>
              </w:rPr>
              <w:t>云资源</w:t>
            </w:r>
            <w:proofErr w:type="gramEnd"/>
            <w:r w:rsidRPr="00923308">
              <w:rPr>
                <w:rFonts w:asciiTheme="minorEastAsia" w:hAnsiTheme="minorEastAsia" w:hint="eastAsia"/>
                <w:bCs/>
                <w:color w:val="000000"/>
                <w:kern w:val="0"/>
                <w:sz w:val="20"/>
                <w:szCs w:val="20"/>
              </w:rPr>
              <w:t>固定折扣期限内的固定折扣，供应商不得以任何原因在期限内上涨。请竞投人提供书面承诺</w:t>
            </w:r>
          </w:p>
        </w:tc>
        <w:tc>
          <w:tcPr>
            <w:tcW w:w="761" w:type="dxa"/>
          </w:tcPr>
          <w:p w14:paraId="56B999B0" w14:textId="57ADCC55" w:rsidR="00455AF9" w:rsidRPr="00920338" w:rsidRDefault="00455AF9" w:rsidP="009A2571">
            <w:pPr>
              <w:spacing w:line="360" w:lineRule="auto"/>
              <w:jc w:val="center"/>
              <w:rPr>
                <w:rFonts w:hint="eastAsia"/>
                <w:sz w:val="22"/>
              </w:rPr>
            </w:pPr>
            <w:r>
              <w:rPr>
                <w:rFonts w:hint="eastAsia"/>
                <w:sz w:val="22"/>
              </w:rPr>
              <w:t>满足</w:t>
            </w:r>
          </w:p>
        </w:tc>
        <w:tc>
          <w:tcPr>
            <w:tcW w:w="2683" w:type="dxa"/>
          </w:tcPr>
          <w:p w14:paraId="2949D73F" w14:textId="4C96010C" w:rsidR="00455AF9" w:rsidRPr="00920338" w:rsidRDefault="00455AF9" w:rsidP="009A2571">
            <w:pPr>
              <w:spacing w:line="360" w:lineRule="auto"/>
              <w:rPr>
                <w:rFonts w:hint="eastAsia"/>
                <w:sz w:val="22"/>
              </w:rPr>
            </w:pPr>
            <w:r>
              <w:rPr>
                <w:rFonts w:hint="eastAsia"/>
                <w:sz w:val="22"/>
              </w:rPr>
              <w:t>商务应答</w:t>
            </w:r>
          </w:p>
        </w:tc>
      </w:tr>
      <w:tr w:rsidR="00455AF9" w:rsidRPr="00920338" w14:paraId="1AC50D2E" w14:textId="77777777" w:rsidTr="009A2571">
        <w:tc>
          <w:tcPr>
            <w:tcW w:w="543" w:type="dxa"/>
          </w:tcPr>
          <w:p w14:paraId="14FE8FC5" w14:textId="77777777" w:rsidR="00455AF9" w:rsidRPr="00920338" w:rsidRDefault="00455AF9" w:rsidP="009A2571">
            <w:pPr>
              <w:spacing w:line="360" w:lineRule="auto"/>
              <w:jc w:val="center"/>
              <w:rPr>
                <w:rFonts w:hint="eastAsia"/>
                <w:sz w:val="22"/>
              </w:rPr>
            </w:pPr>
            <w:r>
              <w:rPr>
                <w:rFonts w:hint="eastAsia"/>
                <w:sz w:val="22"/>
              </w:rPr>
              <w:t>3</w:t>
            </w:r>
          </w:p>
        </w:tc>
        <w:tc>
          <w:tcPr>
            <w:tcW w:w="5681" w:type="dxa"/>
          </w:tcPr>
          <w:p w14:paraId="04DE2467" w14:textId="77777777" w:rsidR="00455AF9" w:rsidRPr="00923308" w:rsidRDefault="00455AF9" w:rsidP="009A2571">
            <w:pPr>
              <w:autoSpaceDE w:val="0"/>
              <w:autoSpaceDN w:val="0"/>
              <w:adjustRightInd w:val="0"/>
              <w:spacing w:afterLines="50" w:after="156"/>
              <w:rPr>
                <w:rFonts w:asciiTheme="minorEastAsia" w:hAnsiTheme="minorEastAsia" w:hint="eastAsia"/>
                <w:b/>
                <w:color w:val="000000"/>
                <w:kern w:val="0"/>
                <w:sz w:val="20"/>
                <w:szCs w:val="20"/>
              </w:rPr>
            </w:pPr>
            <w:r w:rsidRPr="00923308">
              <w:rPr>
                <w:rFonts w:asciiTheme="minorEastAsia" w:hAnsiTheme="minorEastAsia" w:hint="eastAsia"/>
                <w:b/>
                <w:color w:val="000000"/>
                <w:kern w:val="0"/>
                <w:sz w:val="20"/>
                <w:szCs w:val="20"/>
              </w:rPr>
              <w:t>附件H</w:t>
            </w:r>
            <w:r w:rsidRPr="00923308">
              <w:rPr>
                <w:rFonts w:asciiTheme="minorEastAsia" w:hAnsiTheme="minorEastAsia"/>
                <w:b/>
                <w:color w:val="000000"/>
                <w:kern w:val="0"/>
                <w:sz w:val="20"/>
                <w:szCs w:val="20"/>
              </w:rPr>
              <w:t>:</w:t>
            </w:r>
            <w:r w:rsidRPr="00923308">
              <w:rPr>
                <w:rFonts w:asciiTheme="minorEastAsia" w:hAnsiTheme="minorEastAsia" w:hint="eastAsia"/>
                <w:b/>
                <w:color w:val="000000"/>
                <w:kern w:val="0"/>
                <w:sz w:val="20"/>
                <w:szCs w:val="20"/>
              </w:rPr>
              <w:t xml:space="preserve"> AMECO</w:t>
            </w:r>
            <w:proofErr w:type="gramStart"/>
            <w:r w:rsidRPr="00923308">
              <w:rPr>
                <w:rFonts w:asciiTheme="minorEastAsia" w:hAnsiTheme="minorEastAsia" w:hint="eastAsia"/>
                <w:b/>
                <w:color w:val="000000"/>
                <w:kern w:val="0"/>
                <w:sz w:val="20"/>
                <w:szCs w:val="20"/>
              </w:rPr>
              <w:t>主容灾云</w:t>
            </w:r>
            <w:proofErr w:type="gramEnd"/>
            <w:r w:rsidRPr="00923308">
              <w:rPr>
                <w:rFonts w:asciiTheme="minorEastAsia" w:hAnsiTheme="minorEastAsia" w:hint="eastAsia"/>
                <w:b/>
                <w:color w:val="000000"/>
                <w:kern w:val="0"/>
                <w:sz w:val="20"/>
                <w:szCs w:val="20"/>
              </w:rPr>
              <w:t>与GPU云端资源池建设项目技术要求</w:t>
            </w:r>
          </w:p>
          <w:p w14:paraId="592740DC" w14:textId="77777777" w:rsidR="00455AF9" w:rsidRPr="00923308" w:rsidRDefault="00455AF9" w:rsidP="009A2571">
            <w:pPr>
              <w:autoSpaceDE w:val="0"/>
              <w:autoSpaceDN w:val="0"/>
              <w:adjustRightInd w:val="0"/>
              <w:spacing w:line="360" w:lineRule="exact"/>
              <w:rPr>
                <w:rFonts w:asciiTheme="minorEastAsia" w:hAnsiTheme="minorEastAsia" w:hint="eastAsia"/>
                <w:bCs/>
                <w:color w:val="000000"/>
                <w:kern w:val="0"/>
                <w:sz w:val="20"/>
                <w:szCs w:val="20"/>
              </w:rPr>
            </w:pPr>
            <w:r w:rsidRPr="00923308">
              <w:rPr>
                <w:rFonts w:asciiTheme="minorEastAsia" w:hAnsiTheme="minorEastAsia" w:hint="eastAsia"/>
                <w:bCs/>
                <w:color w:val="000000"/>
                <w:kern w:val="0"/>
                <w:sz w:val="20"/>
                <w:szCs w:val="20"/>
              </w:rPr>
              <w:t>1.1  ★项目目标</w:t>
            </w:r>
          </w:p>
          <w:p w14:paraId="51F00FAA"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hint="eastAsia"/>
                <w:bCs/>
                <w:color w:val="000000"/>
                <w:kern w:val="0"/>
                <w:sz w:val="20"/>
                <w:szCs w:val="20"/>
              </w:rPr>
            </w:pPr>
            <w:r w:rsidRPr="00923308">
              <w:rPr>
                <w:rFonts w:asciiTheme="minorEastAsia" w:hAnsiTheme="minorEastAsia" w:cs="Arial" w:hint="eastAsia"/>
                <w:bCs/>
                <w:color w:val="000000"/>
                <w:kern w:val="0"/>
                <w:sz w:val="20"/>
                <w:szCs w:val="20"/>
              </w:rPr>
              <w:t>1)</w:t>
            </w:r>
            <w:r w:rsidRPr="00923308">
              <w:rPr>
                <w:rFonts w:asciiTheme="minorEastAsia" w:hAnsiTheme="minorEastAsia" w:cs="Arial" w:hint="eastAsia"/>
                <w:bCs/>
                <w:color w:val="000000"/>
                <w:kern w:val="0"/>
                <w:sz w:val="20"/>
                <w:szCs w:val="20"/>
              </w:rPr>
              <w:tab/>
              <w:t>提供一个</w:t>
            </w:r>
            <w:proofErr w:type="gramStart"/>
            <w:r w:rsidRPr="00923308">
              <w:rPr>
                <w:rFonts w:asciiTheme="minorEastAsia" w:hAnsiTheme="minorEastAsia" w:cs="Arial" w:hint="eastAsia"/>
                <w:bCs/>
                <w:color w:val="000000"/>
                <w:kern w:val="0"/>
                <w:sz w:val="20"/>
                <w:szCs w:val="20"/>
              </w:rPr>
              <w:t>公有云</w:t>
            </w:r>
            <w:proofErr w:type="gramEnd"/>
            <w:r w:rsidRPr="00923308">
              <w:rPr>
                <w:rFonts w:asciiTheme="minorEastAsia" w:hAnsiTheme="minorEastAsia" w:cs="Arial" w:hint="eastAsia"/>
                <w:bCs/>
                <w:color w:val="000000"/>
                <w:kern w:val="0"/>
                <w:sz w:val="20"/>
                <w:szCs w:val="20"/>
              </w:rPr>
              <w:t>平台，为</w:t>
            </w:r>
            <w:proofErr w:type="spellStart"/>
            <w:r w:rsidRPr="00923308">
              <w:rPr>
                <w:rFonts w:asciiTheme="minorEastAsia" w:hAnsiTheme="minorEastAsia" w:cs="Arial" w:hint="eastAsia"/>
                <w:bCs/>
                <w:color w:val="000000"/>
                <w:kern w:val="0"/>
                <w:sz w:val="20"/>
                <w:szCs w:val="20"/>
              </w:rPr>
              <w:t>Ameco</w:t>
            </w:r>
            <w:proofErr w:type="spellEnd"/>
            <w:r w:rsidRPr="00923308">
              <w:rPr>
                <w:rFonts w:asciiTheme="minorEastAsia" w:hAnsiTheme="minorEastAsia" w:cs="Arial" w:hint="eastAsia"/>
                <w:bCs/>
                <w:color w:val="000000"/>
                <w:kern w:val="0"/>
                <w:sz w:val="20"/>
                <w:szCs w:val="20"/>
              </w:rPr>
              <w:t>提供固定折扣的该</w:t>
            </w:r>
            <w:proofErr w:type="gramStart"/>
            <w:r w:rsidRPr="00923308">
              <w:rPr>
                <w:rFonts w:asciiTheme="minorEastAsia" w:hAnsiTheme="minorEastAsia" w:cs="Arial" w:hint="eastAsia"/>
                <w:bCs/>
                <w:color w:val="000000"/>
                <w:kern w:val="0"/>
                <w:sz w:val="20"/>
                <w:szCs w:val="20"/>
              </w:rPr>
              <w:t>公有云</w:t>
            </w:r>
            <w:proofErr w:type="gramEnd"/>
            <w:r w:rsidRPr="00923308">
              <w:rPr>
                <w:rFonts w:asciiTheme="minorEastAsia" w:hAnsiTheme="minorEastAsia" w:cs="Arial" w:hint="eastAsia"/>
                <w:bCs/>
                <w:color w:val="000000"/>
                <w:kern w:val="0"/>
                <w:sz w:val="20"/>
                <w:szCs w:val="20"/>
              </w:rPr>
              <w:lastRenderedPageBreak/>
              <w:t>平台所有资源（含</w:t>
            </w:r>
            <w:proofErr w:type="gramStart"/>
            <w:r w:rsidRPr="00923308">
              <w:rPr>
                <w:rFonts w:asciiTheme="minorEastAsia" w:hAnsiTheme="minorEastAsia" w:cs="Arial" w:hint="eastAsia"/>
                <w:bCs/>
                <w:color w:val="000000"/>
                <w:kern w:val="0"/>
                <w:sz w:val="20"/>
                <w:szCs w:val="20"/>
              </w:rPr>
              <w:t>公有云</w:t>
            </w:r>
            <w:proofErr w:type="gramEnd"/>
            <w:r w:rsidRPr="00923308">
              <w:rPr>
                <w:rFonts w:asciiTheme="minorEastAsia" w:hAnsiTheme="minorEastAsia" w:cs="Arial" w:hint="eastAsia"/>
                <w:bCs/>
                <w:color w:val="000000"/>
                <w:kern w:val="0"/>
                <w:sz w:val="20"/>
                <w:szCs w:val="20"/>
              </w:rPr>
              <w:t>平台全部官方服务，不含</w:t>
            </w:r>
            <w:proofErr w:type="gramStart"/>
            <w:r w:rsidRPr="00923308">
              <w:rPr>
                <w:rFonts w:asciiTheme="minorEastAsia" w:hAnsiTheme="minorEastAsia" w:cs="Arial" w:hint="eastAsia"/>
                <w:bCs/>
                <w:color w:val="000000"/>
                <w:kern w:val="0"/>
                <w:sz w:val="20"/>
                <w:szCs w:val="20"/>
              </w:rPr>
              <w:t>云市场</w:t>
            </w:r>
            <w:proofErr w:type="gramEnd"/>
            <w:r w:rsidRPr="00923308">
              <w:rPr>
                <w:rFonts w:asciiTheme="minorEastAsia" w:hAnsiTheme="minorEastAsia" w:cs="Arial" w:hint="eastAsia"/>
                <w:bCs/>
                <w:color w:val="000000"/>
                <w:kern w:val="0"/>
                <w:sz w:val="20"/>
                <w:szCs w:val="20"/>
              </w:rPr>
              <w:t>等第三方服务）；</w:t>
            </w:r>
          </w:p>
          <w:p w14:paraId="0195BB23" w14:textId="77777777" w:rsidR="00455AF9" w:rsidRPr="00923308" w:rsidRDefault="00455AF9" w:rsidP="009A2571">
            <w:pPr>
              <w:autoSpaceDE w:val="0"/>
              <w:autoSpaceDN w:val="0"/>
              <w:adjustRightInd w:val="0"/>
              <w:spacing w:line="360" w:lineRule="exact"/>
              <w:rPr>
                <w:rFonts w:asciiTheme="minorEastAsia" w:hAnsiTheme="minorEastAsia" w:hint="eastAsia"/>
                <w:bCs/>
                <w:color w:val="000000"/>
                <w:kern w:val="0"/>
                <w:sz w:val="20"/>
                <w:szCs w:val="20"/>
              </w:rPr>
            </w:pPr>
            <w:r w:rsidRPr="00923308">
              <w:rPr>
                <w:rFonts w:asciiTheme="minorEastAsia" w:hAnsiTheme="minorEastAsia" w:hint="eastAsia"/>
                <w:bCs/>
                <w:color w:val="000000"/>
                <w:kern w:val="0"/>
                <w:sz w:val="20"/>
                <w:szCs w:val="20"/>
              </w:rPr>
              <w:t>2)</w:t>
            </w:r>
            <w:r w:rsidRPr="00923308">
              <w:rPr>
                <w:rFonts w:asciiTheme="minorEastAsia" w:hAnsiTheme="minorEastAsia" w:hint="eastAsia"/>
                <w:bCs/>
                <w:color w:val="000000"/>
                <w:kern w:val="0"/>
                <w:sz w:val="20"/>
                <w:szCs w:val="20"/>
              </w:rPr>
              <w:tab/>
              <w:t>为</w:t>
            </w:r>
            <w:proofErr w:type="spellStart"/>
            <w:r w:rsidRPr="00923308">
              <w:rPr>
                <w:rFonts w:asciiTheme="minorEastAsia" w:hAnsiTheme="minorEastAsia" w:hint="eastAsia"/>
                <w:bCs/>
                <w:color w:val="000000"/>
                <w:kern w:val="0"/>
                <w:sz w:val="20"/>
                <w:szCs w:val="20"/>
              </w:rPr>
              <w:t>Ameco</w:t>
            </w:r>
            <w:proofErr w:type="spellEnd"/>
            <w:r w:rsidRPr="00923308">
              <w:rPr>
                <w:rFonts w:asciiTheme="minorEastAsia" w:hAnsiTheme="minorEastAsia" w:hint="eastAsia"/>
                <w:bCs/>
                <w:color w:val="000000"/>
                <w:kern w:val="0"/>
                <w:sz w:val="20"/>
                <w:szCs w:val="20"/>
              </w:rPr>
              <w:t>建设云专线；</w:t>
            </w:r>
          </w:p>
          <w:p w14:paraId="6838E10A"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hint="eastAsia"/>
                <w:bCs/>
                <w:color w:val="000000"/>
                <w:kern w:val="0"/>
                <w:sz w:val="20"/>
                <w:szCs w:val="20"/>
              </w:rPr>
            </w:pPr>
            <w:r w:rsidRPr="00923308">
              <w:rPr>
                <w:rFonts w:asciiTheme="minorEastAsia" w:hAnsiTheme="minorEastAsia" w:cs="Arial" w:hint="eastAsia"/>
                <w:bCs/>
                <w:color w:val="000000"/>
                <w:kern w:val="0"/>
                <w:sz w:val="20"/>
                <w:szCs w:val="20"/>
              </w:rPr>
              <w:t>3)</w:t>
            </w:r>
            <w:r w:rsidRPr="00923308">
              <w:rPr>
                <w:rFonts w:asciiTheme="minorEastAsia" w:hAnsiTheme="minorEastAsia" w:cs="Arial" w:hint="eastAsia"/>
                <w:bCs/>
                <w:color w:val="000000"/>
                <w:kern w:val="0"/>
                <w:sz w:val="20"/>
                <w:szCs w:val="20"/>
              </w:rPr>
              <w:tab/>
              <w:t>为</w:t>
            </w:r>
            <w:proofErr w:type="spellStart"/>
            <w:r w:rsidRPr="00923308">
              <w:rPr>
                <w:rFonts w:asciiTheme="minorEastAsia" w:hAnsiTheme="minorEastAsia" w:cs="Arial" w:hint="eastAsia"/>
                <w:bCs/>
                <w:color w:val="000000"/>
                <w:kern w:val="0"/>
                <w:sz w:val="20"/>
                <w:szCs w:val="20"/>
              </w:rPr>
              <w:t>Ameco</w:t>
            </w:r>
            <w:proofErr w:type="spellEnd"/>
            <w:r w:rsidRPr="00923308">
              <w:rPr>
                <w:rFonts w:asciiTheme="minorEastAsia" w:hAnsiTheme="minorEastAsia" w:cs="Arial" w:hint="eastAsia"/>
                <w:bCs/>
                <w:color w:val="000000"/>
                <w:kern w:val="0"/>
                <w:sz w:val="20"/>
                <w:szCs w:val="20"/>
              </w:rPr>
              <w:t>提供云平台资源迁移服务；</w:t>
            </w:r>
          </w:p>
          <w:p w14:paraId="691E26BB"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hint="eastAsia"/>
                <w:bCs/>
                <w:color w:val="000000"/>
                <w:kern w:val="0"/>
                <w:sz w:val="20"/>
                <w:szCs w:val="20"/>
              </w:rPr>
            </w:pPr>
            <w:r w:rsidRPr="00923308">
              <w:rPr>
                <w:rFonts w:asciiTheme="minorEastAsia" w:hAnsiTheme="minorEastAsia" w:cs="Arial" w:hint="eastAsia"/>
                <w:bCs/>
                <w:color w:val="000000"/>
                <w:kern w:val="0"/>
                <w:sz w:val="20"/>
                <w:szCs w:val="20"/>
              </w:rPr>
              <w:t>4)</w:t>
            </w:r>
            <w:r w:rsidRPr="00923308">
              <w:rPr>
                <w:rFonts w:asciiTheme="minorEastAsia" w:hAnsiTheme="minorEastAsia" w:cs="Arial" w:hint="eastAsia"/>
                <w:bCs/>
                <w:color w:val="000000"/>
                <w:kern w:val="0"/>
                <w:sz w:val="20"/>
                <w:szCs w:val="20"/>
              </w:rPr>
              <w:tab/>
              <w:t>为</w:t>
            </w:r>
            <w:proofErr w:type="spellStart"/>
            <w:r w:rsidRPr="00923308">
              <w:rPr>
                <w:rFonts w:asciiTheme="minorEastAsia" w:hAnsiTheme="minorEastAsia" w:cs="Arial" w:hint="eastAsia"/>
                <w:bCs/>
                <w:color w:val="000000"/>
                <w:kern w:val="0"/>
                <w:sz w:val="20"/>
                <w:szCs w:val="20"/>
              </w:rPr>
              <w:t>Ameco</w:t>
            </w:r>
            <w:proofErr w:type="spellEnd"/>
            <w:r w:rsidRPr="00923308">
              <w:rPr>
                <w:rFonts w:asciiTheme="minorEastAsia" w:hAnsiTheme="minorEastAsia" w:cs="Arial" w:hint="eastAsia"/>
                <w:bCs/>
                <w:color w:val="000000"/>
                <w:kern w:val="0"/>
                <w:sz w:val="20"/>
                <w:szCs w:val="20"/>
              </w:rPr>
              <w:t>提供</w:t>
            </w:r>
            <w:proofErr w:type="gramStart"/>
            <w:r w:rsidRPr="00923308">
              <w:rPr>
                <w:rFonts w:asciiTheme="minorEastAsia" w:hAnsiTheme="minorEastAsia" w:cs="Arial" w:hint="eastAsia"/>
                <w:bCs/>
                <w:color w:val="000000"/>
                <w:kern w:val="0"/>
                <w:sz w:val="20"/>
                <w:szCs w:val="20"/>
              </w:rPr>
              <w:t>云信达容灾系统</w:t>
            </w:r>
            <w:proofErr w:type="gramEnd"/>
            <w:r w:rsidRPr="00923308">
              <w:rPr>
                <w:rFonts w:asciiTheme="minorEastAsia" w:hAnsiTheme="minorEastAsia" w:cs="Arial" w:hint="eastAsia"/>
                <w:bCs/>
                <w:color w:val="000000"/>
                <w:kern w:val="0"/>
                <w:sz w:val="20"/>
                <w:szCs w:val="20"/>
              </w:rPr>
              <w:t>迁移服务，或提供相同功能的</w:t>
            </w:r>
            <w:proofErr w:type="gramStart"/>
            <w:r w:rsidRPr="00923308">
              <w:rPr>
                <w:rFonts w:asciiTheme="minorEastAsia" w:hAnsiTheme="minorEastAsia" w:cs="Arial" w:hint="eastAsia"/>
                <w:bCs/>
                <w:color w:val="000000"/>
                <w:kern w:val="0"/>
                <w:sz w:val="20"/>
                <w:szCs w:val="20"/>
              </w:rPr>
              <w:t>混合云容灾</w:t>
            </w:r>
            <w:proofErr w:type="gramEnd"/>
            <w:r w:rsidRPr="00923308">
              <w:rPr>
                <w:rFonts w:asciiTheme="minorEastAsia" w:hAnsiTheme="minorEastAsia" w:cs="Arial" w:hint="eastAsia"/>
                <w:bCs/>
                <w:color w:val="000000"/>
                <w:kern w:val="0"/>
                <w:sz w:val="20"/>
                <w:szCs w:val="20"/>
              </w:rPr>
              <w:t>服务；</w:t>
            </w:r>
          </w:p>
          <w:p w14:paraId="44C0C107"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hint="eastAsia"/>
                <w:bCs/>
                <w:color w:val="000000"/>
                <w:kern w:val="0"/>
                <w:sz w:val="20"/>
                <w:szCs w:val="20"/>
              </w:rPr>
            </w:pPr>
            <w:r w:rsidRPr="00923308">
              <w:rPr>
                <w:rFonts w:asciiTheme="minorEastAsia" w:hAnsiTheme="minorEastAsia" w:cs="Arial" w:hint="eastAsia"/>
                <w:bCs/>
                <w:color w:val="000000"/>
                <w:kern w:val="0"/>
                <w:sz w:val="20"/>
                <w:szCs w:val="20"/>
              </w:rPr>
              <w:t>5)</w:t>
            </w:r>
            <w:r w:rsidRPr="00923308">
              <w:rPr>
                <w:rFonts w:asciiTheme="minorEastAsia" w:hAnsiTheme="minorEastAsia" w:cs="Arial" w:hint="eastAsia"/>
                <w:bCs/>
                <w:color w:val="000000"/>
                <w:kern w:val="0"/>
                <w:sz w:val="20"/>
                <w:szCs w:val="20"/>
              </w:rPr>
              <w:tab/>
              <w:t>为</w:t>
            </w:r>
            <w:proofErr w:type="spellStart"/>
            <w:r w:rsidRPr="00923308">
              <w:rPr>
                <w:rFonts w:asciiTheme="minorEastAsia" w:hAnsiTheme="minorEastAsia" w:cs="Arial" w:hint="eastAsia"/>
                <w:bCs/>
                <w:color w:val="000000"/>
                <w:kern w:val="0"/>
                <w:sz w:val="20"/>
                <w:szCs w:val="20"/>
              </w:rPr>
              <w:t>Ameco</w:t>
            </w:r>
            <w:proofErr w:type="spellEnd"/>
            <w:r w:rsidRPr="00923308">
              <w:rPr>
                <w:rFonts w:asciiTheme="minorEastAsia" w:hAnsiTheme="minorEastAsia" w:cs="Arial" w:hint="eastAsia"/>
                <w:bCs/>
                <w:color w:val="000000"/>
                <w:kern w:val="0"/>
                <w:sz w:val="20"/>
                <w:szCs w:val="20"/>
              </w:rPr>
              <w:t>建设GPU云端资源池；</w:t>
            </w:r>
          </w:p>
          <w:p w14:paraId="31BA155E"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hint="eastAsia"/>
                <w:bCs/>
                <w:color w:val="000000"/>
                <w:kern w:val="0"/>
                <w:sz w:val="20"/>
                <w:szCs w:val="20"/>
              </w:rPr>
            </w:pPr>
            <w:r w:rsidRPr="00923308">
              <w:rPr>
                <w:rFonts w:asciiTheme="minorEastAsia" w:hAnsiTheme="minorEastAsia" w:cs="Arial" w:hint="eastAsia"/>
                <w:bCs/>
                <w:color w:val="000000"/>
                <w:kern w:val="0"/>
                <w:sz w:val="20"/>
                <w:szCs w:val="20"/>
              </w:rPr>
              <w:t>6)</w:t>
            </w:r>
            <w:r w:rsidRPr="00923308">
              <w:rPr>
                <w:rFonts w:asciiTheme="minorEastAsia" w:hAnsiTheme="minorEastAsia" w:cs="Arial" w:hint="eastAsia"/>
                <w:bCs/>
                <w:color w:val="000000"/>
                <w:kern w:val="0"/>
                <w:sz w:val="20"/>
                <w:szCs w:val="20"/>
              </w:rPr>
              <w:tab/>
              <w:t>在合同期内提供</w:t>
            </w:r>
            <w:proofErr w:type="gramStart"/>
            <w:r w:rsidRPr="00923308">
              <w:rPr>
                <w:rFonts w:asciiTheme="minorEastAsia" w:hAnsiTheme="minorEastAsia" w:cs="Arial" w:hint="eastAsia"/>
                <w:bCs/>
                <w:color w:val="000000"/>
                <w:kern w:val="0"/>
                <w:sz w:val="20"/>
                <w:szCs w:val="20"/>
              </w:rPr>
              <w:t>免费维保服务</w:t>
            </w:r>
            <w:proofErr w:type="gramEnd"/>
            <w:r w:rsidRPr="00923308">
              <w:rPr>
                <w:rFonts w:asciiTheme="minorEastAsia" w:hAnsiTheme="minorEastAsia" w:cs="Arial" w:hint="eastAsia"/>
                <w:bCs/>
                <w:color w:val="000000"/>
                <w:kern w:val="0"/>
                <w:sz w:val="20"/>
                <w:szCs w:val="20"/>
              </w:rPr>
              <w:t>；</w:t>
            </w:r>
          </w:p>
        </w:tc>
        <w:tc>
          <w:tcPr>
            <w:tcW w:w="761" w:type="dxa"/>
          </w:tcPr>
          <w:p w14:paraId="4AD2793C" w14:textId="4184C78C" w:rsidR="00455AF9" w:rsidRPr="00920338" w:rsidRDefault="00455AF9" w:rsidP="009A2571">
            <w:pPr>
              <w:spacing w:line="360" w:lineRule="auto"/>
              <w:jc w:val="center"/>
              <w:rPr>
                <w:rFonts w:hint="eastAsia"/>
                <w:sz w:val="22"/>
              </w:rPr>
            </w:pPr>
            <w:r>
              <w:rPr>
                <w:rFonts w:hint="eastAsia"/>
                <w:sz w:val="22"/>
              </w:rPr>
              <w:lastRenderedPageBreak/>
              <w:t>满足</w:t>
            </w:r>
          </w:p>
        </w:tc>
        <w:tc>
          <w:tcPr>
            <w:tcW w:w="2683" w:type="dxa"/>
          </w:tcPr>
          <w:p w14:paraId="6A8670A0" w14:textId="7975092B" w:rsidR="00B25F97" w:rsidRDefault="00B25F97" w:rsidP="00B25F97">
            <w:pPr>
              <w:spacing w:line="360" w:lineRule="auto"/>
              <w:rPr>
                <w:rFonts w:hint="eastAsia"/>
                <w:sz w:val="22"/>
              </w:rPr>
            </w:pPr>
            <w:r>
              <w:rPr>
                <w:rFonts w:hint="eastAsia"/>
                <w:sz w:val="22"/>
              </w:rPr>
              <w:t>详细</w:t>
            </w:r>
            <w:proofErr w:type="gramStart"/>
            <w:r>
              <w:rPr>
                <w:rFonts w:hint="eastAsia"/>
                <w:sz w:val="22"/>
              </w:rPr>
              <w:t>应答见</w:t>
            </w:r>
            <w:proofErr w:type="gramEnd"/>
            <w:r>
              <w:rPr>
                <w:rFonts w:hint="eastAsia"/>
                <w:sz w:val="22"/>
              </w:rPr>
              <w:t>1.1项目目标</w:t>
            </w:r>
          </w:p>
          <w:p w14:paraId="3F1326E7" w14:textId="580247B9" w:rsidR="00B25F97" w:rsidRPr="00B25F97" w:rsidRDefault="00B25F97" w:rsidP="00B25F97">
            <w:pPr>
              <w:spacing w:line="360" w:lineRule="auto"/>
              <w:rPr>
                <w:rFonts w:hint="eastAsia"/>
                <w:sz w:val="22"/>
              </w:rPr>
            </w:pPr>
            <w:r w:rsidRPr="00B25F97">
              <w:rPr>
                <w:sz w:val="22"/>
              </w:rPr>
              <w:t xml:space="preserve">我们将全方位响应 </w:t>
            </w:r>
            <w:proofErr w:type="spellStart"/>
            <w:r w:rsidRPr="00B25F97">
              <w:rPr>
                <w:sz w:val="22"/>
              </w:rPr>
              <w:t>Ameco</w:t>
            </w:r>
            <w:proofErr w:type="spellEnd"/>
            <w:r w:rsidRPr="00B25F97">
              <w:rPr>
                <w:sz w:val="22"/>
              </w:rPr>
              <w:t xml:space="preserve"> 的需求。我们可为 </w:t>
            </w:r>
            <w:proofErr w:type="spellStart"/>
            <w:r w:rsidRPr="00B25F97">
              <w:rPr>
                <w:sz w:val="22"/>
              </w:rPr>
              <w:lastRenderedPageBreak/>
              <w:t>Ameco</w:t>
            </w:r>
            <w:proofErr w:type="spellEnd"/>
            <w:r w:rsidRPr="00B25F97">
              <w:rPr>
                <w:sz w:val="22"/>
              </w:rPr>
              <w:t xml:space="preserve"> </w:t>
            </w:r>
            <w:proofErr w:type="gramStart"/>
            <w:r w:rsidRPr="00B25F97">
              <w:rPr>
                <w:sz w:val="22"/>
              </w:rPr>
              <w:t>接入华</w:t>
            </w:r>
            <w:proofErr w:type="gramEnd"/>
            <w:r w:rsidRPr="00B25F97">
              <w:rPr>
                <w:sz w:val="22"/>
              </w:rPr>
              <w:t>为云平台，并提供</w:t>
            </w:r>
            <w:proofErr w:type="gramStart"/>
            <w:r w:rsidRPr="00B25F97">
              <w:rPr>
                <w:sz w:val="22"/>
              </w:rPr>
              <w:t>公有云</w:t>
            </w:r>
            <w:proofErr w:type="gramEnd"/>
            <w:r w:rsidRPr="00B25F97">
              <w:rPr>
                <w:sz w:val="22"/>
              </w:rPr>
              <w:t xml:space="preserve">平台全资源（官方服务）的固定折扣，保障资源成本可控；凭借成熟的网络架构能力，为 </w:t>
            </w:r>
            <w:proofErr w:type="spellStart"/>
            <w:r w:rsidRPr="00B25F97">
              <w:rPr>
                <w:sz w:val="22"/>
              </w:rPr>
              <w:t>Ameco</w:t>
            </w:r>
            <w:proofErr w:type="spellEnd"/>
            <w:r w:rsidRPr="00B25F97">
              <w:rPr>
                <w:sz w:val="22"/>
              </w:rPr>
              <w:t xml:space="preserve"> 建设高速、稳定的云专线，确保数据传输安全高效；依托专业的迁移团队与工具，完成云平台资源及</w:t>
            </w:r>
            <w:proofErr w:type="gramStart"/>
            <w:r w:rsidRPr="00B25F97">
              <w:rPr>
                <w:sz w:val="22"/>
              </w:rPr>
              <w:t>云信达容灾系统</w:t>
            </w:r>
            <w:proofErr w:type="gramEnd"/>
            <w:r w:rsidRPr="00B25F97">
              <w:rPr>
                <w:sz w:val="22"/>
              </w:rPr>
              <w:t>迁移，或提供功能等效的</w:t>
            </w:r>
            <w:proofErr w:type="gramStart"/>
            <w:r w:rsidRPr="00B25F97">
              <w:rPr>
                <w:sz w:val="22"/>
              </w:rPr>
              <w:t>混合云容灾</w:t>
            </w:r>
            <w:proofErr w:type="gramEnd"/>
            <w:r w:rsidRPr="00B25F97">
              <w:rPr>
                <w:sz w:val="22"/>
              </w:rPr>
              <w:t xml:space="preserve">服务，保障业务连续性；同时，根据 </w:t>
            </w:r>
            <w:proofErr w:type="spellStart"/>
            <w:r w:rsidRPr="00B25F97">
              <w:rPr>
                <w:sz w:val="22"/>
              </w:rPr>
              <w:t>Ameco</w:t>
            </w:r>
            <w:proofErr w:type="spellEnd"/>
            <w:r w:rsidRPr="00B25F97">
              <w:rPr>
                <w:sz w:val="22"/>
              </w:rPr>
              <w:t xml:space="preserve"> 业务需求，定制化建设 GPU 云端资源池，提升计算性能；在整个合同期内，提供</w:t>
            </w:r>
            <w:proofErr w:type="gramStart"/>
            <w:r w:rsidRPr="00B25F97">
              <w:rPr>
                <w:sz w:val="22"/>
              </w:rPr>
              <w:t>免费维保服务</w:t>
            </w:r>
            <w:proofErr w:type="gramEnd"/>
            <w:r w:rsidRPr="00B25F97">
              <w:rPr>
                <w:sz w:val="22"/>
              </w:rPr>
              <w:t xml:space="preserve">，实时监测、快速响应，为 </w:t>
            </w:r>
            <w:proofErr w:type="spellStart"/>
            <w:r w:rsidRPr="00B25F97">
              <w:rPr>
                <w:sz w:val="22"/>
              </w:rPr>
              <w:t>Ameco</w:t>
            </w:r>
            <w:proofErr w:type="spellEnd"/>
            <w:r w:rsidRPr="00B25F97">
              <w:rPr>
                <w:sz w:val="22"/>
              </w:rPr>
              <w:t xml:space="preserve"> 的上云之旅保驾护航 。</w:t>
            </w:r>
            <w:r w:rsidRPr="00B25F97">
              <w:rPr>
                <w:rFonts w:ascii="Times New Roman" w:hAnsi="Times New Roman" w:cs="Times New Roman"/>
                <w:sz w:val="22"/>
              </w:rPr>
              <w:t>​</w:t>
            </w:r>
          </w:p>
          <w:p w14:paraId="0781D495" w14:textId="77777777" w:rsidR="00455AF9" w:rsidRPr="00B25F97" w:rsidRDefault="00455AF9" w:rsidP="009A2571">
            <w:pPr>
              <w:spacing w:line="360" w:lineRule="auto"/>
              <w:rPr>
                <w:rFonts w:hint="eastAsia"/>
                <w:sz w:val="22"/>
              </w:rPr>
            </w:pPr>
          </w:p>
        </w:tc>
      </w:tr>
      <w:tr w:rsidR="00455AF9" w:rsidRPr="00920338" w14:paraId="5343B2A9" w14:textId="77777777" w:rsidTr="009A2571">
        <w:tc>
          <w:tcPr>
            <w:tcW w:w="543" w:type="dxa"/>
          </w:tcPr>
          <w:p w14:paraId="14976844" w14:textId="77777777" w:rsidR="00455AF9" w:rsidRDefault="00455AF9" w:rsidP="009A2571">
            <w:pPr>
              <w:spacing w:line="360" w:lineRule="auto"/>
              <w:jc w:val="center"/>
              <w:rPr>
                <w:rFonts w:hint="eastAsia"/>
                <w:sz w:val="22"/>
              </w:rPr>
            </w:pPr>
            <w:r>
              <w:rPr>
                <w:rFonts w:hint="eastAsia"/>
                <w:sz w:val="22"/>
              </w:rPr>
              <w:lastRenderedPageBreak/>
              <w:t>4</w:t>
            </w:r>
          </w:p>
        </w:tc>
        <w:tc>
          <w:tcPr>
            <w:tcW w:w="5681" w:type="dxa"/>
          </w:tcPr>
          <w:p w14:paraId="0F87C848"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1.2  ★投标人资质要求</w:t>
            </w:r>
          </w:p>
          <w:p w14:paraId="671B21E2"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1）</w:t>
            </w:r>
            <w:r w:rsidRPr="00923308">
              <w:rPr>
                <w:rFonts w:asciiTheme="minorEastAsia" w:hAnsiTheme="minorEastAsia" w:hint="eastAsia"/>
                <w:color w:val="000000"/>
                <w:kern w:val="0"/>
                <w:sz w:val="20"/>
                <w:szCs w:val="20"/>
              </w:rPr>
              <w:tab/>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厂家直接参与，或具有</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厂家的长期代理资质（原件或扫描件加盖投标人公司公章）；</w:t>
            </w:r>
          </w:p>
          <w:p w14:paraId="16EFCFFE"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2）</w:t>
            </w:r>
            <w:r w:rsidRPr="00923308">
              <w:rPr>
                <w:rFonts w:asciiTheme="minorEastAsia" w:hAnsiTheme="minorEastAsia" w:hint="eastAsia"/>
                <w:color w:val="000000"/>
                <w:kern w:val="0"/>
                <w:sz w:val="20"/>
                <w:szCs w:val="20"/>
              </w:rPr>
              <w:tab/>
              <w:t>投标人须为本项目指定专职的项目经理；</w:t>
            </w:r>
          </w:p>
          <w:p w14:paraId="090B048A" w14:textId="77777777" w:rsidR="00455AF9" w:rsidRPr="00923308" w:rsidRDefault="00455AF9" w:rsidP="009A2571">
            <w:pPr>
              <w:autoSpaceDE w:val="0"/>
              <w:autoSpaceDN w:val="0"/>
              <w:adjustRightInd w:val="0"/>
              <w:spacing w:afterLines="50" w:after="156"/>
              <w:rPr>
                <w:rFonts w:asciiTheme="minorEastAsia" w:hAnsiTheme="minorEastAsia" w:hint="eastAsia"/>
                <w:b/>
                <w:bCs/>
                <w:color w:val="000000"/>
                <w:kern w:val="0"/>
                <w:sz w:val="20"/>
                <w:szCs w:val="20"/>
              </w:rPr>
            </w:pPr>
            <w:r w:rsidRPr="00923308">
              <w:rPr>
                <w:rFonts w:asciiTheme="minorEastAsia" w:hAnsiTheme="minorEastAsia" w:hint="eastAsia"/>
                <w:color w:val="000000"/>
                <w:kern w:val="0"/>
                <w:sz w:val="20"/>
                <w:szCs w:val="20"/>
              </w:rPr>
              <w:t>3）</w:t>
            </w:r>
            <w:r w:rsidRPr="00923308">
              <w:rPr>
                <w:rFonts w:asciiTheme="minorEastAsia" w:hAnsiTheme="minorEastAsia" w:hint="eastAsia"/>
                <w:color w:val="000000"/>
                <w:kern w:val="0"/>
                <w:sz w:val="20"/>
                <w:szCs w:val="20"/>
              </w:rPr>
              <w:tab/>
              <w:t>投标人能且只能选择一个</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平台投标</w:t>
            </w:r>
          </w:p>
        </w:tc>
        <w:tc>
          <w:tcPr>
            <w:tcW w:w="761" w:type="dxa"/>
          </w:tcPr>
          <w:p w14:paraId="06B9DDA1" w14:textId="1DE82A91" w:rsidR="00455AF9" w:rsidRPr="00920338" w:rsidRDefault="00455AF9" w:rsidP="009A2571">
            <w:pPr>
              <w:spacing w:line="360" w:lineRule="auto"/>
              <w:jc w:val="center"/>
              <w:rPr>
                <w:rFonts w:hint="eastAsia"/>
                <w:sz w:val="22"/>
              </w:rPr>
            </w:pPr>
            <w:r>
              <w:rPr>
                <w:rFonts w:hint="eastAsia"/>
                <w:sz w:val="22"/>
              </w:rPr>
              <w:t>满足</w:t>
            </w:r>
          </w:p>
        </w:tc>
        <w:tc>
          <w:tcPr>
            <w:tcW w:w="2683" w:type="dxa"/>
          </w:tcPr>
          <w:p w14:paraId="7A364B44" w14:textId="279674F5" w:rsidR="00B25F97" w:rsidRDefault="00B25F97" w:rsidP="009A2571">
            <w:pPr>
              <w:spacing w:line="360" w:lineRule="auto"/>
              <w:rPr>
                <w:rFonts w:hint="eastAsia"/>
                <w:sz w:val="22"/>
              </w:rPr>
            </w:pPr>
            <w:r>
              <w:rPr>
                <w:rFonts w:hint="eastAsia"/>
                <w:sz w:val="22"/>
              </w:rPr>
              <w:t>详细</w:t>
            </w:r>
            <w:proofErr w:type="gramStart"/>
            <w:r>
              <w:rPr>
                <w:rFonts w:hint="eastAsia"/>
                <w:sz w:val="22"/>
              </w:rPr>
              <w:t>应答见</w:t>
            </w:r>
            <w:proofErr w:type="gramEnd"/>
            <w:r>
              <w:rPr>
                <w:rFonts w:hint="eastAsia"/>
                <w:sz w:val="22"/>
              </w:rPr>
              <w:t>1.2投标人资质招标文件要求</w:t>
            </w:r>
          </w:p>
          <w:p w14:paraId="23782582" w14:textId="0CAD94E8" w:rsidR="00455AF9" w:rsidRPr="00920338" w:rsidRDefault="00B25F97" w:rsidP="009A2571">
            <w:pPr>
              <w:spacing w:line="360" w:lineRule="auto"/>
              <w:rPr>
                <w:rFonts w:hint="eastAsia"/>
                <w:sz w:val="22"/>
              </w:rPr>
            </w:pPr>
            <w:r w:rsidRPr="00B25F97">
              <w:rPr>
                <w:sz w:val="22"/>
              </w:rPr>
              <w:t>我们完全满足上述投标人资质要求。我方持有华为</w:t>
            </w:r>
            <w:proofErr w:type="gramStart"/>
            <w:r w:rsidRPr="00B25F97">
              <w:rPr>
                <w:sz w:val="22"/>
              </w:rPr>
              <w:t>云长期</w:t>
            </w:r>
            <w:proofErr w:type="gramEnd"/>
            <w:r w:rsidRPr="00B25F97">
              <w:rPr>
                <w:sz w:val="22"/>
              </w:rPr>
              <w:t>代理资质，资质文件原件完备，扫描件已加盖公司公章，可随时提供查验，确保合作的正规性</w:t>
            </w:r>
            <w:r w:rsidRPr="00B25F97">
              <w:rPr>
                <w:sz w:val="22"/>
              </w:rPr>
              <w:lastRenderedPageBreak/>
              <w:t>与可靠性；针对本项目，我们将指定经验丰富、具备专业资质的</w:t>
            </w:r>
            <w:proofErr w:type="gramStart"/>
            <w:r w:rsidRPr="00B25F97">
              <w:rPr>
                <w:sz w:val="22"/>
              </w:rPr>
              <w:t>专职项目</w:t>
            </w:r>
            <w:proofErr w:type="gramEnd"/>
            <w:r w:rsidRPr="00B25F97">
              <w:rPr>
                <w:sz w:val="22"/>
              </w:rPr>
              <w:t>经理，统筹协调各环节工作，保障项目高效推进；并且，我方坚定选择华为云平台投标，凭借华为</w:t>
            </w:r>
            <w:proofErr w:type="gramStart"/>
            <w:r w:rsidRPr="00B25F97">
              <w:rPr>
                <w:sz w:val="22"/>
              </w:rPr>
              <w:t>云强大</w:t>
            </w:r>
            <w:proofErr w:type="gramEnd"/>
            <w:r w:rsidRPr="00B25F97">
              <w:rPr>
                <w:sz w:val="22"/>
              </w:rPr>
              <w:t xml:space="preserve">的技术实力与丰富的产品服务体系，为 </w:t>
            </w:r>
            <w:proofErr w:type="spellStart"/>
            <w:r w:rsidRPr="00B25F97">
              <w:rPr>
                <w:sz w:val="22"/>
              </w:rPr>
              <w:t>Ameco</w:t>
            </w:r>
            <w:proofErr w:type="spellEnd"/>
            <w:r w:rsidRPr="00B25F97">
              <w:rPr>
                <w:sz w:val="22"/>
              </w:rPr>
              <w:t xml:space="preserve"> 提供全面、优质的上</w:t>
            </w:r>
            <w:proofErr w:type="gramStart"/>
            <w:r w:rsidRPr="00B25F97">
              <w:rPr>
                <w:sz w:val="22"/>
              </w:rPr>
              <w:t>云解决</w:t>
            </w:r>
            <w:proofErr w:type="gramEnd"/>
            <w:r w:rsidRPr="00B25F97">
              <w:rPr>
                <w:sz w:val="22"/>
              </w:rPr>
              <w:t>方案。</w:t>
            </w:r>
          </w:p>
        </w:tc>
      </w:tr>
      <w:tr w:rsidR="00455AF9" w:rsidRPr="00920338" w14:paraId="4B35C7E7" w14:textId="77777777" w:rsidTr="009A2571">
        <w:tc>
          <w:tcPr>
            <w:tcW w:w="543" w:type="dxa"/>
          </w:tcPr>
          <w:p w14:paraId="6729CD57" w14:textId="77777777" w:rsidR="00455AF9" w:rsidRDefault="00455AF9" w:rsidP="009A2571">
            <w:pPr>
              <w:spacing w:line="360" w:lineRule="auto"/>
              <w:jc w:val="center"/>
              <w:rPr>
                <w:rFonts w:hint="eastAsia"/>
                <w:sz w:val="22"/>
              </w:rPr>
            </w:pPr>
            <w:r>
              <w:rPr>
                <w:rFonts w:hint="eastAsia"/>
                <w:sz w:val="22"/>
              </w:rPr>
              <w:lastRenderedPageBreak/>
              <w:t>5</w:t>
            </w:r>
          </w:p>
        </w:tc>
        <w:tc>
          <w:tcPr>
            <w:tcW w:w="5681" w:type="dxa"/>
          </w:tcPr>
          <w:p w14:paraId="49B77B8A"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1.3  ★</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账号要求</w:t>
            </w:r>
          </w:p>
          <w:p w14:paraId="1F0B3D6B"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在合同生效的7个工作日内向</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提供</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账号，并协助</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完成备案。</w:t>
            </w:r>
          </w:p>
        </w:tc>
        <w:tc>
          <w:tcPr>
            <w:tcW w:w="761" w:type="dxa"/>
          </w:tcPr>
          <w:p w14:paraId="0D3FF503" w14:textId="6EB5B4F2" w:rsidR="00455AF9" w:rsidRPr="00920338" w:rsidRDefault="00455AF9" w:rsidP="009A2571">
            <w:pPr>
              <w:spacing w:line="360" w:lineRule="auto"/>
              <w:jc w:val="center"/>
              <w:rPr>
                <w:rFonts w:hint="eastAsia"/>
                <w:sz w:val="22"/>
              </w:rPr>
            </w:pPr>
            <w:r>
              <w:rPr>
                <w:rFonts w:hint="eastAsia"/>
                <w:sz w:val="22"/>
              </w:rPr>
              <w:t>满足</w:t>
            </w:r>
          </w:p>
        </w:tc>
        <w:tc>
          <w:tcPr>
            <w:tcW w:w="2683" w:type="dxa"/>
          </w:tcPr>
          <w:p w14:paraId="69A71DF9" w14:textId="77B25646" w:rsidR="00455AF9" w:rsidRPr="00920338" w:rsidRDefault="00B25F97" w:rsidP="009A2571">
            <w:pPr>
              <w:spacing w:line="360" w:lineRule="auto"/>
              <w:rPr>
                <w:rFonts w:hint="eastAsia"/>
                <w:sz w:val="22"/>
              </w:rPr>
            </w:pPr>
            <w:r w:rsidRPr="00003E33">
              <w:rPr>
                <w:rFonts w:eastAsia="等线"/>
              </w:rPr>
              <w:t>在合同生效后的7个工作日内，</w:t>
            </w:r>
            <w:r>
              <w:rPr>
                <w:rFonts w:eastAsia="等线"/>
              </w:rPr>
              <w:t>我公司</w:t>
            </w:r>
            <w:r w:rsidRPr="00003E33">
              <w:rPr>
                <w:rFonts w:eastAsia="等线"/>
              </w:rPr>
              <w:t>将严格按照</w:t>
            </w:r>
            <w:r w:rsidRPr="006C6F6D">
              <w:rPr>
                <w:rFonts w:eastAsia="等线"/>
                <w:b/>
              </w:rPr>
              <w:t>招标文件要求</w:t>
            </w:r>
            <w:r w:rsidRPr="00003E33">
              <w:rPr>
                <w:rFonts w:eastAsia="等线"/>
              </w:rPr>
              <w:t>向</w:t>
            </w:r>
            <w:proofErr w:type="spellStart"/>
            <w:r w:rsidRPr="00003E33">
              <w:rPr>
                <w:rFonts w:eastAsia="等线"/>
              </w:rPr>
              <w:t>Ameco</w:t>
            </w:r>
            <w:proofErr w:type="spellEnd"/>
            <w:r w:rsidRPr="00003E33">
              <w:rPr>
                <w:rFonts w:eastAsia="等线"/>
              </w:rPr>
              <w:t>提供</w:t>
            </w:r>
            <w:proofErr w:type="gramStart"/>
            <w:r w:rsidRPr="00003E33">
              <w:rPr>
                <w:rFonts w:eastAsia="等线"/>
              </w:rPr>
              <w:t>公有云</w:t>
            </w:r>
            <w:proofErr w:type="gramEnd"/>
            <w:r w:rsidRPr="00003E33">
              <w:rPr>
                <w:rFonts w:eastAsia="等线"/>
              </w:rPr>
              <w:t>账号，并协助完成备案工作。首先，我司将成立专项小组，在合同生效当日启动账号创建流程，依据</w:t>
            </w:r>
            <w:proofErr w:type="spellStart"/>
            <w:r w:rsidRPr="00003E33">
              <w:rPr>
                <w:rFonts w:eastAsia="等线"/>
              </w:rPr>
              <w:t>Ameco</w:t>
            </w:r>
            <w:proofErr w:type="spellEnd"/>
            <w:r w:rsidRPr="00003E33">
              <w:rPr>
                <w:rFonts w:eastAsia="等线"/>
              </w:rPr>
              <w:t>的业务需求与华为云账号管理规范，快速完成企业账号注册、实名认证等基础操作，并在3个工作日内完成账号主体信息录入与权限预配置，涵盖计算、存储、网络等基础服务权限，同时预留后续业务扩展的权限接口。随后，我司将在第4-6个工作日内，与</w:t>
            </w:r>
            <w:proofErr w:type="spellStart"/>
            <w:r w:rsidRPr="00003E33">
              <w:rPr>
                <w:rFonts w:eastAsia="等线"/>
              </w:rPr>
              <w:t>Ameco</w:t>
            </w:r>
            <w:proofErr w:type="spellEnd"/>
            <w:r w:rsidRPr="00003E33">
              <w:rPr>
                <w:rFonts w:eastAsia="等线"/>
              </w:rPr>
              <w:t>项目对接人确认账</w:t>
            </w:r>
            <w:r w:rsidRPr="00003E33">
              <w:rPr>
                <w:rFonts w:eastAsia="等线"/>
              </w:rPr>
              <w:lastRenderedPageBreak/>
              <w:t>号信息，包括账号名称、初始密码及权限范围，通过加密邮件与线下确认双重方式确保信息安全准确传递。在第7个工作日，我司将协助</w:t>
            </w:r>
            <w:proofErr w:type="spellStart"/>
            <w:r w:rsidRPr="00003E33">
              <w:rPr>
                <w:rFonts w:eastAsia="等线"/>
              </w:rPr>
              <w:t>Ameco</w:t>
            </w:r>
            <w:proofErr w:type="spellEnd"/>
            <w:r w:rsidRPr="00003E33">
              <w:rPr>
                <w:rFonts w:eastAsia="等线"/>
              </w:rPr>
              <w:t>完成账号备案工作，凭借自身丰富的备案经验，提供详细的备案材料清单与填报指南，指导</w:t>
            </w:r>
            <w:proofErr w:type="spellStart"/>
            <w:r w:rsidRPr="00003E33">
              <w:rPr>
                <w:rFonts w:eastAsia="等线"/>
              </w:rPr>
              <w:t>Ameco</w:t>
            </w:r>
            <w:proofErr w:type="spellEnd"/>
            <w:r w:rsidRPr="00003E33">
              <w:rPr>
                <w:rFonts w:eastAsia="等线"/>
              </w:rPr>
              <w:t>准备企业资质、域名信息等备案资料，并通过华为云备案管理系统协助提交审核，实时跟踪备案进度，及时反馈审核结果与问题，确保备案流程顺利推进。通过系统化的流程与紧密的协作，我司将确保</w:t>
            </w:r>
            <w:proofErr w:type="gramStart"/>
            <w:r w:rsidRPr="00003E33">
              <w:rPr>
                <w:rFonts w:eastAsia="等线"/>
              </w:rPr>
              <w:t>公有云</w:t>
            </w:r>
            <w:proofErr w:type="gramEnd"/>
            <w:r w:rsidRPr="00003E33">
              <w:rPr>
                <w:rFonts w:eastAsia="等线"/>
              </w:rPr>
              <w:t>账号按时交付，并助力</w:t>
            </w:r>
            <w:proofErr w:type="spellStart"/>
            <w:r w:rsidRPr="00003E33">
              <w:rPr>
                <w:rFonts w:eastAsia="等线"/>
              </w:rPr>
              <w:t>Ameco</w:t>
            </w:r>
            <w:proofErr w:type="spellEnd"/>
            <w:r w:rsidRPr="00003E33">
              <w:rPr>
                <w:rFonts w:eastAsia="等线"/>
              </w:rPr>
              <w:t>高效完成备案，为后续</w:t>
            </w:r>
            <w:proofErr w:type="gramStart"/>
            <w:r w:rsidRPr="00003E33">
              <w:rPr>
                <w:rFonts w:eastAsia="等线"/>
              </w:rPr>
              <w:t>云服务</w:t>
            </w:r>
            <w:proofErr w:type="gramEnd"/>
            <w:r w:rsidRPr="00003E33">
              <w:rPr>
                <w:rFonts w:eastAsia="等线"/>
              </w:rPr>
              <w:t>使用奠定坚实基础。</w:t>
            </w:r>
          </w:p>
        </w:tc>
      </w:tr>
      <w:tr w:rsidR="00455AF9" w:rsidRPr="00920338" w14:paraId="146ACEE7" w14:textId="77777777" w:rsidTr="009A2571">
        <w:tc>
          <w:tcPr>
            <w:tcW w:w="543" w:type="dxa"/>
          </w:tcPr>
          <w:p w14:paraId="6942B8B7" w14:textId="77777777" w:rsidR="00455AF9" w:rsidRDefault="00455AF9" w:rsidP="009A2571">
            <w:pPr>
              <w:spacing w:line="360" w:lineRule="auto"/>
              <w:jc w:val="center"/>
              <w:rPr>
                <w:rFonts w:hint="eastAsia"/>
                <w:sz w:val="22"/>
              </w:rPr>
            </w:pPr>
          </w:p>
        </w:tc>
        <w:tc>
          <w:tcPr>
            <w:tcW w:w="5681" w:type="dxa"/>
          </w:tcPr>
          <w:p w14:paraId="3FB52F7A"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2  ★</w:t>
            </w:r>
            <w:proofErr w:type="gramStart"/>
            <w:r w:rsidRPr="00923308">
              <w:rPr>
                <w:rFonts w:asciiTheme="minorEastAsia" w:hAnsiTheme="minorEastAsia" w:hint="eastAsia"/>
                <w:color w:val="000000"/>
                <w:kern w:val="0"/>
                <w:sz w:val="20"/>
                <w:szCs w:val="20"/>
              </w:rPr>
              <w:t>云资源</w:t>
            </w:r>
            <w:proofErr w:type="gramEnd"/>
            <w:r w:rsidRPr="00923308">
              <w:rPr>
                <w:rFonts w:asciiTheme="minorEastAsia" w:hAnsiTheme="minorEastAsia" w:hint="eastAsia"/>
                <w:color w:val="000000"/>
                <w:kern w:val="0"/>
                <w:sz w:val="20"/>
                <w:szCs w:val="20"/>
              </w:rPr>
              <w:t>服务要求</w:t>
            </w:r>
          </w:p>
          <w:p w14:paraId="24EB43D9"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1）</w:t>
            </w:r>
            <w:r w:rsidRPr="00923308">
              <w:rPr>
                <w:rFonts w:asciiTheme="minorEastAsia" w:hAnsiTheme="minorEastAsia" w:hint="eastAsia"/>
                <w:color w:val="000000"/>
                <w:kern w:val="0"/>
                <w:sz w:val="20"/>
                <w:szCs w:val="20"/>
              </w:rPr>
              <w:tab/>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用“后付费”的方式以固定折扣使用</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资源，每季度后收到投标人提供的当季消费账单及发票后向投标人付款。首次付款前需要完成本项目专线开通及所有迁移实施服务；</w:t>
            </w:r>
          </w:p>
          <w:p w14:paraId="70969E37"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2）</w:t>
            </w:r>
            <w:r w:rsidRPr="00923308">
              <w:rPr>
                <w:rFonts w:asciiTheme="minorEastAsia" w:hAnsiTheme="minorEastAsia" w:hint="eastAsia"/>
                <w:color w:val="000000"/>
                <w:kern w:val="0"/>
                <w:sz w:val="20"/>
                <w:szCs w:val="20"/>
              </w:rPr>
              <w:tab/>
              <w:t>投标时投标人明确提供固定折扣率；</w:t>
            </w:r>
          </w:p>
          <w:p w14:paraId="5D40A1A2"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3）</w:t>
            </w:r>
            <w:r w:rsidRPr="00923308">
              <w:rPr>
                <w:rFonts w:asciiTheme="minorEastAsia" w:hAnsiTheme="minorEastAsia" w:hint="eastAsia"/>
                <w:color w:val="000000"/>
                <w:kern w:val="0"/>
                <w:sz w:val="20"/>
                <w:szCs w:val="20"/>
              </w:rPr>
              <w:tab/>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可不受限制的使用该</w:t>
            </w:r>
            <w:proofErr w:type="gramStart"/>
            <w:r w:rsidRPr="00923308">
              <w:rPr>
                <w:rFonts w:asciiTheme="minorEastAsia" w:hAnsiTheme="minorEastAsia" w:hint="eastAsia"/>
                <w:color w:val="000000"/>
                <w:kern w:val="0"/>
                <w:sz w:val="20"/>
                <w:szCs w:val="20"/>
              </w:rPr>
              <w:t>公有云平台所有云</w:t>
            </w:r>
            <w:proofErr w:type="gramEnd"/>
            <w:r w:rsidRPr="00923308">
              <w:rPr>
                <w:rFonts w:asciiTheme="minorEastAsia" w:hAnsiTheme="minorEastAsia" w:hint="eastAsia"/>
                <w:color w:val="000000"/>
                <w:kern w:val="0"/>
                <w:sz w:val="20"/>
                <w:szCs w:val="20"/>
              </w:rPr>
              <w:t>服务（含</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平台全部官方服务，不含</w:t>
            </w:r>
            <w:proofErr w:type="gramStart"/>
            <w:r w:rsidRPr="00923308">
              <w:rPr>
                <w:rFonts w:asciiTheme="minorEastAsia" w:hAnsiTheme="minorEastAsia" w:hint="eastAsia"/>
                <w:color w:val="000000"/>
                <w:kern w:val="0"/>
                <w:sz w:val="20"/>
                <w:szCs w:val="20"/>
              </w:rPr>
              <w:t>云市场</w:t>
            </w:r>
            <w:proofErr w:type="gramEnd"/>
            <w:r w:rsidRPr="00923308">
              <w:rPr>
                <w:rFonts w:asciiTheme="minorEastAsia" w:hAnsiTheme="minorEastAsia" w:hint="eastAsia"/>
                <w:color w:val="000000"/>
                <w:kern w:val="0"/>
                <w:sz w:val="20"/>
                <w:szCs w:val="20"/>
              </w:rPr>
              <w:t>等第三方服务）：不设置消费下限、上限、使用时长及其他限制；</w:t>
            </w:r>
          </w:p>
          <w:p w14:paraId="1385B539"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4）</w:t>
            </w:r>
            <w:r w:rsidRPr="00923308">
              <w:rPr>
                <w:rFonts w:asciiTheme="minorEastAsia" w:hAnsiTheme="minorEastAsia" w:hint="eastAsia"/>
                <w:color w:val="000000"/>
                <w:kern w:val="0"/>
                <w:sz w:val="20"/>
                <w:szCs w:val="20"/>
              </w:rPr>
              <w:tab/>
            </w:r>
            <w:proofErr w:type="gramStart"/>
            <w:r w:rsidRPr="00923308">
              <w:rPr>
                <w:rFonts w:asciiTheme="minorEastAsia" w:hAnsiTheme="minorEastAsia" w:hint="eastAsia"/>
                <w:color w:val="000000"/>
                <w:kern w:val="0"/>
                <w:sz w:val="20"/>
                <w:szCs w:val="20"/>
              </w:rPr>
              <w:t>云资源</w:t>
            </w:r>
            <w:proofErr w:type="gramEnd"/>
            <w:r w:rsidRPr="00923308">
              <w:rPr>
                <w:rFonts w:asciiTheme="minorEastAsia" w:hAnsiTheme="minorEastAsia" w:hint="eastAsia"/>
                <w:color w:val="000000"/>
                <w:kern w:val="0"/>
                <w:sz w:val="20"/>
                <w:szCs w:val="20"/>
              </w:rPr>
              <w:t>服务周期：合同生效之日起，至</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专线开通后满1年结束；</w:t>
            </w:r>
          </w:p>
          <w:p w14:paraId="0B85F85E"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5）</w:t>
            </w:r>
            <w:r w:rsidRPr="00923308">
              <w:rPr>
                <w:rFonts w:asciiTheme="minorEastAsia" w:hAnsiTheme="minorEastAsia" w:hint="eastAsia"/>
                <w:color w:val="000000"/>
                <w:kern w:val="0"/>
                <w:sz w:val="20"/>
                <w:szCs w:val="20"/>
              </w:rPr>
              <w:tab/>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专线由</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完成采购及部署，投标人配合</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完成</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专线的部署工作，投标人负责对应云端相关配置及</w:t>
            </w:r>
            <w:r w:rsidRPr="00923308">
              <w:rPr>
                <w:rFonts w:asciiTheme="minorEastAsia" w:hAnsiTheme="minorEastAsia" w:hint="eastAsia"/>
                <w:color w:val="000000"/>
                <w:kern w:val="0"/>
                <w:sz w:val="20"/>
                <w:szCs w:val="20"/>
              </w:rPr>
              <w:lastRenderedPageBreak/>
              <w:t>调试等；</w:t>
            </w:r>
          </w:p>
          <w:p w14:paraId="2D95EB84"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6）</w:t>
            </w:r>
            <w:r w:rsidRPr="00923308">
              <w:rPr>
                <w:rFonts w:asciiTheme="minorEastAsia" w:hAnsiTheme="minorEastAsia" w:hint="eastAsia"/>
                <w:color w:val="000000"/>
                <w:kern w:val="0"/>
                <w:sz w:val="20"/>
                <w:szCs w:val="20"/>
              </w:rPr>
              <w:tab/>
              <w:t>主流云资源价格：按“附件1.云资源清单”补充相关资源的“公有云平台对应资源规格名称”和“单价（每月原价）”（提供</w:t>
            </w:r>
            <w:proofErr w:type="gramStart"/>
            <w:r w:rsidRPr="00923308">
              <w:rPr>
                <w:rFonts w:asciiTheme="minorEastAsia" w:hAnsiTheme="minorEastAsia" w:hint="eastAsia"/>
                <w:color w:val="000000"/>
                <w:kern w:val="0"/>
                <w:sz w:val="20"/>
                <w:szCs w:val="20"/>
              </w:rPr>
              <w:t>官网截</w:t>
            </w:r>
            <w:proofErr w:type="gramEnd"/>
            <w:r w:rsidRPr="00923308">
              <w:rPr>
                <w:rFonts w:asciiTheme="minorEastAsia" w:hAnsiTheme="minorEastAsia" w:hint="eastAsia"/>
                <w:color w:val="000000"/>
                <w:kern w:val="0"/>
                <w:sz w:val="20"/>
                <w:szCs w:val="20"/>
              </w:rPr>
              <w:t>图）。若无对应规格，则提供满足要求的更高规格资源。将按“原价X数量X固定折扣”进行比价。附件1只用于本项目比价，不包含全部待迁移资源；</w:t>
            </w:r>
          </w:p>
          <w:p w14:paraId="6B78F7B9"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7）</w:t>
            </w:r>
            <w:r w:rsidRPr="00923308">
              <w:rPr>
                <w:rFonts w:asciiTheme="minorEastAsia" w:hAnsiTheme="minorEastAsia" w:hint="eastAsia"/>
                <w:color w:val="000000"/>
                <w:kern w:val="0"/>
                <w:sz w:val="20"/>
                <w:szCs w:val="20"/>
              </w:rPr>
              <w:tab/>
            </w:r>
            <w:proofErr w:type="gramStart"/>
            <w:r w:rsidRPr="00923308">
              <w:rPr>
                <w:rFonts w:asciiTheme="minorEastAsia" w:hAnsiTheme="minorEastAsia" w:hint="eastAsia"/>
                <w:color w:val="000000"/>
                <w:kern w:val="0"/>
                <w:sz w:val="20"/>
                <w:szCs w:val="20"/>
              </w:rPr>
              <w:t>云资源</w:t>
            </w:r>
            <w:proofErr w:type="gramEnd"/>
            <w:r w:rsidRPr="00923308">
              <w:rPr>
                <w:rFonts w:asciiTheme="minorEastAsia" w:hAnsiTheme="minorEastAsia" w:hint="eastAsia"/>
                <w:color w:val="000000"/>
                <w:kern w:val="0"/>
                <w:sz w:val="20"/>
                <w:szCs w:val="20"/>
              </w:rPr>
              <w:t>可用区：提供报价的</w:t>
            </w:r>
            <w:proofErr w:type="gramStart"/>
            <w:r w:rsidRPr="00923308">
              <w:rPr>
                <w:rFonts w:asciiTheme="minorEastAsia" w:hAnsiTheme="minorEastAsia" w:hint="eastAsia"/>
                <w:color w:val="000000"/>
                <w:kern w:val="0"/>
                <w:sz w:val="20"/>
                <w:szCs w:val="20"/>
              </w:rPr>
              <w:t>云资源</w:t>
            </w:r>
            <w:proofErr w:type="gramEnd"/>
            <w:r w:rsidRPr="00923308">
              <w:rPr>
                <w:rFonts w:asciiTheme="minorEastAsia" w:hAnsiTheme="minorEastAsia" w:hint="eastAsia"/>
                <w:color w:val="000000"/>
                <w:kern w:val="0"/>
                <w:sz w:val="20"/>
                <w:szCs w:val="20"/>
              </w:rPr>
              <w:t>及实际交付的</w:t>
            </w:r>
            <w:proofErr w:type="gramStart"/>
            <w:r w:rsidRPr="00923308">
              <w:rPr>
                <w:rFonts w:asciiTheme="minorEastAsia" w:hAnsiTheme="minorEastAsia" w:hint="eastAsia"/>
                <w:color w:val="000000"/>
                <w:kern w:val="0"/>
                <w:sz w:val="20"/>
                <w:szCs w:val="20"/>
              </w:rPr>
              <w:t>所有云资源</w:t>
            </w:r>
            <w:proofErr w:type="gramEnd"/>
            <w:r w:rsidRPr="00923308">
              <w:rPr>
                <w:rFonts w:asciiTheme="minorEastAsia" w:hAnsiTheme="minorEastAsia" w:hint="eastAsia"/>
                <w:color w:val="000000"/>
                <w:kern w:val="0"/>
                <w:sz w:val="20"/>
                <w:szCs w:val="20"/>
              </w:rPr>
              <w:t>在同一可用区；</w:t>
            </w:r>
            <w:proofErr w:type="gramStart"/>
            <w:r w:rsidRPr="00923308">
              <w:rPr>
                <w:rFonts w:asciiTheme="minorEastAsia" w:hAnsiTheme="minorEastAsia" w:hint="eastAsia"/>
                <w:color w:val="000000"/>
                <w:kern w:val="0"/>
                <w:sz w:val="20"/>
                <w:szCs w:val="20"/>
              </w:rPr>
              <w:t>云资源可用区</w:t>
            </w:r>
            <w:proofErr w:type="gramEnd"/>
            <w:r w:rsidRPr="00923308">
              <w:rPr>
                <w:rFonts w:asciiTheme="minorEastAsia" w:hAnsiTheme="minorEastAsia" w:hint="eastAsia"/>
                <w:color w:val="000000"/>
                <w:kern w:val="0"/>
                <w:sz w:val="20"/>
                <w:szCs w:val="20"/>
              </w:rPr>
              <w:t>距离</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本地机房直线距离至少为500公里；</w:t>
            </w:r>
          </w:p>
        </w:tc>
        <w:tc>
          <w:tcPr>
            <w:tcW w:w="761" w:type="dxa"/>
          </w:tcPr>
          <w:p w14:paraId="1AC46D12" w14:textId="4BEB9190" w:rsidR="00455AF9" w:rsidRPr="00920338" w:rsidRDefault="00455AF9" w:rsidP="009A2571">
            <w:pPr>
              <w:spacing w:line="360" w:lineRule="auto"/>
              <w:jc w:val="center"/>
              <w:rPr>
                <w:rFonts w:hint="eastAsia"/>
                <w:sz w:val="22"/>
              </w:rPr>
            </w:pPr>
            <w:r>
              <w:rPr>
                <w:rFonts w:hint="eastAsia"/>
                <w:sz w:val="22"/>
              </w:rPr>
              <w:lastRenderedPageBreak/>
              <w:t>满足</w:t>
            </w:r>
          </w:p>
        </w:tc>
        <w:tc>
          <w:tcPr>
            <w:tcW w:w="2683" w:type="dxa"/>
          </w:tcPr>
          <w:p w14:paraId="2B837FF3" w14:textId="6FFD447D" w:rsidR="00B25F97" w:rsidRDefault="00B25F97" w:rsidP="009A2571">
            <w:pPr>
              <w:spacing w:line="360" w:lineRule="auto"/>
              <w:rPr>
                <w:rFonts w:hint="eastAsia"/>
                <w:sz w:val="22"/>
              </w:rPr>
            </w:pPr>
            <w:r>
              <w:rPr>
                <w:rFonts w:hint="eastAsia"/>
                <w:sz w:val="22"/>
              </w:rPr>
              <w:t>详细</w:t>
            </w:r>
            <w:proofErr w:type="gramStart"/>
            <w:r>
              <w:rPr>
                <w:rFonts w:hint="eastAsia"/>
                <w:sz w:val="22"/>
              </w:rPr>
              <w:t>应答见</w:t>
            </w:r>
            <w:proofErr w:type="gramEnd"/>
            <w:r>
              <w:rPr>
                <w:rFonts w:hint="eastAsia"/>
                <w:sz w:val="22"/>
              </w:rPr>
              <w:t>2.投标人资质招标文件要求</w:t>
            </w:r>
          </w:p>
          <w:p w14:paraId="7C98FE90" w14:textId="2E37BE12" w:rsidR="00455AF9" w:rsidRPr="00920338" w:rsidRDefault="00B25F97" w:rsidP="009A2571">
            <w:pPr>
              <w:spacing w:line="360" w:lineRule="auto"/>
              <w:rPr>
                <w:rFonts w:hint="eastAsia"/>
                <w:sz w:val="22"/>
              </w:rPr>
            </w:pPr>
            <w:r w:rsidRPr="00B25F97">
              <w:rPr>
                <w:sz w:val="22"/>
              </w:rPr>
              <w:t>我们</w:t>
            </w:r>
            <w:proofErr w:type="gramStart"/>
            <w:r w:rsidRPr="00B25F97">
              <w:rPr>
                <w:sz w:val="22"/>
              </w:rPr>
              <w:t>完全响应</w:t>
            </w:r>
            <w:proofErr w:type="gramEnd"/>
            <w:r w:rsidRPr="00B25F97">
              <w:rPr>
                <w:sz w:val="22"/>
              </w:rPr>
              <w:t xml:space="preserve"> </w:t>
            </w:r>
            <w:proofErr w:type="spellStart"/>
            <w:r w:rsidRPr="00B25F97">
              <w:rPr>
                <w:sz w:val="22"/>
              </w:rPr>
              <w:t>Ameco</w:t>
            </w:r>
            <w:proofErr w:type="spellEnd"/>
            <w:r w:rsidRPr="00B25F97">
              <w:rPr>
                <w:sz w:val="22"/>
              </w:rPr>
              <w:t xml:space="preserve"> 的</w:t>
            </w:r>
            <w:proofErr w:type="gramStart"/>
            <w:r w:rsidRPr="00B25F97">
              <w:rPr>
                <w:sz w:val="22"/>
              </w:rPr>
              <w:t>云资源</w:t>
            </w:r>
            <w:proofErr w:type="gramEnd"/>
            <w:r w:rsidRPr="00B25F97">
              <w:rPr>
                <w:sz w:val="22"/>
              </w:rPr>
              <w:t>服务要求。</w:t>
            </w:r>
            <w:proofErr w:type="spellStart"/>
            <w:r w:rsidRPr="00B25F97">
              <w:rPr>
                <w:sz w:val="22"/>
              </w:rPr>
              <w:t>Ameco</w:t>
            </w:r>
            <w:proofErr w:type="spellEnd"/>
            <w:r w:rsidRPr="00B25F97">
              <w:rPr>
                <w:sz w:val="22"/>
              </w:rPr>
              <w:t xml:space="preserve"> 可采用后付费模式，以我方投标明确的固定折扣</w:t>
            </w:r>
            <w:proofErr w:type="gramStart"/>
            <w:r w:rsidRPr="00B25F97">
              <w:rPr>
                <w:sz w:val="22"/>
              </w:rPr>
              <w:t>率使用</w:t>
            </w:r>
            <w:proofErr w:type="gramEnd"/>
            <w:r w:rsidRPr="00B25F97">
              <w:rPr>
                <w:sz w:val="22"/>
              </w:rPr>
              <w:t>华为云资源，我方将在每季度结束后及时提供消费账单与发票，在专线</w:t>
            </w:r>
            <w:r w:rsidRPr="00B25F97">
              <w:rPr>
                <w:sz w:val="22"/>
              </w:rPr>
              <w:lastRenderedPageBreak/>
              <w:t>开通及所有迁移实施服务完成后，</w:t>
            </w:r>
            <w:proofErr w:type="spellStart"/>
            <w:r w:rsidRPr="00B25F97">
              <w:rPr>
                <w:sz w:val="22"/>
              </w:rPr>
              <w:t>Ameco</w:t>
            </w:r>
            <w:proofErr w:type="spellEnd"/>
            <w:r w:rsidRPr="00B25F97">
              <w:rPr>
                <w:sz w:val="22"/>
              </w:rPr>
              <w:t xml:space="preserve"> 再进行首次付款；华为云官方服务全面开放，不设消费上下限、使用时长等任何限制，保障使用的灵活性；服务周期自合同生效起，至</w:t>
            </w:r>
            <w:proofErr w:type="gramStart"/>
            <w:r w:rsidRPr="00B25F97">
              <w:rPr>
                <w:sz w:val="22"/>
              </w:rPr>
              <w:t>公有云专线开通满</w:t>
            </w:r>
            <w:proofErr w:type="gramEnd"/>
            <w:r w:rsidRPr="00B25F97">
              <w:rPr>
                <w:sz w:val="22"/>
              </w:rPr>
              <w:t xml:space="preserve"> 1 年结束；对于</w:t>
            </w:r>
            <w:proofErr w:type="gramStart"/>
            <w:r w:rsidRPr="00B25F97">
              <w:rPr>
                <w:sz w:val="22"/>
              </w:rPr>
              <w:t>公有云</w:t>
            </w:r>
            <w:proofErr w:type="gramEnd"/>
            <w:r w:rsidRPr="00B25F97">
              <w:rPr>
                <w:sz w:val="22"/>
              </w:rPr>
              <w:t>专线，</w:t>
            </w:r>
            <w:proofErr w:type="spellStart"/>
            <w:r w:rsidRPr="00B25F97">
              <w:rPr>
                <w:sz w:val="22"/>
              </w:rPr>
              <w:t>Ameco</w:t>
            </w:r>
            <w:proofErr w:type="spellEnd"/>
            <w:r w:rsidRPr="00B25F97">
              <w:rPr>
                <w:sz w:val="22"/>
              </w:rPr>
              <w:t xml:space="preserve"> 负责采购部署，我方全力配合，并承担云端配置与调试工作；将依据 “附件 1. 云资源清单”，补充华为云对应资源规格名称与</w:t>
            </w:r>
            <w:proofErr w:type="gramStart"/>
            <w:r w:rsidRPr="00B25F97">
              <w:rPr>
                <w:sz w:val="22"/>
              </w:rPr>
              <w:t>官网截</w:t>
            </w:r>
            <w:proofErr w:type="gramEnd"/>
            <w:r w:rsidRPr="00B25F97">
              <w:rPr>
                <w:sz w:val="22"/>
              </w:rPr>
              <w:t>图标注的每月原价，无匹配规格时提供更高规格资源，按 “原价 X 数量 X 固定折扣” 参与比价；同时，确保报价及交付的</w:t>
            </w:r>
            <w:proofErr w:type="gramStart"/>
            <w:r w:rsidRPr="00B25F97">
              <w:rPr>
                <w:sz w:val="22"/>
              </w:rPr>
              <w:t>云资源</w:t>
            </w:r>
            <w:proofErr w:type="gramEnd"/>
            <w:r w:rsidRPr="00B25F97">
              <w:rPr>
                <w:sz w:val="22"/>
              </w:rPr>
              <w:t>均处于同一可用区，且该</w:t>
            </w:r>
            <w:proofErr w:type="gramStart"/>
            <w:r w:rsidRPr="00B25F97">
              <w:rPr>
                <w:sz w:val="22"/>
              </w:rPr>
              <w:t>可用区</w:t>
            </w:r>
            <w:proofErr w:type="gramEnd"/>
            <w:r w:rsidRPr="00B25F97">
              <w:rPr>
                <w:sz w:val="22"/>
              </w:rPr>
              <w:t xml:space="preserve">与 </w:t>
            </w:r>
            <w:proofErr w:type="spellStart"/>
            <w:r w:rsidRPr="00B25F97">
              <w:rPr>
                <w:sz w:val="22"/>
              </w:rPr>
              <w:t>Ameco</w:t>
            </w:r>
            <w:proofErr w:type="spellEnd"/>
            <w:r w:rsidRPr="00B25F97">
              <w:rPr>
                <w:sz w:val="22"/>
              </w:rPr>
              <w:t xml:space="preserve"> 本地机房直线</w:t>
            </w:r>
            <w:proofErr w:type="gramStart"/>
            <w:r w:rsidRPr="00B25F97">
              <w:rPr>
                <w:sz w:val="22"/>
              </w:rPr>
              <w:t>距离超</w:t>
            </w:r>
            <w:proofErr w:type="gramEnd"/>
            <w:r w:rsidRPr="00B25F97">
              <w:rPr>
                <w:sz w:val="22"/>
              </w:rPr>
              <w:t xml:space="preserve"> 500 公里，保障数据安全与业务稳定 。</w:t>
            </w:r>
          </w:p>
        </w:tc>
      </w:tr>
      <w:tr w:rsidR="00455AF9" w:rsidRPr="00920338" w14:paraId="5FB64B14" w14:textId="77777777" w:rsidTr="009A2571">
        <w:tc>
          <w:tcPr>
            <w:tcW w:w="543" w:type="dxa"/>
          </w:tcPr>
          <w:p w14:paraId="60903FAB" w14:textId="77777777" w:rsidR="00455AF9" w:rsidRDefault="00455AF9" w:rsidP="009A2571">
            <w:pPr>
              <w:spacing w:line="360" w:lineRule="auto"/>
              <w:jc w:val="center"/>
              <w:rPr>
                <w:rFonts w:hint="eastAsia"/>
                <w:sz w:val="22"/>
              </w:rPr>
            </w:pPr>
          </w:p>
        </w:tc>
        <w:tc>
          <w:tcPr>
            <w:tcW w:w="5681" w:type="dxa"/>
          </w:tcPr>
          <w:p w14:paraId="18E77577"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3  ★云专线要求</w:t>
            </w:r>
          </w:p>
          <w:p w14:paraId="029210C1"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在</w:t>
            </w:r>
            <w:proofErr w:type="gramStart"/>
            <w:r w:rsidRPr="00923308">
              <w:rPr>
                <w:rFonts w:asciiTheme="minorEastAsia" w:hAnsiTheme="minorEastAsia" w:hint="eastAsia"/>
                <w:color w:val="000000"/>
                <w:kern w:val="0"/>
                <w:sz w:val="20"/>
                <w:szCs w:val="20"/>
              </w:rPr>
              <w:t>公有云数据</w:t>
            </w:r>
            <w:proofErr w:type="gramEnd"/>
            <w:r w:rsidRPr="00923308">
              <w:rPr>
                <w:rFonts w:asciiTheme="minorEastAsia" w:hAnsiTheme="minorEastAsia" w:hint="eastAsia"/>
                <w:color w:val="000000"/>
                <w:kern w:val="0"/>
                <w:sz w:val="20"/>
                <w:szCs w:val="20"/>
              </w:rPr>
              <w:t>中心到</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的NCS和380数据中心之间分别部署主、备两条</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专线，从而实现公有云和</w:t>
            </w:r>
            <w:proofErr w:type="gramStart"/>
            <w:r w:rsidRPr="00923308">
              <w:rPr>
                <w:rFonts w:asciiTheme="minorEastAsia" w:hAnsiTheme="minorEastAsia" w:hint="eastAsia"/>
                <w:color w:val="000000"/>
                <w:kern w:val="0"/>
                <w:sz w:val="20"/>
                <w:szCs w:val="20"/>
              </w:rPr>
              <w:t>私有云</w:t>
            </w:r>
            <w:proofErr w:type="gramEnd"/>
            <w:r w:rsidRPr="00923308">
              <w:rPr>
                <w:rFonts w:asciiTheme="minorEastAsia" w:hAnsiTheme="minorEastAsia" w:hint="eastAsia"/>
                <w:color w:val="000000"/>
                <w:kern w:val="0"/>
                <w:sz w:val="20"/>
                <w:szCs w:val="20"/>
              </w:rPr>
              <w:t>的数据传输和生产办公的使用需求，满足传输高可用性和业务使用连续性的要求。</w:t>
            </w:r>
          </w:p>
          <w:p w14:paraId="38996A45"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为了满足后期应用系统云端部署数量和访问业务量的增加需求，需要实现云专线的快速部署和云专线带宽的灵活调整需求，</w:t>
            </w:r>
            <w:r w:rsidRPr="00923308">
              <w:rPr>
                <w:rFonts w:asciiTheme="minorEastAsia" w:hAnsiTheme="minorEastAsia" w:hint="eastAsia"/>
                <w:color w:val="000000"/>
                <w:kern w:val="0"/>
                <w:sz w:val="20"/>
                <w:szCs w:val="20"/>
              </w:rPr>
              <w:lastRenderedPageBreak/>
              <w:t>所以此次采购</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到</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 xml:space="preserve"> NCS数据中心和A380数据中心的云专线链路的框架协议。</w:t>
            </w:r>
          </w:p>
          <w:p w14:paraId="708EAEB6"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每季度后按实际使用云专线带宽及时长付费。</w:t>
            </w:r>
          </w:p>
        </w:tc>
        <w:tc>
          <w:tcPr>
            <w:tcW w:w="761" w:type="dxa"/>
          </w:tcPr>
          <w:p w14:paraId="2CD15E33" w14:textId="273C1FA6" w:rsidR="00455AF9" w:rsidRPr="00920338" w:rsidRDefault="00455AF9" w:rsidP="009A2571">
            <w:pPr>
              <w:spacing w:line="360" w:lineRule="auto"/>
              <w:jc w:val="center"/>
              <w:rPr>
                <w:rFonts w:hint="eastAsia"/>
                <w:sz w:val="22"/>
              </w:rPr>
            </w:pPr>
            <w:r>
              <w:rPr>
                <w:rFonts w:hint="eastAsia"/>
                <w:sz w:val="22"/>
              </w:rPr>
              <w:lastRenderedPageBreak/>
              <w:t>满足</w:t>
            </w:r>
          </w:p>
        </w:tc>
        <w:tc>
          <w:tcPr>
            <w:tcW w:w="2683" w:type="dxa"/>
          </w:tcPr>
          <w:p w14:paraId="595717CF" w14:textId="669AE728" w:rsidR="00455AF9" w:rsidRDefault="00B25F97" w:rsidP="009A2571">
            <w:pPr>
              <w:spacing w:line="360" w:lineRule="auto"/>
              <w:rPr>
                <w:rFonts w:hint="eastAsia"/>
                <w:sz w:val="22"/>
              </w:rPr>
            </w:pPr>
            <w:r>
              <w:rPr>
                <w:rFonts w:hint="eastAsia"/>
                <w:sz w:val="22"/>
              </w:rPr>
              <w:t>详细</w:t>
            </w:r>
            <w:proofErr w:type="gramStart"/>
            <w:r>
              <w:rPr>
                <w:rFonts w:hint="eastAsia"/>
                <w:sz w:val="22"/>
              </w:rPr>
              <w:t>应答见</w:t>
            </w:r>
            <w:proofErr w:type="gramEnd"/>
            <w:r>
              <w:rPr>
                <w:rFonts w:hint="eastAsia"/>
                <w:sz w:val="22"/>
              </w:rPr>
              <w:t>3.云专线招标文件要求</w:t>
            </w:r>
          </w:p>
          <w:p w14:paraId="77179B86" w14:textId="2D6A8D20" w:rsidR="00B25F97" w:rsidRPr="00920338" w:rsidRDefault="00B25F97" w:rsidP="009A2571">
            <w:pPr>
              <w:spacing w:line="360" w:lineRule="auto"/>
              <w:rPr>
                <w:rFonts w:hint="eastAsia"/>
                <w:sz w:val="22"/>
              </w:rPr>
            </w:pPr>
            <w:r w:rsidRPr="00B25F97">
              <w:rPr>
                <w:sz w:val="22"/>
              </w:rPr>
              <w:t>我们将在华为</w:t>
            </w:r>
            <w:proofErr w:type="gramStart"/>
            <w:r w:rsidRPr="00B25F97">
              <w:rPr>
                <w:sz w:val="22"/>
              </w:rPr>
              <w:t>云数据</w:t>
            </w:r>
            <w:proofErr w:type="gramEnd"/>
            <w:r w:rsidRPr="00B25F97">
              <w:rPr>
                <w:sz w:val="22"/>
              </w:rPr>
              <w:t xml:space="preserve">中心与 </w:t>
            </w:r>
            <w:proofErr w:type="spellStart"/>
            <w:r w:rsidRPr="00B25F97">
              <w:rPr>
                <w:sz w:val="22"/>
              </w:rPr>
              <w:t>Ameco</w:t>
            </w:r>
            <w:proofErr w:type="spellEnd"/>
            <w:r w:rsidRPr="00B25F97">
              <w:rPr>
                <w:sz w:val="22"/>
              </w:rPr>
              <w:t xml:space="preserve"> 的 NCS 和 380 数据中心之间，分别</w:t>
            </w:r>
            <w:r w:rsidRPr="00B25F97">
              <w:rPr>
                <w:sz w:val="22"/>
              </w:rPr>
              <w:lastRenderedPageBreak/>
              <w:t>部署主、备两条云专线，通过冗余设计保障</w:t>
            </w:r>
            <w:proofErr w:type="gramStart"/>
            <w:r w:rsidRPr="00B25F97">
              <w:rPr>
                <w:sz w:val="22"/>
              </w:rPr>
              <w:t>公有云与私有云数据</w:t>
            </w:r>
            <w:proofErr w:type="gramEnd"/>
            <w:r w:rsidRPr="00B25F97">
              <w:rPr>
                <w:sz w:val="22"/>
              </w:rPr>
              <w:t xml:space="preserve">传输的高可用性，确保生产办公业务的连续性。针对后期应用系统云端部署数量及业务访问量增长的需求，我们依托成熟的技术架构与高效的运维体系，能够实现云专线的快速部署，并支持云专线带宽的灵活动态调整，充分适配业务发展节奏。此次合作，我们将与 </w:t>
            </w:r>
            <w:proofErr w:type="spellStart"/>
            <w:r w:rsidRPr="00B25F97">
              <w:rPr>
                <w:sz w:val="22"/>
              </w:rPr>
              <w:t>Ameco</w:t>
            </w:r>
            <w:proofErr w:type="spellEnd"/>
            <w:r w:rsidRPr="00B25F97">
              <w:rPr>
                <w:sz w:val="22"/>
              </w:rPr>
              <w:t xml:space="preserve"> 签订云专线链路框架协议，</w:t>
            </w:r>
            <w:proofErr w:type="spellStart"/>
            <w:r w:rsidRPr="00B25F97">
              <w:rPr>
                <w:sz w:val="22"/>
              </w:rPr>
              <w:t>Ameco</w:t>
            </w:r>
            <w:proofErr w:type="spellEnd"/>
            <w:r w:rsidRPr="00B25F97">
              <w:rPr>
                <w:sz w:val="22"/>
              </w:rPr>
              <w:t xml:space="preserve"> 可按季度根据实际使用的云专线带宽与时长进行付费，计费清晰透明，让成本控制更加灵活精准。</w:t>
            </w:r>
          </w:p>
        </w:tc>
      </w:tr>
      <w:tr w:rsidR="00455AF9" w:rsidRPr="00920338" w14:paraId="6703F199" w14:textId="77777777" w:rsidTr="009A2571">
        <w:tc>
          <w:tcPr>
            <w:tcW w:w="543" w:type="dxa"/>
          </w:tcPr>
          <w:p w14:paraId="6F6B3194" w14:textId="77777777" w:rsidR="00455AF9" w:rsidRDefault="00455AF9" w:rsidP="009A2571">
            <w:pPr>
              <w:spacing w:line="360" w:lineRule="auto"/>
              <w:jc w:val="center"/>
              <w:rPr>
                <w:rFonts w:hint="eastAsia"/>
                <w:sz w:val="22"/>
              </w:rPr>
            </w:pPr>
          </w:p>
        </w:tc>
        <w:tc>
          <w:tcPr>
            <w:tcW w:w="5681" w:type="dxa"/>
          </w:tcPr>
          <w:p w14:paraId="7E59E982"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3.1  ★ 链路部署要求</w:t>
            </w:r>
          </w:p>
          <w:p w14:paraId="5A600C0C"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上述提到的数据中心的具体位置如下表：</w:t>
            </w:r>
          </w:p>
          <w:tbl>
            <w:tblPr>
              <w:tblpPr w:leftFromText="180" w:rightFromText="180" w:vertAnchor="text" w:tblpY="1"/>
              <w:tblOverlap w:val="never"/>
              <w:tblW w:w="3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1157"/>
              <w:gridCol w:w="1843"/>
            </w:tblGrid>
            <w:tr w:rsidR="00455AF9" w:rsidRPr="00923308" w14:paraId="2302866A" w14:textId="77777777" w:rsidTr="009A2571">
              <w:trPr>
                <w:trHeight w:val="125"/>
              </w:trPr>
              <w:tc>
                <w:tcPr>
                  <w:tcW w:w="456" w:type="dxa"/>
                  <w:tcBorders>
                    <w:top w:val="single" w:sz="4" w:space="0" w:color="000000"/>
                    <w:left w:val="single" w:sz="4" w:space="0" w:color="000000"/>
                    <w:bottom w:val="single" w:sz="4" w:space="0" w:color="000000"/>
                    <w:right w:val="single" w:sz="4" w:space="0" w:color="000000"/>
                  </w:tcBorders>
                  <w:shd w:val="clear" w:color="auto" w:fill="808080"/>
                  <w:hideMark/>
                </w:tcPr>
                <w:p w14:paraId="31BB10E3" w14:textId="77777777" w:rsidR="00455AF9" w:rsidRPr="00923308" w:rsidRDefault="00455AF9" w:rsidP="009A2571">
                  <w:pPr>
                    <w:spacing w:line="320" w:lineRule="exact"/>
                    <w:jc w:val="center"/>
                    <w:rPr>
                      <w:rFonts w:asciiTheme="minorEastAsia" w:hAnsiTheme="minorEastAsia" w:hint="eastAsia"/>
                      <w:color w:val="FFFFFF"/>
                      <w:sz w:val="20"/>
                      <w:szCs w:val="20"/>
                    </w:rPr>
                  </w:pPr>
                  <w:r w:rsidRPr="00923308">
                    <w:rPr>
                      <w:rFonts w:asciiTheme="minorEastAsia" w:hAnsiTheme="minorEastAsia"/>
                      <w:color w:val="FFFFFF"/>
                      <w:sz w:val="20"/>
                      <w:szCs w:val="20"/>
                    </w:rPr>
                    <w:t>序号</w:t>
                  </w:r>
                </w:p>
              </w:tc>
              <w:tc>
                <w:tcPr>
                  <w:tcW w:w="1157" w:type="dxa"/>
                  <w:tcBorders>
                    <w:top w:val="single" w:sz="4" w:space="0" w:color="000000"/>
                    <w:left w:val="single" w:sz="4" w:space="0" w:color="000000"/>
                    <w:bottom w:val="single" w:sz="4" w:space="0" w:color="000000"/>
                    <w:right w:val="single" w:sz="4" w:space="0" w:color="000000"/>
                  </w:tcBorders>
                  <w:shd w:val="clear" w:color="auto" w:fill="808080"/>
                  <w:hideMark/>
                </w:tcPr>
                <w:p w14:paraId="708396D9" w14:textId="77777777" w:rsidR="00455AF9" w:rsidRPr="00923308" w:rsidRDefault="00455AF9" w:rsidP="009A2571">
                  <w:pPr>
                    <w:spacing w:line="320" w:lineRule="exact"/>
                    <w:jc w:val="center"/>
                    <w:rPr>
                      <w:rFonts w:asciiTheme="minorEastAsia" w:hAnsiTheme="minorEastAsia" w:hint="eastAsia"/>
                      <w:color w:val="FFFFFF"/>
                      <w:sz w:val="20"/>
                      <w:szCs w:val="20"/>
                    </w:rPr>
                  </w:pPr>
                  <w:r w:rsidRPr="00923308">
                    <w:rPr>
                      <w:rFonts w:asciiTheme="minorEastAsia" w:hAnsiTheme="minorEastAsia"/>
                      <w:color w:val="FFFFFF"/>
                      <w:sz w:val="20"/>
                      <w:szCs w:val="20"/>
                    </w:rPr>
                    <w:t>区域</w:t>
                  </w:r>
                </w:p>
              </w:tc>
              <w:tc>
                <w:tcPr>
                  <w:tcW w:w="1843" w:type="dxa"/>
                  <w:tcBorders>
                    <w:top w:val="single" w:sz="4" w:space="0" w:color="000000"/>
                    <w:left w:val="single" w:sz="4" w:space="0" w:color="000000"/>
                    <w:bottom w:val="single" w:sz="4" w:space="0" w:color="000000"/>
                    <w:right w:val="single" w:sz="4" w:space="0" w:color="000000"/>
                  </w:tcBorders>
                  <w:shd w:val="clear" w:color="auto" w:fill="808080"/>
                  <w:hideMark/>
                </w:tcPr>
                <w:p w14:paraId="033F007E" w14:textId="77777777" w:rsidR="00455AF9" w:rsidRPr="00923308" w:rsidRDefault="00455AF9" w:rsidP="009A2571">
                  <w:pPr>
                    <w:spacing w:line="320" w:lineRule="exact"/>
                    <w:jc w:val="center"/>
                    <w:rPr>
                      <w:rFonts w:asciiTheme="minorEastAsia" w:hAnsiTheme="minorEastAsia" w:hint="eastAsia"/>
                      <w:color w:val="FFFFFF"/>
                      <w:sz w:val="20"/>
                      <w:szCs w:val="20"/>
                    </w:rPr>
                  </w:pPr>
                  <w:r w:rsidRPr="00923308">
                    <w:rPr>
                      <w:rFonts w:asciiTheme="minorEastAsia" w:hAnsiTheme="minorEastAsia"/>
                      <w:color w:val="FFFFFF"/>
                      <w:sz w:val="20"/>
                      <w:szCs w:val="20"/>
                    </w:rPr>
                    <w:t>链路接入机房具体位置</w:t>
                  </w:r>
                </w:p>
              </w:tc>
            </w:tr>
            <w:tr w:rsidR="00455AF9" w:rsidRPr="00923308" w14:paraId="25875152" w14:textId="77777777" w:rsidTr="009A2571">
              <w:trPr>
                <w:trHeight w:val="228"/>
              </w:trPr>
              <w:tc>
                <w:tcPr>
                  <w:tcW w:w="456" w:type="dxa"/>
                  <w:tcBorders>
                    <w:top w:val="single" w:sz="4" w:space="0" w:color="000000"/>
                    <w:left w:val="single" w:sz="4" w:space="0" w:color="000000"/>
                    <w:bottom w:val="single" w:sz="4" w:space="0" w:color="000000"/>
                    <w:right w:val="single" w:sz="4" w:space="0" w:color="000000"/>
                  </w:tcBorders>
                  <w:vAlign w:val="center"/>
                </w:tcPr>
                <w:p w14:paraId="32EB6388" w14:textId="77777777" w:rsidR="00455AF9" w:rsidRPr="00923308" w:rsidRDefault="00455AF9" w:rsidP="009A2571">
                  <w:pPr>
                    <w:spacing w:line="320" w:lineRule="exact"/>
                    <w:jc w:val="center"/>
                    <w:rPr>
                      <w:rFonts w:asciiTheme="minorEastAsia" w:hAnsiTheme="minorEastAsia" w:hint="eastAsia"/>
                      <w:color w:val="000000"/>
                      <w:sz w:val="20"/>
                      <w:szCs w:val="20"/>
                    </w:rPr>
                  </w:pPr>
                  <w:r w:rsidRPr="00923308">
                    <w:rPr>
                      <w:rFonts w:asciiTheme="minorEastAsia" w:hAnsiTheme="minorEastAsia"/>
                      <w:color w:val="000000"/>
                      <w:sz w:val="20"/>
                      <w:szCs w:val="20"/>
                    </w:rPr>
                    <w:t>1</w:t>
                  </w:r>
                </w:p>
              </w:tc>
              <w:tc>
                <w:tcPr>
                  <w:tcW w:w="1157" w:type="dxa"/>
                  <w:tcBorders>
                    <w:top w:val="single" w:sz="4" w:space="0" w:color="000000"/>
                    <w:left w:val="single" w:sz="4" w:space="0" w:color="000000"/>
                    <w:bottom w:val="single" w:sz="4" w:space="0" w:color="000000"/>
                    <w:right w:val="single" w:sz="4" w:space="0" w:color="000000"/>
                  </w:tcBorders>
                  <w:vAlign w:val="center"/>
                </w:tcPr>
                <w:p w14:paraId="0B562CC7" w14:textId="77777777" w:rsidR="00455AF9" w:rsidRPr="00923308" w:rsidRDefault="00455AF9" w:rsidP="009A2571">
                  <w:pPr>
                    <w:spacing w:line="320" w:lineRule="exact"/>
                    <w:jc w:val="center"/>
                    <w:rPr>
                      <w:rFonts w:asciiTheme="minorEastAsia" w:hAnsiTheme="minorEastAsia" w:hint="eastAsia"/>
                      <w:color w:val="000000"/>
                      <w:sz w:val="20"/>
                      <w:szCs w:val="20"/>
                    </w:rPr>
                  </w:pPr>
                  <w:proofErr w:type="spellStart"/>
                  <w:r w:rsidRPr="00923308">
                    <w:rPr>
                      <w:rFonts w:asciiTheme="minorEastAsia" w:hAnsiTheme="minorEastAsia"/>
                      <w:color w:val="000000"/>
                      <w:sz w:val="20"/>
                      <w:szCs w:val="20"/>
                    </w:rPr>
                    <w:t>Ameco</w:t>
                  </w:r>
                  <w:proofErr w:type="spellEnd"/>
                  <w:r w:rsidRPr="00923308">
                    <w:rPr>
                      <w:rFonts w:asciiTheme="minorEastAsia" w:hAnsiTheme="minorEastAsia"/>
                      <w:color w:val="000000"/>
                      <w:sz w:val="20"/>
                      <w:szCs w:val="20"/>
                    </w:rPr>
                    <w:t xml:space="preserve"> NCS数据中心</w:t>
                  </w:r>
                </w:p>
              </w:tc>
              <w:tc>
                <w:tcPr>
                  <w:tcW w:w="1843" w:type="dxa"/>
                  <w:tcBorders>
                    <w:top w:val="single" w:sz="4" w:space="0" w:color="000000"/>
                    <w:left w:val="single" w:sz="4" w:space="0" w:color="000000"/>
                    <w:bottom w:val="single" w:sz="4" w:space="0" w:color="000000"/>
                    <w:right w:val="single" w:sz="4" w:space="0" w:color="000000"/>
                  </w:tcBorders>
                  <w:vAlign w:val="center"/>
                </w:tcPr>
                <w:p w14:paraId="04009601" w14:textId="77777777" w:rsidR="00455AF9" w:rsidRPr="00923308" w:rsidRDefault="00455AF9" w:rsidP="009A2571">
                  <w:pPr>
                    <w:spacing w:line="320" w:lineRule="exact"/>
                    <w:rPr>
                      <w:rFonts w:asciiTheme="minorEastAsia" w:hAnsiTheme="minorEastAsia" w:hint="eastAsia"/>
                      <w:color w:val="000000"/>
                      <w:sz w:val="20"/>
                      <w:szCs w:val="20"/>
                    </w:rPr>
                  </w:pPr>
                  <w:r w:rsidRPr="00923308">
                    <w:rPr>
                      <w:rFonts w:asciiTheme="minorEastAsia" w:hAnsiTheme="minorEastAsia"/>
                      <w:color w:val="000000"/>
                      <w:sz w:val="20"/>
                      <w:szCs w:val="20"/>
                    </w:rPr>
                    <w:t>北京市朝阳区首都机场路2号</w:t>
                  </w:r>
                </w:p>
              </w:tc>
            </w:tr>
            <w:tr w:rsidR="00455AF9" w:rsidRPr="00923308" w14:paraId="05E15534" w14:textId="77777777" w:rsidTr="009A2571">
              <w:trPr>
                <w:trHeight w:val="251"/>
              </w:trPr>
              <w:tc>
                <w:tcPr>
                  <w:tcW w:w="456" w:type="dxa"/>
                  <w:tcBorders>
                    <w:top w:val="single" w:sz="4" w:space="0" w:color="000000"/>
                    <w:left w:val="single" w:sz="4" w:space="0" w:color="000000"/>
                    <w:bottom w:val="single" w:sz="4" w:space="0" w:color="000000"/>
                    <w:right w:val="single" w:sz="4" w:space="0" w:color="000000"/>
                  </w:tcBorders>
                  <w:vAlign w:val="center"/>
                </w:tcPr>
                <w:p w14:paraId="53479007" w14:textId="77777777" w:rsidR="00455AF9" w:rsidRPr="00923308" w:rsidRDefault="00455AF9" w:rsidP="009A2571">
                  <w:pPr>
                    <w:spacing w:line="320" w:lineRule="exact"/>
                    <w:jc w:val="center"/>
                    <w:rPr>
                      <w:rFonts w:asciiTheme="minorEastAsia" w:hAnsiTheme="minorEastAsia" w:hint="eastAsia"/>
                      <w:color w:val="000000"/>
                      <w:sz w:val="20"/>
                      <w:szCs w:val="20"/>
                    </w:rPr>
                  </w:pPr>
                  <w:r w:rsidRPr="00923308">
                    <w:rPr>
                      <w:rFonts w:asciiTheme="minorEastAsia" w:hAnsiTheme="minorEastAsia"/>
                      <w:color w:val="000000"/>
                      <w:sz w:val="20"/>
                      <w:szCs w:val="20"/>
                    </w:rPr>
                    <w:t>2</w:t>
                  </w:r>
                </w:p>
              </w:tc>
              <w:tc>
                <w:tcPr>
                  <w:tcW w:w="1157" w:type="dxa"/>
                  <w:tcBorders>
                    <w:top w:val="single" w:sz="4" w:space="0" w:color="000000"/>
                    <w:left w:val="single" w:sz="4" w:space="0" w:color="000000"/>
                    <w:bottom w:val="single" w:sz="4" w:space="0" w:color="000000"/>
                    <w:right w:val="single" w:sz="4" w:space="0" w:color="000000"/>
                  </w:tcBorders>
                  <w:vAlign w:val="center"/>
                </w:tcPr>
                <w:p w14:paraId="7B6D4331" w14:textId="77777777" w:rsidR="00455AF9" w:rsidRPr="00923308" w:rsidRDefault="00455AF9" w:rsidP="009A2571">
                  <w:pPr>
                    <w:spacing w:line="320" w:lineRule="exact"/>
                    <w:jc w:val="center"/>
                    <w:rPr>
                      <w:rFonts w:asciiTheme="minorEastAsia" w:hAnsiTheme="minorEastAsia" w:hint="eastAsia"/>
                      <w:color w:val="000000"/>
                      <w:sz w:val="20"/>
                      <w:szCs w:val="20"/>
                    </w:rPr>
                  </w:pPr>
                  <w:proofErr w:type="spellStart"/>
                  <w:r w:rsidRPr="00923308">
                    <w:rPr>
                      <w:rFonts w:asciiTheme="minorEastAsia" w:hAnsiTheme="minorEastAsia"/>
                      <w:color w:val="000000"/>
                      <w:sz w:val="20"/>
                      <w:szCs w:val="20"/>
                    </w:rPr>
                    <w:t>Ameco</w:t>
                  </w:r>
                  <w:proofErr w:type="spellEnd"/>
                  <w:r w:rsidRPr="00923308">
                    <w:rPr>
                      <w:rFonts w:asciiTheme="minorEastAsia" w:hAnsiTheme="minorEastAsia"/>
                      <w:color w:val="000000"/>
                      <w:sz w:val="20"/>
                      <w:szCs w:val="20"/>
                    </w:rPr>
                    <w:t xml:space="preserve"> A380数据中心</w:t>
                  </w:r>
                </w:p>
              </w:tc>
              <w:tc>
                <w:tcPr>
                  <w:tcW w:w="1843" w:type="dxa"/>
                  <w:tcBorders>
                    <w:top w:val="single" w:sz="4" w:space="0" w:color="000000"/>
                    <w:left w:val="single" w:sz="4" w:space="0" w:color="000000"/>
                    <w:bottom w:val="single" w:sz="4" w:space="0" w:color="000000"/>
                    <w:right w:val="single" w:sz="4" w:space="0" w:color="000000"/>
                  </w:tcBorders>
                  <w:vAlign w:val="center"/>
                </w:tcPr>
                <w:p w14:paraId="29B7A929" w14:textId="77777777" w:rsidR="00455AF9" w:rsidRPr="00923308" w:rsidRDefault="00455AF9" w:rsidP="009A2571">
                  <w:pPr>
                    <w:spacing w:line="320" w:lineRule="exact"/>
                    <w:rPr>
                      <w:rFonts w:asciiTheme="minorEastAsia" w:hAnsiTheme="minorEastAsia" w:hint="eastAsia"/>
                      <w:color w:val="000000"/>
                      <w:sz w:val="20"/>
                      <w:szCs w:val="20"/>
                    </w:rPr>
                  </w:pPr>
                  <w:r w:rsidRPr="00923308">
                    <w:rPr>
                      <w:rFonts w:asciiTheme="minorEastAsia" w:hAnsiTheme="minorEastAsia"/>
                      <w:color w:val="000000"/>
                      <w:sz w:val="20"/>
                      <w:szCs w:val="20"/>
                    </w:rPr>
                    <w:t>北京市顺义区航港2路</w:t>
                  </w:r>
                </w:p>
              </w:tc>
            </w:tr>
          </w:tbl>
          <w:p w14:paraId="308E4E0F" w14:textId="77777777" w:rsidR="00455AF9" w:rsidRDefault="00455AF9" w:rsidP="009A2571">
            <w:pPr>
              <w:autoSpaceDE w:val="0"/>
              <w:autoSpaceDN w:val="0"/>
              <w:adjustRightInd w:val="0"/>
              <w:spacing w:afterLines="50" w:after="156"/>
              <w:rPr>
                <w:rFonts w:asciiTheme="minorEastAsia" w:hAnsiTheme="minorEastAsia" w:hint="eastAsia"/>
                <w:color w:val="000000"/>
                <w:kern w:val="0"/>
                <w:sz w:val="20"/>
                <w:szCs w:val="20"/>
              </w:rPr>
            </w:pPr>
          </w:p>
          <w:p w14:paraId="5E5568B1" w14:textId="77777777" w:rsidR="00455AF9" w:rsidRDefault="00455AF9" w:rsidP="009A2571">
            <w:pPr>
              <w:autoSpaceDE w:val="0"/>
              <w:autoSpaceDN w:val="0"/>
              <w:adjustRightInd w:val="0"/>
              <w:spacing w:afterLines="50" w:after="156"/>
              <w:rPr>
                <w:rFonts w:asciiTheme="minorEastAsia" w:hAnsiTheme="minorEastAsia" w:hint="eastAsia"/>
                <w:color w:val="000000"/>
                <w:kern w:val="0"/>
                <w:sz w:val="20"/>
                <w:szCs w:val="20"/>
              </w:rPr>
            </w:pPr>
          </w:p>
          <w:p w14:paraId="0D9E46F0" w14:textId="77777777" w:rsidR="00455AF9" w:rsidRDefault="00455AF9" w:rsidP="009A2571">
            <w:pPr>
              <w:autoSpaceDE w:val="0"/>
              <w:autoSpaceDN w:val="0"/>
              <w:adjustRightInd w:val="0"/>
              <w:spacing w:afterLines="50" w:after="156"/>
              <w:rPr>
                <w:rFonts w:asciiTheme="minorEastAsia" w:hAnsiTheme="minorEastAsia" w:hint="eastAsia"/>
                <w:color w:val="000000"/>
                <w:kern w:val="0"/>
                <w:sz w:val="20"/>
                <w:szCs w:val="20"/>
              </w:rPr>
            </w:pPr>
          </w:p>
          <w:p w14:paraId="0C14299A" w14:textId="77777777" w:rsidR="00455AF9" w:rsidRDefault="00455AF9" w:rsidP="009A2571">
            <w:pPr>
              <w:autoSpaceDE w:val="0"/>
              <w:autoSpaceDN w:val="0"/>
              <w:adjustRightInd w:val="0"/>
              <w:spacing w:afterLines="50" w:after="156"/>
              <w:rPr>
                <w:rFonts w:asciiTheme="minorEastAsia" w:hAnsiTheme="minorEastAsia" w:hint="eastAsia"/>
                <w:color w:val="000000"/>
                <w:kern w:val="0"/>
                <w:sz w:val="20"/>
                <w:szCs w:val="20"/>
              </w:rPr>
            </w:pPr>
          </w:p>
          <w:p w14:paraId="7C8CA633" w14:textId="77777777" w:rsidR="00455AF9" w:rsidRDefault="00455AF9" w:rsidP="009A2571">
            <w:pPr>
              <w:autoSpaceDE w:val="0"/>
              <w:autoSpaceDN w:val="0"/>
              <w:adjustRightInd w:val="0"/>
              <w:spacing w:afterLines="50" w:after="156"/>
              <w:rPr>
                <w:rFonts w:asciiTheme="minorEastAsia" w:hAnsiTheme="minorEastAsia" w:hint="eastAsia"/>
                <w:color w:val="000000"/>
                <w:kern w:val="0"/>
                <w:sz w:val="20"/>
                <w:szCs w:val="20"/>
              </w:rPr>
            </w:pPr>
          </w:p>
          <w:p w14:paraId="3AD0E7A4" w14:textId="77777777" w:rsidR="00455AF9" w:rsidRDefault="00455AF9" w:rsidP="009A2571">
            <w:pPr>
              <w:autoSpaceDE w:val="0"/>
              <w:autoSpaceDN w:val="0"/>
              <w:adjustRightInd w:val="0"/>
              <w:spacing w:afterLines="50" w:after="156"/>
              <w:rPr>
                <w:rFonts w:asciiTheme="minorEastAsia" w:hAnsiTheme="minorEastAsia" w:hint="eastAsia"/>
                <w:color w:val="000000"/>
                <w:kern w:val="0"/>
                <w:sz w:val="20"/>
                <w:szCs w:val="20"/>
              </w:rPr>
            </w:pPr>
          </w:p>
          <w:p w14:paraId="7B5354D1"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上述所提到数据链路都需要供应商保证区域之间，有实际可用的</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专线资源且带宽满足需求。</w:t>
            </w:r>
          </w:p>
          <w:p w14:paraId="46E9D8C0"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上述所提到链路都需要供应商完成实施和部署，可以实现从</w:t>
            </w:r>
            <w:proofErr w:type="gramStart"/>
            <w:r w:rsidRPr="00923308">
              <w:rPr>
                <w:rFonts w:asciiTheme="minorEastAsia" w:hAnsiTheme="minorEastAsia" w:hint="eastAsia"/>
                <w:color w:val="000000"/>
                <w:kern w:val="0"/>
                <w:sz w:val="20"/>
                <w:szCs w:val="20"/>
              </w:rPr>
              <w:t>公</w:t>
            </w:r>
            <w:r w:rsidRPr="00923308">
              <w:rPr>
                <w:rFonts w:asciiTheme="minorEastAsia" w:hAnsiTheme="minorEastAsia" w:hint="eastAsia"/>
                <w:color w:val="000000"/>
                <w:kern w:val="0"/>
                <w:sz w:val="20"/>
                <w:szCs w:val="20"/>
              </w:rPr>
              <w:lastRenderedPageBreak/>
              <w:t>有云数据</w:t>
            </w:r>
            <w:proofErr w:type="gramEnd"/>
            <w:r w:rsidRPr="00923308">
              <w:rPr>
                <w:rFonts w:asciiTheme="minorEastAsia" w:hAnsiTheme="minorEastAsia" w:hint="eastAsia"/>
                <w:color w:val="000000"/>
                <w:kern w:val="0"/>
                <w:sz w:val="20"/>
                <w:szCs w:val="20"/>
              </w:rPr>
              <w:t>中心到</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数据中心之间链路的部署、调试、开通和运行维护工作，保证</w:t>
            </w:r>
            <w:proofErr w:type="gramStart"/>
            <w:r w:rsidRPr="00923308">
              <w:rPr>
                <w:rFonts w:asciiTheme="minorEastAsia" w:hAnsiTheme="minorEastAsia" w:hint="eastAsia"/>
                <w:color w:val="000000"/>
                <w:kern w:val="0"/>
                <w:sz w:val="20"/>
                <w:szCs w:val="20"/>
              </w:rPr>
              <w:t>公有云数据</w:t>
            </w:r>
            <w:proofErr w:type="gramEnd"/>
            <w:r w:rsidRPr="00923308">
              <w:rPr>
                <w:rFonts w:asciiTheme="minorEastAsia" w:hAnsiTheme="minorEastAsia" w:hint="eastAsia"/>
                <w:color w:val="000000"/>
                <w:kern w:val="0"/>
                <w:sz w:val="20"/>
                <w:szCs w:val="20"/>
              </w:rPr>
              <w:t>中心和</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数据中心的线缆接入的部署和调试工作，保证链路所使用的接入设备免费部署，保证链路接入设备可提供多种接口选择，保证链路具有可管理和</w:t>
            </w:r>
            <w:proofErr w:type="gramStart"/>
            <w:r w:rsidRPr="00923308">
              <w:rPr>
                <w:rFonts w:asciiTheme="minorEastAsia" w:hAnsiTheme="minorEastAsia" w:hint="eastAsia"/>
                <w:color w:val="000000"/>
                <w:kern w:val="0"/>
                <w:sz w:val="20"/>
                <w:szCs w:val="20"/>
              </w:rPr>
              <w:t>可</w:t>
            </w:r>
            <w:proofErr w:type="gramEnd"/>
            <w:r w:rsidRPr="00923308">
              <w:rPr>
                <w:rFonts w:asciiTheme="minorEastAsia" w:hAnsiTheme="minorEastAsia" w:hint="eastAsia"/>
                <w:color w:val="000000"/>
                <w:kern w:val="0"/>
                <w:sz w:val="20"/>
                <w:szCs w:val="20"/>
              </w:rPr>
              <w:t xml:space="preserve">监控的特性。 </w:t>
            </w:r>
          </w:p>
          <w:p w14:paraId="142D1D49"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上述所提到的链路都需要供应商保证，在后期使用过程中可以提供快速的带宽扩容和专线部署操作。</w:t>
            </w:r>
          </w:p>
          <w:p w14:paraId="21C943B3"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上述需求需要在投标文件中由供应商提供能证明上述内容加盖公章的说明文件。</w:t>
            </w:r>
          </w:p>
          <w:p w14:paraId="4136FD20"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云专线带宽需求见附件2。</w:t>
            </w:r>
          </w:p>
          <w:p w14:paraId="759978F5"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p>
        </w:tc>
        <w:tc>
          <w:tcPr>
            <w:tcW w:w="761" w:type="dxa"/>
          </w:tcPr>
          <w:p w14:paraId="1BC24205" w14:textId="4896F114" w:rsidR="00455AF9" w:rsidRPr="00920338" w:rsidRDefault="00455AF9" w:rsidP="009A2571">
            <w:pPr>
              <w:spacing w:line="360" w:lineRule="auto"/>
              <w:jc w:val="center"/>
              <w:rPr>
                <w:rFonts w:hint="eastAsia"/>
                <w:sz w:val="22"/>
              </w:rPr>
            </w:pPr>
            <w:r>
              <w:rPr>
                <w:rFonts w:hint="eastAsia"/>
                <w:sz w:val="22"/>
              </w:rPr>
              <w:lastRenderedPageBreak/>
              <w:t>满足</w:t>
            </w:r>
          </w:p>
        </w:tc>
        <w:tc>
          <w:tcPr>
            <w:tcW w:w="2683" w:type="dxa"/>
          </w:tcPr>
          <w:p w14:paraId="086FF372" w14:textId="4E3A7630" w:rsidR="00B25F97" w:rsidRDefault="00B25F97" w:rsidP="009A2571">
            <w:pPr>
              <w:spacing w:line="360" w:lineRule="auto"/>
              <w:rPr>
                <w:rFonts w:hint="eastAsia"/>
                <w:sz w:val="22"/>
              </w:rPr>
            </w:pPr>
            <w:r w:rsidRPr="00B25F97">
              <w:rPr>
                <w:rFonts w:hint="eastAsia"/>
                <w:sz w:val="22"/>
              </w:rPr>
              <w:t>详细</w:t>
            </w:r>
            <w:proofErr w:type="gramStart"/>
            <w:r w:rsidRPr="00B25F97">
              <w:rPr>
                <w:rFonts w:hint="eastAsia"/>
                <w:sz w:val="22"/>
              </w:rPr>
              <w:t>应答见</w:t>
            </w:r>
            <w:proofErr w:type="gramEnd"/>
            <w:r w:rsidRPr="00B25F97">
              <w:rPr>
                <w:rFonts w:hint="eastAsia"/>
                <w:sz w:val="22"/>
              </w:rPr>
              <w:t>3.</w:t>
            </w:r>
            <w:r w:rsidR="00382043">
              <w:rPr>
                <w:rFonts w:hint="eastAsia"/>
                <w:sz w:val="22"/>
              </w:rPr>
              <w:t>1</w:t>
            </w:r>
            <w:r>
              <w:rPr>
                <w:rFonts w:hint="eastAsia"/>
                <w:sz w:val="22"/>
              </w:rPr>
              <w:t>链路部署招标文件要求</w:t>
            </w:r>
          </w:p>
          <w:p w14:paraId="066B8CC4" w14:textId="25B0BDD9" w:rsidR="00455AF9" w:rsidRPr="00920338" w:rsidRDefault="00B25F97" w:rsidP="009A2571">
            <w:pPr>
              <w:spacing w:line="360" w:lineRule="auto"/>
              <w:rPr>
                <w:rFonts w:hint="eastAsia"/>
                <w:sz w:val="22"/>
              </w:rPr>
            </w:pPr>
            <w:r w:rsidRPr="00B25F97">
              <w:rPr>
                <w:sz w:val="22"/>
              </w:rPr>
              <w:t xml:space="preserve">我们完全满足 </w:t>
            </w:r>
            <w:proofErr w:type="spellStart"/>
            <w:r w:rsidRPr="00B25F97">
              <w:rPr>
                <w:sz w:val="22"/>
              </w:rPr>
              <w:t>Ameco</w:t>
            </w:r>
            <w:proofErr w:type="spellEnd"/>
            <w:r w:rsidRPr="00B25F97">
              <w:rPr>
                <w:sz w:val="22"/>
              </w:rPr>
              <w:t xml:space="preserve"> 的数据中心链路部署要求。针对位于北京市朝阳区首都机场路 2 号的 </w:t>
            </w:r>
            <w:proofErr w:type="spellStart"/>
            <w:r w:rsidRPr="00B25F97">
              <w:rPr>
                <w:sz w:val="22"/>
              </w:rPr>
              <w:t>Ameco</w:t>
            </w:r>
            <w:proofErr w:type="spellEnd"/>
            <w:r w:rsidRPr="00B25F97">
              <w:rPr>
                <w:sz w:val="22"/>
              </w:rPr>
              <w:t xml:space="preserve"> NCS 数据中心及北京市顺义区航港 2 路的 </w:t>
            </w:r>
            <w:proofErr w:type="spellStart"/>
            <w:r w:rsidRPr="00B25F97">
              <w:rPr>
                <w:sz w:val="22"/>
              </w:rPr>
              <w:t>Ameco</w:t>
            </w:r>
            <w:proofErr w:type="spellEnd"/>
            <w:r w:rsidRPr="00B25F97">
              <w:rPr>
                <w:sz w:val="22"/>
              </w:rPr>
              <w:t xml:space="preserve"> A380 数据中心，我们确保华为云在对应区</w:t>
            </w:r>
            <w:r w:rsidRPr="00B25F97">
              <w:rPr>
                <w:sz w:val="22"/>
              </w:rPr>
              <w:lastRenderedPageBreak/>
              <w:t>域拥有充足且实际可用的</w:t>
            </w:r>
            <w:proofErr w:type="gramStart"/>
            <w:r w:rsidRPr="00B25F97">
              <w:rPr>
                <w:sz w:val="22"/>
              </w:rPr>
              <w:t>公有云</w:t>
            </w:r>
            <w:proofErr w:type="gramEnd"/>
            <w:r w:rsidRPr="00B25F97">
              <w:rPr>
                <w:sz w:val="22"/>
              </w:rPr>
              <w:t>专线资源，带宽完全匹配附件 2 需求。我方将全程负责数据链路的实施与部署，涵盖从华为</w:t>
            </w:r>
            <w:proofErr w:type="gramStart"/>
            <w:r w:rsidRPr="00B25F97">
              <w:rPr>
                <w:sz w:val="22"/>
              </w:rPr>
              <w:t>云数据</w:t>
            </w:r>
            <w:proofErr w:type="gramEnd"/>
            <w:r w:rsidRPr="00B25F97">
              <w:rPr>
                <w:sz w:val="22"/>
              </w:rPr>
              <w:t xml:space="preserve">中心到 </w:t>
            </w:r>
            <w:proofErr w:type="spellStart"/>
            <w:r w:rsidRPr="00B25F97">
              <w:rPr>
                <w:sz w:val="22"/>
              </w:rPr>
              <w:t>Ameco</w:t>
            </w:r>
            <w:proofErr w:type="spellEnd"/>
            <w:r w:rsidRPr="00B25F97">
              <w:rPr>
                <w:sz w:val="22"/>
              </w:rPr>
              <w:t xml:space="preserve"> 数据中心之间链路的部署、调试、开通及全周期运行维护，保障线缆接入的部署与调试工作高质量完成；同时，免费提供链路接入设备，设备具备丰富多样的接口类型供选择，并且所有链路均具备完善的可管理、可监控特性，方便 </w:t>
            </w:r>
            <w:proofErr w:type="spellStart"/>
            <w:r w:rsidRPr="00B25F97">
              <w:rPr>
                <w:sz w:val="22"/>
              </w:rPr>
              <w:t>Ameco</w:t>
            </w:r>
            <w:proofErr w:type="spellEnd"/>
            <w:r w:rsidRPr="00B25F97">
              <w:rPr>
                <w:sz w:val="22"/>
              </w:rPr>
              <w:t xml:space="preserve"> 实时掌握链路运行状态。后期使用过程中，一旦出现业务需求变化，我们可凭借专业的技术团队与高效流程，快速完成带宽扩容及专线部署操作。相关证明文件已详细阐述上述内容，并加盖公章，将完整纳入投标文件，全力保障项目顺利推进 。</w:t>
            </w:r>
          </w:p>
        </w:tc>
      </w:tr>
      <w:tr w:rsidR="00455AF9" w:rsidRPr="00920338" w14:paraId="284DCBAF" w14:textId="77777777" w:rsidTr="009A2571">
        <w:tc>
          <w:tcPr>
            <w:tcW w:w="543" w:type="dxa"/>
          </w:tcPr>
          <w:p w14:paraId="1D5875D7" w14:textId="77777777" w:rsidR="00455AF9" w:rsidRDefault="00455AF9" w:rsidP="009A2571">
            <w:pPr>
              <w:spacing w:line="360" w:lineRule="auto"/>
              <w:jc w:val="center"/>
              <w:rPr>
                <w:rFonts w:hint="eastAsia"/>
                <w:sz w:val="22"/>
              </w:rPr>
            </w:pPr>
          </w:p>
        </w:tc>
        <w:tc>
          <w:tcPr>
            <w:tcW w:w="5681" w:type="dxa"/>
          </w:tcPr>
          <w:p w14:paraId="65AD8B3A"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3.2  ★ 具体技术要求</w:t>
            </w:r>
          </w:p>
          <w:p w14:paraId="4DC30CE8"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noProof/>
                <w:sz w:val="20"/>
                <w:szCs w:val="20"/>
              </w:rPr>
              <w:lastRenderedPageBreak/>
              <w:drawing>
                <wp:inline distT="0" distB="0" distL="0" distR="0" wp14:anchorId="75FE0B79" wp14:editId="3664E711">
                  <wp:extent cx="3396552" cy="3143250"/>
                  <wp:effectExtent l="0" t="0" r="0" b="0"/>
                  <wp:docPr id="3" name="图片 3"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机屏幕截图&#10;&#10;AI 生成的内容可能不正确。"/>
                          <pic:cNvPicPr/>
                        </pic:nvPicPr>
                        <pic:blipFill>
                          <a:blip r:embed="rId39"/>
                          <a:stretch>
                            <a:fillRect/>
                          </a:stretch>
                        </pic:blipFill>
                        <pic:spPr>
                          <a:xfrm>
                            <a:off x="0" y="0"/>
                            <a:ext cx="3407088" cy="3153000"/>
                          </a:xfrm>
                          <a:prstGeom prst="rect">
                            <a:avLst/>
                          </a:prstGeom>
                        </pic:spPr>
                      </pic:pic>
                    </a:graphicData>
                  </a:graphic>
                </wp:inline>
              </w:drawing>
            </w:r>
          </w:p>
          <w:p w14:paraId="4ED2FC25"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p>
        </w:tc>
        <w:tc>
          <w:tcPr>
            <w:tcW w:w="761" w:type="dxa"/>
          </w:tcPr>
          <w:p w14:paraId="0F1FE572" w14:textId="61AB7AEF" w:rsidR="00455AF9" w:rsidRPr="00920338" w:rsidRDefault="00455AF9" w:rsidP="009A2571">
            <w:pPr>
              <w:spacing w:line="360" w:lineRule="auto"/>
              <w:jc w:val="center"/>
              <w:rPr>
                <w:rFonts w:hint="eastAsia"/>
                <w:sz w:val="22"/>
              </w:rPr>
            </w:pPr>
            <w:r>
              <w:rPr>
                <w:rFonts w:hint="eastAsia"/>
                <w:sz w:val="22"/>
              </w:rPr>
              <w:lastRenderedPageBreak/>
              <w:t>满足</w:t>
            </w:r>
          </w:p>
        </w:tc>
        <w:tc>
          <w:tcPr>
            <w:tcW w:w="2683" w:type="dxa"/>
          </w:tcPr>
          <w:p w14:paraId="2651F7FA" w14:textId="75E18F0E" w:rsidR="00382043" w:rsidRDefault="00382043" w:rsidP="009A2571">
            <w:pPr>
              <w:spacing w:line="360" w:lineRule="auto"/>
              <w:rPr>
                <w:rFonts w:hint="eastAsia"/>
                <w:sz w:val="22"/>
              </w:rPr>
            </w:pPr>
            <w:r w:rsidRPr="00382043">
              <w:rPr>
                <w:rFonts w:hint="eastAsia"/>
                <w:sz w:val="22"/>
              </w:rPr>
              <w:t>详细</w:t>
            </w:r>
            <w:proofErr w:type="gramStart"/>
            <w:r w:rsidRPr="00382043">
              <w:rPr>
                <w:rFonts w:hint="eastAsia"/>
                <w:sz w:val="22"/>
              </w:rPr>
              <w:t>应答见</w:t>
            </w:r>
            <w:proofErr w:type="gramEnd"/>
            <w:r w:rsidRPr="00382043">
              <w:rPr>
                <w:rFonts w:hint="eastAsia"/>
                <w:sz w:val="22"/>
              </w:rPr>
              <w:t>3.</w:t>
            </w:r>
            <w:r>
              <w:rPr>
                <w:rFonts w:hint="eastAsia"/>
                <w:sz w:val="22"/>
              </w:rPr>
              <w:t>2链路部署具体招标文件</w:t>
            </w:r>
            <w:r w:rsidRPr="00382043">
              <w:rPr>
                <w:rFonts w:hint="eastAsia"/>
                <w:sz w:val="22"/>
              </w:rPr>
              <w:t>要求</w:t>
            </w:r>
          </w:p>
          <w:p w14:paraId="55B1FD43" w14:textId="72C90F04" w:rsidR="00455AF9" w:rsidRPr="00920338" w:rsidRDefault="00382043" w:rsidP="009A2571">
            <w:pPr>
              <w:spacing w:line="360" w:lineRule="auto"/>
              <w:rPr>
                <w:rFonts w:hint="eastAsia"/>
                <w:sz w:val="22"/>
              </w:rPr>
            </w:pPr>
            <w:r w:rsidRPr="00382043">
              <w:rPr>
                <w:sz w:val="22"/>
              </w:rPr>
              <w:t xml:space="preserve">我们将全面满足 </w:t>
            </w:r>
            <w:proofErr w:type="spellStart"/>
            <w:r w:rsidRPr="00382043">
              <w:rPr>
                <w:sz w:val="22"/>
              </w:rPr>
              <w:t>Ameco</w:t>
            </w:r>
            <w:proofErr w:type="spellEnd"/>
            <w:r w:rsidRPr="00382043">
              <w:rPr>
                <w:sz w:val="22"/>
              </w:rPr>
              <w:t xml:space="preserve"> 的各项需求。在方案设计</w:t>
            </w:r>
            <w:r w:rsidRPr="00382043">
              <w:rPr>
                <w:sz w:val="22"/>
              </w:rPr>
              <w:lastRenderedPageBreak/>
              <w:t xml:space="preserve">方面，我们将深入分析 </w:t>
            </w:r>
            <w:proofErr w:type="spellStart"/>
            <w:r w:rsidRPr="00382043">
              <w:rPr>
                <w:sz w:val="22"/>
              </w:rPr>
              <w:t>Ameco</w:t>
            </w:r>
            <w:proofErr w:type="spellEnd"/>
            <w:r w:rsidRPr="00382043">
              <w:rPr>
                <w:sz w:val="22"/>
              </w:rPr>
              <w:t xml:space="preserve"> 现有业务，精心设计包含详细组网拓扑、先进技术架构及各区域网络连接方案的组网方案，并对线路实施工程各环节，如区域间、室外、楼宇内施工计划，线路及业务质量测试计划、验收计划等进行详细说明，确保方案科学可行。在链路运行上，我们将提供稳定可靠的云专线资源，并明确其性质，同时全力负责数据中心内专线资源的接入、安装、调试等工作，保证在 30 天内开通专线链路，且专线资源具备 7*24 主动网管监测功能。对于链路质量，我们承诺 POP-to-POP 网络可用性不低于 99.9%、抖动不高于 10ms、丢包率不高于 0.5%、MTTR 小于 8 小时、各区域间链路延迟不高于 50ms，并将在投标文件中附上加盖公章的证明文件，以保障链路高质量运行。</w:t>
            </w:r>
          </w:p>
        </w:tc>
      </w:tr>
      <w:tr w:rsidR="00455AF9" w:rsidRPr="00920338" w14:paraId="3034DC0C" w14:textId="77777777" w:rsidTr="009A2571">
        <w:tc>
          <w:tcPr>
            <w:tcW w:w="543" w:type="dxa"/>
          </w:tcPr>
          <w:p w14:paraId="4B8BB1F8" w14:textId="77777777" w:rsidR="00455AF9" w:rsidRDefault="00455AF9" w:rsidP="009A2571">
            <w:pPr>
              <w:spacing w:line="360" w:lineRule="auto"/>
              <w:jc w:val="center"/>
              <w:rPr>
                <w:rFonts w:hint="eastAsia"/>
                <w:sz w:val="22"/>
              </w:rPr>
            </w:pPr>
          </w:p>
        </w:tc>
        <w:tc>
          <w:tcPr>
            <w:tcW w:w="5681" w:type="dxa"/>
          </w:tcPr>
          <w:p w14:paraId="4937562D"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3.3   ★服务水平SLA标准</w:t>
            </w:r>
          </w:p>
          <w:p w14:paraId="6AF1E971"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1)</w:t>
            </w:r>
            <w:r w:rsidRPr="00923308">
              <w:rPr>
                <w:rFonts w:asciiTheme="minorEastAsia" w:hAnsiTheme="minorEastAsia" w:hint="eastAsia"/>
                <w:color w:val="000000"/>
                <w:kern w:val="0"/>
                <w:sz w:val="20"/>
                <w:szCs w:val="20"/>
              </w:rPr>
              <w:tab/>
              <w:t>供应商应保障用户在使用专线链路进行传输过程中信息和</w:t>
            </w:r>
            <w:r w:rsidRPr="00923308">
              <w:rPr>
                <w:rFonts w:asciiTheme="minorEastAsia" w:hAnsiTheme="minorEastAsia" w:hint="eastAsia"/>
                <w:color w:val="000000"/>
                <w:kern w:val="0"/>
                <w:sz w:val="20"/>
                <w:szCs w:val="20"/>
              </w:rPr>
              <w:lastRenderedPageBreak/>
              <w:t>数据的安全、稳定和快捷。</w:t>
            </w:r>
          </w:p>
          <w:p w14:paraId="5D957FDF"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2)</w:t>
            </w:r>
            <w:r w:rsidRPr="00923308">
              <w:rPr>
                <w:rFonts w:asciiTheme="minorEastAsia" w:hAnsiTheme="minorEastAsia" w:hint="eastAsia"/>
                <w:color w:val="000000"/>
                <w:kern w:val="0"/>
                <w:sz w:val="20"/>
                <w:szCs w:val="20"/>
              </w:rPr>
              <w:tab/>
              <w:t>供应商应提供全国7*24*30分钟响应的运维服务，并提供全国统一的服务热线电话，并保证用户可以通过拨打服务热线实现网络配置操作、故障和投诉处理等工作，需要供应商在投标文件中提供盖公章的相关证明文件。</w:t>
            </w:r>
          </w:p>
          <w:p w14:paraId="4B577689"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3)</w:t>
            </w:r>
            <w:r w:rsidRPr="00923308">
              <w:rPr>
                <w:rFonts w:asciiTheme="minorEastAsia" w:hAnsiTheme="minorEastAsia" w:hint="eastAsia"/>
                <w:color w:val="000000"/>
                <w:kern w:val="0"/>
                <w:sz w:val="20"/>
                <w:szCs w:val="20"/>
              </w:rPr>
              <w:tab/>
              <w:t>供应商应负责对用户使用的专线链路进行24小时监控，当发现线路故障时，应及时通知用户相关负责人，并实时更新和汇报故障处理的进度。</w:t>
            </w:r>
          </w:p>
          <w:p w14:paraId="756B4E84"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4)</w:t>
            </w:r>
            <w:r w:rsidRPr="00923308">
              <w:rPr>
                <w:rFonts w:asciiTheme="minorEastAsia" w:hAnsiTheme="minorEastAsia" w:hint="eastAsia"/>
                <w:color w:val="000000"/>
                <w:kern w:val="0"/>
                <w:sz w:val="20"/>
                <w:szCs w:val="20"/>
              </w:rPr>
              <w:tab/>
              <w:t>供应商应按照用户要求提供专线链路的月度运行、可用性、性能分析、故障恢复等报告和交付物, 需要供应商在投标文件中提供盖公章的相关说明文件。</w:t>
            </w:r>
          </w:p>
          <w:p w14:paraId="30B01B9C"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5)</w:t>
            </w:r>
            <w:r w:rsidRPr="00923308">
              <w:rPr>
                <w:rFonts w:asciiTheme="minorEastAsia" w:hAnsiTheme="minorEastAsia" w:hint="eastAsia"/>
                <w:color w:val="000000"/>
                <w:kern w:val="0"/>
                <w:sz w:val="20"/>
                <w:szCs w:val="20"/>
              </w:rPr>
              <w:tab/>
              <w:t>供应商应保障用户使用专线链路的可用率达到99.9%，并要求出现故障后30分钟内响应，8小时内解决故障，并应设置不满足的违约金赔付条款，需要供应商在投标文件中提供盖公章的相关说明文件。具体内容如下：</w:t>
            </w:r>
            <w:r w:rsidRPr="00923308">
              <w:rPr>
                <w:rFonts w:asciiTheme="minorEastAsia" w:hAnsiTheme="minorEastAsia"/>
                <w:noProof/>
                <w:sz w:val="20"/>
                <w:szCs w:val="20"/>
              </w:rPr>
              <w:drawing>
                <wp:inline distT="0" distB="0" distL="0" distR="0" wp14:anchorId="784F5E51" wp14:editId="58013823">
                  <wp:extent cx="3470599" cy="2152650"/>
                  <wp:effectExtent l="0" t="0" r="0" b="0"/>
                  <wp:docPr id="18" name="图片 18"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表格&#10;&#10;AI 生成的内容可能不正确。"/>
                          <pic:cNvPicPr/>
                        </pic:nvPicPr>
                        <pic:blipFill>
                          <a:blip r:embed="rId40"/>
                          <a:stretch>
                            <a:fillRect/>
                          </a:stretch>
                        </pic:blipFill>
                        <pic:spPr>
                          <a:xfrm>
                            <a:off x="0" y="0"/>
                            <a:ext cx="3485920" cy="2162153"/>
                          </a:xfrm>
                          <a:prstGeom prst="rect">
                            <a:avLst/>
                          </a:prstGeom>
                        </pic:spPr>
                      </pic:pic>
                    </a:graphicData>
                  </a:graphic>
                </wp:inline>
              </w:drawing>
            </w:r>
          </w:p>
          <w:p w14:paraId="6F1FFAAC"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数据专线链路故障响应和解决时限具体违约金赔付要求</w:t>
            </w:r>
          </w:p>
          <w:p w14:paraId="38E091DE"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（扣除季度专线费用）</w:t>
            </w:r>
          </w:p>
          <w:p w14:paraId="1A48D561"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noProof/>
                <w:sz w:val="20"/>
                <w:szCs w:val="20"/>
              </w:rPr>
              <w:lastRenderedPageBreak/>
              <w:drawing>
                <wp:inline distT="0" distB="0" distL="0" distR="0" wp14:anchorId="5CFEF061" wp14:editId="41D38310">
                  <wp:extent cx="3438525" cy="4200426"/>
                  <wp:effectExtent l="0" t="0" r="0" b="0"/>
                  <wp:docPr id="19" name="图片 19"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表格&#10;&#10;AI 生成的内容可能不正确。"/>
                          <pic:cNvPicPr/>
                        </pic:nvPicPr>
                        <pic:blipFill>
                          <a:blip r:embed="rId41"/>
                          <a:stretch>
                            <a:fillRect/>
                          </a:stretch>
                        </pic:blipFill>
                        <pic:spPr>
                          <a:xfrm>
                            <a:off x="0" y="0"/>
                            <a:ext cx="3454510" cy="4219953"/>
                          </a:xfrm>
                          <a:prstGeom prst="rect">
                            <a:avLst/>
                          </a:prstGeom>
                        </pic:spPr>
                      </pic:pic>
                    </a:graphicData>
                  </a:graphic>
                </wp:inline>
              </w:drawing>
            </w:r>
          </w:p>
          <w:p w14:paraId="772EBB02"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6)</w:t>
            </w:r>
            <w:r w:rsidRPr="00923308">
              <w:rPr>
                <w:rFonts w:asciiTheme="minorEastAsia" w:hAnsiTheme="minorEastAsia" w:hint="eastAsia"/>
                <w:color w:val="000000"/>
                <w:kern w:val="0"/>
                <w:sz w:val="20"/>
                <w:szCs w:val="20"/>
              </w:rPr>
              <w:tab/>
              <w:t>供应商因需要进行链路割接、施工、调整等工作时，应保障至少提前48小时通知用户，从而防止由于进行上述工作对用户业务系统的影响。</w:t>
            </w:r>
          </w:p>
          <w:p w14:paraId="56C93496"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7)</w:t>
            </w:r>
            <w:r w:rsidRPr="00923308">
              <w:rPr>
                <w:rFonts w:asciiTheme="minorEastAsia" w:hAnsiTheme="minorEastAsia" w:hint="eastAsia"/>
                <w:color w:val="000000"/>
                <w:kern w:val="0"/>
                <w:sz w:val="20"/>
                <w:szCs w:val="20"/>
              </w:rPr>
              <w:tab/>
              <w:t>供应商应保障此次部署的专线资源，可以满足后期使用过程中按照甲方的要求在10个工作日之内，完成专线链路的带宽扩容、部署操作、调试连通等相关工作。</w:t>
            </w:r>
          </w:p>
          <w:p w14:paraId="7FF337E1"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8)</w:t>
            </w:r>
            <w:r w:rsidRPr="00923308">
              <w:rPr>
                <w:rFonts w:asciiTheme="minorEastAsia" w:hAnsiTheme="minorEastAsia" w:hint="eastAsia"/>
                <w:color w:val="000000"/>
                <w:kern w:val="0"/>
                <w:sz w:val="20"/>
                <w:szCs w:val="20"/>
              </w:rPr>
              <w:tab/>
              <w:t>供应商需根据甲方要求随时对相关云专线链路终止服务。</w:t>
            </w:r>
          </w:p>
        </w:tc>
        <w:tc>
          <w:tcPr>
            <w:tcW w:w="761" w:type="dxa"/>
          </w:tcPr>
          <w:p w14:paraId="30B3A754" w14:textId="0A980788" w:rsidR="00455AF9" w:rsidRPr="00920338" w:rsidRDefault="00455AF9" w:rsidP="009A2571">
            <w:pPr>
              <w:spacing w:line="360" w:lineRule="auto"/>
              <w:jc w:val="center"/>
              <w:rPr>
                <w:rFonts w:hint="eastAsia"/>
                <w:sz w:val="22"/>
              </w:rPr>
            </w:pPr>
            <w:r>
              <w:rPr>
                <w:rFonts w:hint="eastAsia"/>
                <w:sz w:val="22"/>
              </w:rPr>
              <w:lastRenderedPageBreak/>
              <w:t>满足</w:t>
            </w:r>
          </w:p>
        </w:tc>
        <w:tc>
          <w:tcPr>
            <w:tcW w:w="2683" w:type="dxa"/>
          </w:tcPr>
          <w:p w14:paraId="5E6122EA" w14:textId="029CEA9D" w:rsidR="00382043" w:rsidRDefault="00382043" w:rsidP="009A2571">
            <w:pPr>
              <w:spacing w:line="360" w:lineRule="auto"/>
              <w:rPr>
                <w:rFonts w:hint="eastAsia"/>
                <w:sz w:val="22"/>
              </w:rPr>
            </w:pPr>
            <w:r w:rsidRPr="00382043">
              <w:rPr>
                <w:rFonts w:hint="eastAsia"/>
                <w:sz w:val="22"/>
              </w:rPr>
              <w:t>详细</w:t>
            </w:r>
            <w:proofErr w:type="gramStart"/>
            <w:r w:rsidRPr="00382043">
              <w:rPr>
                <w:rFonts w:hint="eastAsia"/>
                <w:sz w:val="22"/>
              </w:rPr>
              <w:t>应答见</w:t>
            </w:r>
            <w:proofErr w:type="gramEnd"/>
            <w:r w:rsidRPr="00382043">
              <w:rPr>
                <w:rFonts w:hint="eastAsia"/>
                <w:sz w:val="22"/>
              </w:rPr>
              <w:t>3.</w:t>
            </w:r>
            <w:r>
              <w:rPr>
                <w:rFonts w:hint="eastAsia"/>
                <w:sz w:val="22"/>
              </w:rPr>
              <w:t>3服务水平</w:t>
            </w:r>
            <w:r>
              <w:rPr>
                <w:rFonts w:hint="eastAsia"/>
                <w:sz w:val="22"/>
              </w:rPr>
              <w:lastRenderedPageBreak/>
              <w:t>SLA标准</w:t>
            </w:r>
          </w:p>
          <w:p w14:paraId="77270D44" w14:textId="381024D0" w:rsidR="00455AF9" w:rsidRPr="00920338" w:rsidRDefault="00382043" w:rsidP="009A2571">
            <w:pPr>
              <w:spacing w:line="360" w:lineRule="auto"/>
              <w:rPr>
                <w:rFonts w:hint="eastAsia"/>
                <w:sz w:val="22"/>
              </w:rPr>
            </w:pPr>
            <w:r w:rsidRPr="00382043">
              <w:rPr>
                <w:sz w:val="22"/>
              </w:rPr>
              <w:t xml:space="preserve">我们将严格遵循服务水平 SLA 标准，全方位保障 </w:t>
            </w:r>
            <w:proofErr w:type="spellStart"/>
            <w:r w:rsidRPr="00382043">
              <w:rPr>
                <w:sz w:val="22"/>
              </w:rPr>
              <w:t>Ameco</w:t>
            </w:r>
            <w:proofErr w:type="spellEnd"/>
            <w:r w:rsidRPr="00382043">
              <w:rPr>
                <w:sz w:val="22"/>
              </w:rPr>
              <w:t xml:space="preserve"> 专线链路服务质量。我们采用先进加密与安全防护技术，确保信息和数据在传输过程中的安全、稳定与快捷；提供全国 7×24 小时、30 分钟</w:t>
            </w:r>
            <w:proofErr w:type="gramStart"/>
            <w:r w:rsidRPr="00382043">
              <w:rPr>
                <w:sz w:val="22"/>
              </w:rPr>
              <w:t>极</w:t>
            </w:r>
            <w:proofErr w:type="gramEnd"/>
            <w:r w:rsidRPr="00382043">
              <w:rPr>
                <w:sz w:val="22"/>
              </w:rPr>
              <w:t>速响应的运维服务，并配备全国统一服务热线，支持网络配置、故障处理及投诉反馈等工作，相关证明文件将加盖公章纳入投标文件。同时，对专线链路实施 24 小时不间断监控，故障发生时第一时间通知负责人，并实时同步处理进度；每月按时提供运行、可用性等分析报告及交付物，也会附上盖章说明文件。我们承诺专线链路可用率达 99.9%，故障响应不超过 30 分钟，8 小时内完成解决，制定了详细的违约金赔付条款，同样以盖章文件形式呈现。涉及链路割接等工作，提前 48 小时告知，避免影响业</w:t>
            </w:r>
            <w:r w:rsidRPr="00382043">
              <w:rPr>
                <w:sz w:val="22"/>
              </w:rPr>
              <w:lastRenderedPageBreak/>
              <w:t xml:space="preserve">务；10 </w:t>
            </w:r>
            <w:proofErr w:type="gramStart"/>
            <w:r w:rsidRPr="00382043">
              <w:rPr>
                <w:sz w:val="22"/>
              </w:rPr>
              <w:t>个</w:t>
            </w:r>
            <w:proofErr w:type="gramEnd"/>
            <w:r w:rsidRPr="00382043">
              <w:rPr>
                <w:sz w:val="22"/>
              </w:rPr>
              <w:t xml:space="preserve">工作日内完成专线带宽扩容、部署调试；可按甲方需求随时终止服务，确保服务灵活适配需求，所有承诺均有加盖公章的文件佐证，切实保障 </w:t>
            </w:r>
            <w:proofErr w:type="spellStart"/>
            <w:r w:rsidRPr="00382043">
              <w:rPr>
                <w:sz w:val="22"/>
              </w:rPr>
              <w:t>Ameco</w:t>
            </w:r>
            <w:proofErr w:type="spellEnd"/>
            <w:r w:rsidRPr="00382043">
              <w:rPr>
                <w:sz w:val="22"/>
              </w:rPr>
              <w:t xml:space="preserve"> 权益。</w:t>
            </w:r>
          </w:p>
        </w:tc>
      </w:tr>
      <w:tr w:rsidR="00455AF9" w:rsidRPr="00920338" w14:paraId="03900D96" w14:textId="77777777" w:rsidTr="009A2571">
        <w:tc>
          <w:tcPr>
            <w:tcW w:w="543" w:type="dxa"/>
          </w:tcPr>
          <w:p w14:paraId="76EA7306" w14:textId="77777777" w:rsidR="00455AF9" w:rsidRDefault="00455AF9" w:rsidP="009A2571">
            <w:pPr>
              <w:spacing w:line="360" w:lineRule="auto"/>
              <w:jc w:val="center"/>
              <w:rPr>
                <w:rFonts w:hint="eastAsia"/>
                <w:sz w:val="22"/>
              </w:rPr>
            </w:pPr>
          </w:p>
        </w:tc>
        <w:tc>
          <w:tcPr>
            <w:tcW w:w="5681" w:type="dxa"/>
          </w:tcPr>
          <w:p w14:paraId="1B4BB600"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4.1  ★责任</w:t>
            </w:r>
          </w:p>
          <w:p w14:paraId="4291EB8D"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投标人全面负责整体项目，负责项目实施、切换和上线；</w:t>
            </w:r>
          </w:p>
          <w:p w14:paraId="730659FC"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确保系统部署、切换和上线过程中的风险全部可控，不能出现重大故障而导致业务出现问题。</w:t>
            </w:r>
          </w:p>
        </w:tc>
        <w:tc>
          <w:tcPr>
            <w:tcW w:w="761" w:type="dxa"/>
          </w:tcPr>
          <w:p w14:paraId="55B7099D" w14:textId="0565A4AE" w:rsidR="00455AF9" w:rsidRPr="00920338" w:rsidRDefault="00455AF9" w:rsidP="009A2571">
            <w:pPr>
              <w:spacing w:line="360" w:lineRule="auto"/>
              <w:jc w:val="center"/>
              <w:rPr>
                <w:rFonts w:hint="eastAsia"/>
                <w:sz w:val="22"/>
              </w:rPr>
            </w:pPr>
            <w:r>
              <w:rPr>
                <w:rFonts w:hint="eastAsia"/>
                <w:sz w:val="22"/>
              </w:rPr>
              <w:t>满足</w:t>
            </w:r>
          </w:p>
        </w:tc>
        <w:tc>
          <w:tcPr>
            <w:tcW w:w="2683" w:type="dxa"/>
          </w:tcPr>
          <w:p w14:paraId="6841EDDC" w14:textId="427E4DFC" w:rsidR="00382043" w:rsidRDefault="00382043" w:rsidP="009A2571">
            <w:pPr>
              <w:spacing w:line="360" w:lineRule="auto"/>
              <w:rPr>
                <w:rFonts w:hint="eastAsia"/>
                <w:sz w:val="22"/>
              </w:rPr>
            </w:pPr>
            <w:r w:rsidRPr="00382043">
              <w:rPr>
                <w:rFonts w:hint="eastAsia"/>
                <w:sz w:val="22"/>
              </w:rPr>
              <w:t>详细</w:t>
            </w:r>
            <w:proofErr w:type="gramStart"/>
            <w:r w:rsidRPr="00382043">
              <w:rPr>
                <w:rFonts w:hint="eastAsia"/>
                <w:sz w:val="22"/>
              </w:rPr>
              <w:t>应答见</w:t>
            </w:r>
            <w:proofErr w:type="gramEnd"/>
            <w:r>
              <w:rPr>
                <w:rFonts w:hint="eastAsia"/>
                <w:sz w:val="22"/>
              </w:rPr>
              <w:t>4.1</w:t>
            </w:r>
            <w:r w:rsidRPr="00382043">
              <w:rPr>
                <w:rFonts w:hint="eastAsia"/>
                <w:sz w:val="22"/>
              </w:rPr>
              <w:t>.</w:t>
            </w:r>
            <w:r>
              <w:rPr>
                <w:rFonts w:hint="eastAsia"/>
                <w:sz w:val="22"/>
              </w:rPr>
              <w:t>责任</w:t>
            </w:r>
          </w:p>
          <w:p w14:paraId="69F8A99E" w14:textId="5242D067" w:rsidR="00455AF9" w:rsidRPr="00920338" w:rsidRDefault="00382043" w:rsidP="009A2571">
            <w:pPr>
              <w:spacing w:line="360" w:lineRule="auto"/>
              <w:rPr>
                <w:rFonts w:hint="eastAsia"/>
                <w:sz w:val="22"/>
              </w:rPr>
            </w:pPr>
            <w:r w:rsidRPr="00382043">
              <w:rPr>
                <w:sz w:val="22"/>
              </w:rPr>
              <w:t>我们将以高度的责任感全面主导整体项目，从项目规划、实施到切换上线的全流程均由专业团队严格把控。我们凭借丰富的项目管理经验和成熟的技术体系，制定严谨的实施方案与应急预案，对系统部</w:t>
            </w:r>
            <w:r w:rsidRPr="00382043">
              <w:rPr>
                <w:sz w:val="22"/>
              </w:rPr>
              <w:lastRenderedPageBreak/>
              <w:t>署、切换和上线过程中的每一个环节进行细致评估与风险排查，采用分阶段、分步骤推进的方式，实时监控项目进度与系统状态，确保所有风险处于可控范围，杜绝因重大故障引发业务问题，全力保障项目顺利交付并稳定运行。</w:t>
            </w:r>
          </w:p>
        </w:tc>
      </w:tr>
      <w:tr w:rsidR="00455AF9" w:rsidRPr="00920338" w14:paraId="3F95AEF0" w14:textId="77777777" w:rsidTr="009A2571">
        <w:tc>
          <w:tcPr>
            <w:tcW w:w="543" w:type="dxa"/>
          </w:tcPr>
          <w:p w14:paraId="4865D848" w14:textId="77777777" w:rsidR="00455AF9" w:rsidRDefault="00455AF9" w:rsidP="009A2571">
            <w:pPr>
              <w:spacing w:line="360" w:lineRule="auto"/>
              <w:jc w:val="center"/>
              <w:rPr>
                <w:rFonts w:hint="eastAsia"/>
                <w:sz w:val="22"/>
              </w:rPr>
            </w:pPr>
          </w:p>
        </w:tc>
        <w:tc>
          <w:tcPr>
            <w:tcW w:w="5681" w:type="dxa"/>
          </w:tcPr>
          <w:p w14:paraId="0627231E"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4.2  ★投标人要求</w:t>
            </w:r>
          </w:p>
          <w:p w14:paraId="267AEB06" w14:textId="77777777" w:rsidR="00455AF9" w:rsidRPr="00923308" w:rsidRDefault="00455AF9" w:rsidP="009A2571">
            <w:pPr>
              <w:autoSpaceDE w:val="0"/>
              <w:autoSpaceDN w:val="0"/>
              <w:adjustRightInd w:val="0"/>
              <w:spacing w:afterLines="50" w:after="156"/>
              <w:rPr>
                <w:rFonts w:asciiTheme="minorEastAsia" w:hAnsiTheme="minorEastAsia" w:hint="eastAsia"/>
                <w:color w:val="000000"/>
                <w:kern w:val="0"/>
                <w:sz w:val="20"/>
                <w:szCs w:val="20"/>
              </w:rPr>
            </w:pPr>
            <w:r w:rsidRPr="00923308">
              <w:rPr>
                <w:rFonts w:asciiTheme="minorEastAsia" w:hAnsiTheme="minorEastAsia" w:hint="eastAsia"/>
                <w:color w:val="000000"/>
                <w:kern w:val="0"/>
                <w:sz w:val="20"/>
                <w:szCs w:val="20"/>
              </w:rPr>
              <w:t>所有实施服务由投标人工程师或</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原厂工程师完成。</w:t>
            </w:r>
          </w:p>
        </w:tc>
        <w:tc>
          <w:tcPr>
            <w:tcW w:w="761" w:type="dxa"/>
          </w:tcPr>
          <w:p w14:paraId="549716B3" w14:textId="276B6A80" w:rsidR="00455AF9" w:rsidRPr="00920338" w:rsidRDefault="00455AF9" w:rsidP="009A2571">
            <w:pPr>
              <w:spacing w:line="360" w:lineRule="auto"/>
              <w:jc w:val="center"/>
              <w:rPr>
                <w:rFonts w:hint="eastAsia"/>
                <w:sz w:val="22"/>
              </w:rPr>
            </w:pPr>
            <w:r>
              <w:rPr>
                <w:rFonts w:hint="eastAsia"/>
                <w:sz w:val="22"/>
              </w:rPr>
              <w:t>满足</w:t>
            </w:r>
          </w:p>
        </w:tc>
        <w:tc>
          <w:tcPr>
            <w:tcW w:w="2683" w:type="dxa"/>
          </w:tcPr>
          <w:p w14:paraId="434EC2D8" w14:textId="4425801F" w:rsidR="00455AF9" w:rsidRPr="00920338" w:rsidRDefault="00382043" w:rsidP="009A2571">
            <w:pPr>
              <w:spacing w:line="360" w:lineRule="auto"/>
              <w:rPr>
                <w:rFonts w:hint="eastAsia"/>
                <w:sz w:val="22"/>
              </w:rPr>
            </w:pPr>
            <w:r w:rsidRPr="00382043">
              <w:rPr>
                <w:sz w:val="22"/>
              </w:rPr>
              <w:t>我们承诺本项目所有实施服务，将由我方专业工程师或华为云原厂工程师执行。这些工程师具备华为</w:t>
            </w:r>
            <w:proofErr w:type="gramStart"/>
            <w:r w:rsidRPr="00382043">
              <w:rPr>
                <w:sz w:val="22"/>
              </w:rPr>
              <w:t>云技术</w:t>
            </w:r>
            <w:proofErr w:type="gramEnd"/>
            <w:r w:rsidRPr="00382043">
              <w:rPr>
                <w:sz w:val="22"/>
              </w:rPr>
              <w:t>体系的深度认证，</w:t>
            </w:r>
            <w:proofErr w:type="gramStart"/>
            <w:r w:rsidRPr="00382043">
              <w:rPr>
                <w:sz w:val="22"/>
              </w:rPr>
              <w:t>熟悉云</w:t>
            </w:r>
            <w:proofErr w:type="gramEnd"/>
            <w:r w:rsidRPr="00382043">
              <w:rPr>
                <w:sz w:val="22"/>
              </w:rPr>
              <w:t>平台架构、迁移流程及</w:t>
            </w:r>
            <w:proofErr w:type="gramStart"/>
            <w:r w:rsidRPr="00382043">
              <w:rPr>
                <w:sz w:val="22"/>
              </w:rPr>
              <w:t>容灾等服务</w:t>
            </w:r>
            <w:proofErr w:type="gramEnd"/>
            <w:r w:rsidRPr="00382043">
              <w:rPr>
                <w:sz w:val="22"/>
              </w:rPr>
              <w:t>逻辑，拥有丰富的项目实操经验，能够精准把</w:t>
            </w:r>
            <w:proofErr w:type="gramStart"/>
            <w:r w:rsidRPr="00382043">
              <w:rPr>
                <w:sz w:val="22"/>
              </w:rPr>
              <w:t>控实施</w:t>
            </w:r>
            <w:proofErr w:type="gramEnd"/>
            <w:r w:rsidRPr="00382043">
              <w:rPr>
                <w:sz w:val="22"/>
              </w:rPr>
              <w:t>细节，保障从</w:t>
            </w:r>
            <w:proofErr w:type="gramStart"/>
            <w:r w:rsidRPr="00382043">
              <w:rPr>
                <w:sz w:val="22"/>
              </w:rPr>
              <w:t>云资源</w:t>
            </w:r>
            <w:proofErr w:type="gramEnd"/>
            <w:r w:rsidRPr="00382043">
              <w:rPr>
                <w:sz w:val="22"/>
              </w:rPr>
              <w:t xml:space="preserve">部署、专线建设到系统迁移等全流程服务质量，以专业能力为项目顺利推进与 </w:t>
            </w:r>
            <w:proofErr w:type="spellStart"/>
            <w:r w:rsidRPr="00382043">
              <w:rPr>
                <w:sz w:val="22"/>
              </w:rPr>
              <w:t>Ameco</w:t>
            </w:r>
            <w:proofErr w:type="spellEnd"/>
            <w:r w:rsidRPr="00382043">
              <w:rPr>
                <w:sz w:val="22"/>
              </w:rPr>
              <w:t xml:space="preserve"> 业务稳定运行筑牢技术根基 。</w:t>
            </w:r>
          </w:p>
        </w:tc>
      </w:tr>
      <w:tr w:rsidR="00455AF9" w:rsidRPr="00920338" w14:paraId="66BCE294" w14:textId="77777777" w:rsidTr="009A2571">
        <w:tc>
          <w:tcPr>
            <w:tcW w:w="543" w:type="dxa"/>
          </w:tcPr>
          <w:p w14:paraId="6C64F830" w14:textId="77777777" w:rsidR="00455AF9" w:rsidRDefault="00455AF9" w:rsidP="009A2571">
            <w:pPr>
              <w:spacing w:line="360" w:lineRule="auto"/>
              <w:jc w:val="center"/>
              <w:rPr>
                <w:rFonts w:hint="eastAsia"/>
                <w:sz w:val="22"/>
              </w:rPr>
            </w:pPr>
          </w:p>
        </w:tc>
        <w:tc>
          <w:tcPr>
            <w:tcW w:w="5681" w:type="dxa"/>
          </w:tcPr>
          <w:p w14:paraId="789242D1"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4.3  ★服务范围</w:t>
            </w:r>
          </w:p>
          <w:p w14:paraId="1E1A5605"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专线部署。</w:t>
            </w:r>
          </w:p>
          <w:p w14:paraId="7362CEA9"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2)</w:t>
            </w:r>
            <w:r w:rsidRPr="00923308">
              <w:rPr>
                <w:rFonts w:asciiTheme="minorEastAsia" w:hAnsiTheme="minorEastAsia" w:hint="eastAsia"/>
                <w:sz w:val="20"/>
                <w:szCs w:val="20"/>
              </w:rPr>
              <w:tab/>
              <w:t>混合云架构设计，与当前云平台一致。</w:t>
            </w:r>
          </w:p>
          <w:p w14:paraId="309F2939"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协助资源下单。</w:t>
            </w:r>
          </w:p>
          <w:p w14:paraId="64FD450C"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r>
            <w:proofErr w:type="spellStart"/>
            <w:r w:rsidRPr="00923308">
              <w:rPr>
                <w:rFonts w:asciiTheme="minorEastAsia" w:hAnsiTheme="minorEastAsia" w:hint="eastAsia"/>
                <w:sz w:val="20"/>
                <w:szCs w:val="20"/>
              </w:rPr>
              <w:t>Ameco</w:t>
            </w:r>
            <w:proofErr w:type="spellEnd"/>
            <w:proofErr w:type="gramStart"/>
            <w:r w:rsidRPr="00923308">
              <w:rPr>
                <w:rFonts w:asciiTheme="minorEastAsia" w:hAnsiTheme="minorEastAsia" w:hint="eastAsia"/>
                <w:sz w:val="20"/>
                <w:szCs w:val="20"/>
              </w:rPr>
              <w:t>主容灾云平台全资源</w:t>
            </w:r>
            <w:proofErr w:type="gramEnd"/>
            <w:r w:rsidRPr="00923308">
              <w:rPr>
                <w:rFonts w:asciiTheme="minorEastAsia" w:hAnsiTheme="minorEastAsia" w:hint="eastAsia"/>
                <w:sz w:val="20"/>
                <w:szCs w:val="20"/>
              </w:rPr>
              <w:t>迁移，包含但不限于以下资源。待迁移资源以实际为准，</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承诺待迁移</w:t>
            </w:r>
            <w:proofErr w:type="gramStart"/>
            <w:r w:rsidRPr="00923308">
              <w:rPr>
                <w:rFonts w:asciiTheme="minorEastAsia" w:hAnsiTheme="minorEastAsia" w:hint="eastAsia"/>
                <w:sz w:val="20"/>
                <w:szCs w:val="20"/>
              </w:rPr>
              <w:t>资源月</w:t>
            </w:r>
            <w:proofErr w:type="gramEnd"/>
            <w:r w:rsidRPr="00923308">
              <w:rPr>
                <w:rFonts w:asciiTheme="minorEastAsia" w:hAnsiTheme="minorEastAsia" w:hint="eastAsia"/>
                <w:sz w:val="20"/>
                <w:szCs w:val="20"/>
              </w:rPr>
              <w:t>费用（在AWS平台的原价）不超过10万元。本次迁移服务为一次性工作。</w:t>
            </w:r>
          </w:p>
          <w:p w14:paraId="634ED94A"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lastRenderedPageBreak/>
              <w:t>5)</w:t>
            </w:r>
            <w:r w:rsidRPr="00923308">
              <w:rPr>
                <w:rFonts w:asciiTheme="minorEastAsia" w:hAnsiTheme="minorEastAsia" w:hint="eastAsia"/>
                <w:sz w:val="20"/>
                <w:szCs w:val="20"/>
              </w:rPr>
              <w:tab/>
              <w:t>混合</w:t>
            </w:r>
            <w:proofErr w:type="gramStart"/>
            <w:r w:rsidRPr="00923308">
              <w:rPr>
                <w:rFonts w:asciiTheme="minorEastAsia" w:hAnsiTheme="minorEastAsia" w:hint="eastAsia"/>
                <w:sz w:val="20"/>
                <w:szCs w:val="20"/>
              </w:rPr>
              <w:t>云容灾服务</w:t>
            </w:r>
            <w:proofErr w:type="gramEnd"/>
            <w:r w:rsidRPr="00923308">
              <w:rPr>
                <w:rFonts w:asciiTheme="minorEastAsia" w:hAnsiTheme="minorEastAsia" w:hint="eastAsia"/>
                <w:sz w:val="20"/>
                <w:szCs w:val="20"/>
              </w:rPr>
              <w:t>迁移：基于</w:t>
            </w:r>
            <w:proofErr w:type="gramStart"/>
            <w:r w:rsidRPr="00923308">
              <w:rPr>
                <w:rFonts w:asciiTheme="minorEastAsia" w:hAnsiTheme="minorEastAsia" w:hint="eastAsia"/>
                <w:sz w:val="20"/>
                <w:szCs w:val="20"/>
              </w:rPr>
              <w:t>云信达容</w:t>
            </w:r>
            <w:proofErr w:type="gramEnd"/>
            <w:r w:rsidRPr="00923308">
              <w:rPr>
                <w:rFonts w:asciiTheme="minorEastAsia" w:hAnsiTheme="minorEastAsia" w:hint="eastAsia"/>
                <w:sz w:val="20"/>
                <w:szCs w:val="20"/>
              </w:rPr>
              <w:t>灾系统，或提供相同功能的</w:t>
            </w:r>
            <w:proofErr w:type="gramStart"/>
            <w:r w:rsidRPr="00923308">
              <w:rPr>
                <w:rFonts w:asciiTheme="minorEastAsia" w:hAnsiTheme="minorEastAsia" w:hint="eastAsia"/>
                <w:sz w:val="20"/>
                <w:szCs w:val="20"/>
              </w:rPr>
              <w:t>混合云容灾</w:t>
            </w:r>
            <w:proofErr w:type="gramEnd"/>
            <w:r w:rsidRPr="00923308">
              <w:rPr>
                <w:rFonts w:asciiTheme="minorEastAsia" w:hAnsiTheme="minorEastAsia" w:hint="eastAsia"/>
                <w:sz w:val="20"/>
                <w:szCs w:val="20"/>
              </w:rPr>
              <w:t>服务。</w:t>
            </w:r>
          </w:p>
          <w:p w14:paraId="62F2D65B"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6)</w:t>
            </w:r>
            <w:r w:rsidRPr="00923308">
              <w:rPr>
                <w:rFonts w:asciiTheme="minorEastAsia" w:hAnsiTheme="minorEastAsia" w:hint="eastAsia"/>
                <w:sz w:val="20"/>
                <w:szCs w:val="20"/>
              </w:rPr>
              <w:tab/>
              <w:t>配合业务迁移调整应用系统。</w:t>
            </w:r>
          </w:p>
          <w:p w14:paraId="19163F2C"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7)</w:t>
            </w:r>
            <w:r w:rsidRPr="00923308">
              <w:rPr>
                <w:rFonts w:asciiTheme="minorEastAsia" w:hAnsiTheme="minorEastAsia" w:hint="eastAsia"/>
                <w:sz w:val="20"/>
                <w:szCs w:val="20"/>
              </w:rPr>
              <w:tab/>
              <w:t>部署，迁移，切换等实施需完全满足</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需求。</w:t>
            </w:r>
          </w:p>
          <w:p w14:paraId="058233DC"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8)</w:t>
            </w:r>
            <w:r w:rsidRPr="00923308">
              <w:rPr>
                <w:rFonts w:asciiTheme="minorEastAsia" w:hAnsiTheme="minorEastAsia" w:hint="eastAsia"/>
                <w:sz w:val="20"/>
                <w:szCs w:val="20"/>
              </w:rPr>
              <w:tab/>
              <w:t>建立GPU资源池。</w:t>
            </w:r>
          </w:p>
        </w:tc>
        <w:tc>
          <w:tcPr>
            <w:tcW w:w="761" w:type="dxa"/>
          </w:tcPr>
          <w:p w14:paraId="6F0C2D3A" w14:textId="5EE16852" w:rsidR="00455AF9" w:rsidRPr="00920338" w:rsidRDefault="00455AF9" w:rsidP="009A2571">
            <w:pPr>
              <w:spacing w:line="360" w:lineRule="auto"/>
              <w:jc w:val="center"/>
              <w:rPr>
                <w:rFonts w:hint="eastAsia"/>
                <w:sz w:val="22"/>
              </w:rPr>
            </w:pPr>
            <w:r>
              <w:rPr>
                <w:rFonts w:hint="eastAsia"/>
                <w:sz w:val="22"/>
              </w:rPr>
              <w:lastRenderedPageBreak/>
              <w:t>满足</w:t>
            </w:r>
          </w:p>
        </w:tc>
        <w:tc>
          <w:tcPr>
            <w:tcW w:w="2683" w:type="dxa"/>
          </w:tcPr>
          <w:p w14:paraId="6C782937" w14:textId="405CE72F" w:rsidR="00455AF9" w:rsidRDefault="00D33EE5" w:rsidP="009A2571">
            <w:pPr>
              <w:spacing w:line="360" w:lineRule="auto"/>
              <w:rPr>
                <w:rFonts w:hint="eastAsia"/>
                <w:sz w:val="22"/>
              </w:rPr>
            </w:pPr>
            <w:r w:rsidRPr="00D33EE5">
              <w:rPr>
                <w:rFonts w:hint="eastAsia"/>
                <w:sz w:val="22"/>
              </w:rPr>
              <w:t>详细</w:t>
            </w:r>
            <w:proofErr w:type="gramStart"/>
            <w:r w:rsidRPr="00D33EE5">
              <w:rPr>
                <w:rFonts w:hint="eastAsia"/>
                <w:sz w:val="22"/>
              </w:rPr>
              <w:t>应答见</w:t>
            </w:r>
            <w:proofErr w:type="gramEnd"/>
            <w:r>
              <w:rPr>
                <w:rFonts w:hint="eastAsia"/>
                <w:sz w:val="22"/>
              </w:rPr>
              <w:t>4.</w:t>
            </w:r>
            <w:r w:rsidRPr="00D33EE5">
              <w:rPr>
                <w:rFonts w:hint="eastAsia"/>
                <w:sz w:val="22"/>
              </w:rPr>
              <w:t>3.</w:t>
            </w:r>
            <w:r>
              <w:rPr>
                <w:rFonts w:hint="eastAsia"/>
                <w:sz w:val="22"/>
              </w:rPr>
              <w:t>服务范围</w:t>
            </w:r>
          </w:p>
          <w:p w14:paraId="412FEDA6" w14:textId="4BDC6F27" w:rsidR="00D33EE5" w:rsidRPr="00920338" w:rsidRDefault="00D33EE5" w:rsidP="009A2571">
            <w:pPr>
              <w:spacing w:line="360" w:lineRule="auto"/>
              <w:rPr>
                <w:rFonts w:hint="eastAsia"/>
                <w:sz w:val="22"/>
              </w:rPr>
            </w:pPr>
            <w:r w:rsidRPr="00D33EE5">
              <w:rPr>
                <w:sz w:val="22"/>
              </w:rPr>
              <w:t>我们将全面</w:t>
            </w:r>
            <w:proofErr w:type="gramStart"/>
            <w:r w:rsidRPr="00D33EE5">
              <w:rPr>
                <w:sz w:val="22"/>
              </w:rPr>
              <w:t>覆盖您</w:t>
            </w:r>
            <w:proofErr w:type="gramEnd"/>
            <w:r w:rsidRPr="00D33EE5">
              <w:rPr>
                <w:sz w:val="22"/>
              </w:rPr>
              <w:t>提出的服务范围。我们会专业、高效地完成专线部署，依据</w:t>
            </w:r>
            <w:r w:rsidRPr="00D33EE5">
              <w:rPr>
                <w:sz w:val="22"/>
              </w:rPr>
              <w:lastRenderedPageBreak/>
              <w:t xml:space="preserve">华为云架构体系设计契合当前平台的混合云架构；积极协助进行资源下单流程，保障资源精准配置。针对 </w:t>
            </w:r>
            <w:proofErr w:type="spellStart"/>
            <w:r w:rsidRPr="00D33EE5">
              <w:rPr>
                <w:sz w:val="22"/>
              </w:rPr>
              <w:t>Ameco</w:t>
            </w:r>
            <w:proofErr w:type="spellEnd"/>
            <w:r w:rsidRPr="00D33EE5">
              <w:rPr>
                <w:sz w:val="22"/>
              </w:rPr>
              <w:t xml:space="preserve"> </w:t>
            </w:r>
            <w:proofErr w:type="gramStart"/>
            <w:r w:rsidRPr="00D33EE5">
              <w:rPr>
                <w:sz w:val="22"/>
              </w:rPr>
              <w:t>主容灾云平台全资源</w:t>
            </w:r>
            <w:proofErr w:type="gramEnd"/>
            <w:r w:rsidRPr="00D33EE5">
              <w:rPr>
                <w:sz w:val="22"/>
              </w:rPr>
              <w:t>迁移，我们凭借成熟迁移方案与技术团队，对实际待迁移资源（月费用在 AWS 平台原价不超 10 万元 ）开展一次性迁移，涵盖各类资源迁移工作；在混合</w:t>
            </w:r>
            <w:proofErr w:type="gramStart"/>
            <w:r w:rsidRPr="00D33EE5">
              <w:rPr>
                <w:sz w:val="22"/>
              </w:rPr>
              <w:t>云容灾服务</w:t>
            </w:r>
            <w:proofErr w:type="gramEnd"/>
            <w:r w:rsidRPr="00D33EE5">
              <w:rPr>
                <w:sz w:val="22"/>
              </w:rPr>
              <w:t>迁移上，基于</w:t>
            </w:r>
            <w:proofErr w:type="gramStart"/>
            <w:r w:rsidRPr="00D33EE5">
              <w:rPr>
                <w:sz w:val="22"/>
              </w:rPr>
              <w:t>云信达容灾系统</w:t>
            </w:r>
            <w:proofErr w:type="gramEnd"/>
            <w:r w:rsidRPr="00D33EE5">
              <w:rPr>
                <w:sz w:val="22"/>
              </w:rPr>
              <w:t>或提供等效</w:t>
            </w:r>
            <w:proofErr w:type="gramStart"/>
            <w:r w:rsidRPr="00D33EE5">
              <w:rPr>
                <w:sz w:val="22"/>
              </w:rPr>
              <w:t>混合云容灾</w:t>
            </w:r>
            <w:proofErr w:type="gramEnd"/>
            <w:r w:rsidRPr="00D33EE5">
              <w:rPr>
                <w:sz w:val="22"/>
              </w:rPr>
              <w:t xml:space="preserve">服务，保障业务容灾能力。同时，配合业务迁移灵活调整应用系统，让部署、迁移、切换等实施环节完全贴合 </w:t>
            </w:r>
            <w:proofErr w:type="spellStart"/>
            <w:r w:rsidRPr="00D33EE5">
              <w:rPr>
                <w:sz w:val="22"/>
              </w:rPr>
              <w:t>Ameco</w:t>
            </w:r>
            <w:proofErr w:type="spellEnd"/>
            <w:r w:rsidRPr="00D33EE5">
              <w:rPr>
                <w:sz w:val="22"/>
              </w:rPr>
              <w:t xml:space="preserve"> 需求，还会按规划搭建 GPU 资源池，助力业务高效开展，以全流程专业服务为项目落地与业务发展赋能。</w:t>
            </w:r>
          </w:p>
        </w:tc>
      </w:tr>
      <w:tr w:rsidR="00455AF9" w:rsidRPr="00920338" w14:paraId="7953E7F7" w14:textId="77777777" w:rsidTr="009A2571">
        <w:tc>
          <w:tcPr>
            <w:tcW w:w="543" w:type="dxa"/>
          </w:tcPr>
          <w:p w14:paraId="774D2978" w14:textId="77777777" w:rsidR="00455AF9" w:rsidRDefault="00455AF9" w:rsidP="009A2571">
            <w:pPr>
              <w:spacing w:line="360" w:lineRule="auto"/>
              <w:jc w:val="center"/>
              <w:rPr>
                <w:rFonts w:hint="eastAsia"/>
                <w:sz w:val="22"/>
              </w:rPr>
            </w:pPr>
          </w:p>
        </w:tc>
        <w:tc>
          <w:tcPr>
            <w:tcW w:w="5681" w:type="dxa"/>
          </w:tcPr>
          <w:p w14:paraId="663CDB66"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4.4  ★项目经理</w:t>
            </w:r>
          </w:p>
          <w:p w14:paraId="47B9CD2B"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投标人提供至少一名</w:t>
            </w:r>
            <w:proofErr w:type="gramStart"/>
            <w:r w:rsidRPr="00923308">
              <w:rPr>
                <w:rFonts w:asciiTheme="minorEastAsia" w:hAnsiTheme="minorEastAsia" w:hint="eastAsia"/>
                <w:sz w:val="20"/>
                <w:szCs w:val="20"/>
              </w:rPr>
              <w:t>专职项目</w:t>
            </w:r>
            <w:proofErr w:type="gramEnd"/>
            <w:r w:rsidRPr="00923308">
              <w:rPr>
                <w:rFonts w:asciiTheme="minorEastAsia" w:hAnsiTheme="minorEastAsia" w:hint="eastAsia"/>
                <w:sz w:val="20"/>
                <w:szCs w:val="20"/>
              </w:rPr>
              <w:t>经理配合</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协调控制整体项目进度，并定期（至少包含周报、月报、</w:t>
            </w:r>
            <w:proofErr w:type="gramStart"/>
            <w:r w:rsidRPr="00923308">
              <w:rPr>
                <w:rFonts w:asciiTheme="minorEastAsia" w:hAnsiTheme="minorEastAsia" w:hint="eastAsia"/>
                <w:sz w:val="20"/>
                <w:szCs w:val="20"/>
              </w:rPr>
              <w:t>结项报告</w:t>
            </w:r>
            <w:proofErr w:type="gramEnd"/>
            <w:r w:rsidRPr="00923308">
              <w:rPr>
                <w:rFonts w:asciiTheme="minorEastAsia" w:hAnsiTheme="minorEastAsia" w:hint="eastAsia"/>
                <w:sz w:val="20"/>
                <w:szCs w:val="20"/>
              </w:rPr>
              <w:t>等）向</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汇报项目进度；</w:t>
            </w:r>
          </w:p>
          <w:p w14:paraId="3E00C0CA"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项目经理具备5年及以</w:t>
            </w:r>
            <w:proofErr w:type="gramStart"/>
            <w:r w:rsidRPr="00923308">
              <w:rPr>
                <w:rFonts w:asciiTheme="minorEastAsia" w:hAnsiTheme="minorEastAsia" w:hint="eastAsia"/>
                <w:sz w:val="20"/>
                <w:szCs w:val="20"/>
              </w:rPr>
              <w:t>上年企业</w:t>
            </w:r>
            <w:proofErr w:type="gramEnd"/>
            <w:r w:rsidRPr="00923308">
              <w:rPr>
                <w:rFonts w:asciiTheme="minorEastAsia" w:hAnsiTheme="minorEastAsia" w:hint="eastAsia"/>
                <w:sz w:val="20"/>
                <w:szCs w:val="20"/>
              </w:rPr>
              <w:t>级IT部署项目的管理经验；</w:t>
            </w:r>
          </w:p>
        </w:tc>
        <w:tc>
          <w:tcPr>
            <w:tcW w:w="761" w:type="dxa"/>
          </w:tcPr>
          <w:p w14:paraId="3DF0DAE0" w14:textId="086BF7FF" w:rsidR="00455AF9" w:rsidRPr="00920338" w:rsidRDefault="00455AF9" w:rsidP="009A2571">
            <w:pPr>
              <w:spacing w:line="360" w:lineRule="auto"/>
              <w:jc w:val="center"/>
              <w:rPr>
                <w:rFonts w:hint="eastAsia"/>
                <w:sz w:val="22"/>
              </w:rPr>
            </w:pPr>
            <w:r>
              <w:rPr>
                <w:rFonts w:hint="eastAsia"/>
                <w:sz w:val="22"/>
              </w:rPr>
              <w:t>满足</w:t>
            </w:r>
          </w:p>
        </w:tc>
        <w:tc>
          <w:tcPr>
            <w:tcW w:w="2683" w:type="dxa"/>
          </w:tcPr>
          <w:p w14:paraId="2C8A6F4D" w14:textId="350A3BA3" w:rsidR="00455AF9" w:rsidRDefault="00D33EE5" w:rsidP="009A2571">
            <w:pPr>
              <w:spacing w:line="360" w:lineRule="auto"/>
              <w:rPr>
                <w:rFonts w:hint="eastAsia"/>
                <w:sz w:val="22"/>
              </w:rPr>
            </w:pPr>
            <w:r w:rsidRPr="00D33EE5">
              <w:rPr>
                <w:rFonts w:hint="eastAsia"/>
                <w:sz w:val="22"/>
              </w:rPr>
              <w:t>详细</w:t>
            </w:r>
            <w:proofErr w:type="gramStart"/>
            <w:r w:rsidRPr="00D33EE5">
              <w:rPr>
                <w:rFonts w:hint="eastAsia"/>
                <w:sz w:val="22"/>
              </w:rPr>
              <w:t>应答见</w:t>
            </w:r>
            <w:proofErr w:type="gramEnd"/>
            <w:r>
              <w:rPr>
                <w:rFonts w:hint="eastAsia"/>
                <w:sz w:val="22"/>
              </w:rPr>
              <w:t>4.4</w:t>
            </w:r>
            <w:r w:rsidRPr="00D33EE5">
              <w:rPr>
                <w:rFonts w:hint="eastAsia"/>
                <w:sz w:val="22"/>
              </w:rPr>
              <w:t>.</w:t>
            </w:r>
            <w:r>
              <w:rPr>
                <w:rFonts w:hint="eastAsia"/>
                <w:sz w:val="22"/>
              </w:rPr>
              <w:t>项目经理</w:t>
            </w:r>
          </w:p>
          <w:p w14:paraId="5C09A6E1" w14:textId="0A720BA7" w:rsidR="00D33EE5" w:rsidRPr="00920338" w:rsidRDefault="00D33EE5" w:rsidP="009A2571">
            <w:pPr>
              <w:spacing w:line="360" w:lineRule="auto"/>
              <w:rPr>
                <w:rFonts w:hint="eastAsia"/>
                <w:sz w:val="22"/>
              </w:rPr>
            </w:pPr>
            <w:r w:rsidRPr="00D33EE5">
              <w:rPr>
                <w:sz w:val="22"/>
              </w:rPr>
              <w:t>我们将为项目配备至少一名</w:t>
            </w:r>
            <w:proofErr w:type="gramStart"/>
            <w:r w:rsidRPr="00D33EE5">
              <w:rPr>
                <w:sz w:val="22"/>
              </w:rPr>
              <w:t>专职项目</w:t>
            </w:r>
            <w:proofErr w:type="gramEnd"/>
            <w:r w:rsidRPr="00D33EE5">
              <w:rPr>
                <w:sz w:val="22"/>
              </w:rPr>
              <w:t xml:space="preserve">经理，全面负责与 </w:t>
            </w:r>
            <w:proofErr w:type="spellStart"/>
            <w:r w:rsidRPr="00D33EE5">
              <w:rPr>
                <w:sz w:val="22"/>
              </w:rPr>
              <w:t>Ameco</w:t>
            </w:r>
            <w:proofErr w:type="spellEnd"/>
            <w:r w:rsidRPr="00D33EE5">
              <w:rPr>
                <w:sz w:val="22"/>
              </w:rPr>
              <w:t xml:space="preserve"> 的协调工作并严格把控项目整体进度。该项目经理具备 5 年</w:t>
            </w:r>
            <w:r w:rsidRPr="00D33EE5">
              <w:rPr>
                <w:sz w:val="22"/>
              </w:rPr>
              <w:lastRenderedPageBreak/>
              <w:t xml:space="preserve">及以上企业级 IT 部署项目管理经验，能够精准规划项目节点、高效调配资源。在项目推进过程中，将定期向 </w:t>
            </w:r>
            <w:proofErr w:type="spellStart"/>
            <w:r w:rsidRPr="00D33EE5">
              <w:rPr>
                <w:sz w:val="22"/>
              </w:rPr>
              <w:t>Ameco</w:t>
            </w:r>
            <w:proofErr w:type="spellEnd"/>
            <w:r w:rsidRPr="00D33EE5">
              <w:rPr>
                <w:sz w:val="22"/>
              </w:rPr>
              <w:t xml:space="preserve"> 提交包含周报、月报</w:t>
            </w:r>
            <w:proofErr w:type="gramStart"/>
            <w:r w:rsidRPr="00D33EE5">
              <w:rPr>
                <w:sz w:val="22"/>
              </w:rPr>
              <w:t>及结项报告</w:t>
            </w:r>
            <w:proofErr w:type="gramEnd"/>
            <w:r w:rsidRPr="00D33EE5">
              <w:rPr>
                <w:sz w:val="22"/>
              </w:rPr>
              <w:t>等在内的详细进度汇报，确保项目各阶段进展透明可控，以丰富的管理经验和专业的协调能力保障项目按计划高质量交付。</w:t>
            </w:r>
          </w:p>
        </w:tc>
      </w:tr>
      <w:tr w:rsidR="00455AF9" w:rsidRPr="00920338" w14:paraId="1B43AEC3" w14:textId="77777777" w:rsidTr="009A2571">
        <w:tc>
          <w:tcPr>
            <w:tcW w:w="543" w:type="dxa"/>
          </w:tcPr>
          <w:p w14:paraId="22F6F3F5" w14:textId="77777777" w:rsidR="00455AF9" w:rsidRDefault="00455AF9" w:rsidP="009A2571">
            <w:pPr>
              <w:spacing w:line="360" w:lineRule="auto"/>
              <w:jc w:val="center"/>
              <w:rPr>
                <w:rFonts w:hint="eastAsia"/>
                <w:sz w:val="22"/>
              </w:rPr>
            </w:pPr>
          </w:p>
        </w:tc>
        <w:tc>
          <w:tcPr>
            <w:tcW w:w="5681" w:type="dxa"/>
          </w:tcPr>
          <w:p w14:paraId="76F9AFFA"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4.6  ★实施要求</w:t>
            </w:r>
          </w:p>
          <w:p w14:paraId="63E10FF1"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项目实施前制定整体计划及各个实施工作的详细方案；</w:t>
            </w:r>
          </w:p>
          <w:p w14:paraId="4C2D6FC9"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2)</w:t>
            </w:r>
            <w:r w:rsidRPr="00923308">
              <w:rPr>
                <w:rFonts w:asciiTheme="minorEastAsia" w:hAnsiTheme="minorEastAsia" w:hint="eastAsia"/>
                <w:sz w:val="20"/>
                <w:szCs w:val="20"/>
              </w:rPr>
              <w:tab/>
              <w:t>投标人完成混合云架构方案设计；</w:t>
            </w:r>
          </w:p>
          <w:p w14:paraId="062646B1"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投标人应配合</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部署必要的测试环境；</w:t>
            </w:r>
          </w:p>
          <w:p w14:paraId="0572B185"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t>联合</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制定切实可行的应急预案，制定完善的应急恢复计划；</w:t>
            </w:r>
          </w:p>
          <w:p w14:paraId="1C10FE28"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5)</w:t>
            </w:r>
            <w:r w:rsidRPr="00923308">
              <w:rPr>
                <w:rFonts w:asciiTheme="minorEastAsia" w:hAnsiTheme="minorEastAsia" w:hint="eastAsia"/>
                <w:sz w:val="20"/>
                <w:szCs w:val="20"/>
              </w:rPr>
              <w:tab/>
              <w:t>根据</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要求提供项目所有相关文档；</w:t>
            </w:r>
          </w:p>
          <w:p w14:paraId="52F2F8E8"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6)</w:t>
            </w:r>
            <w:r w:rsidRPr="00923308">
              <w:rPr>
                <w:rFonts w:asciiTheme="minorEastAsia" w:hAnsiTheme="minorEastAsia" w:hint="eastAsia"/>
                <w:sz w:val="20"/>
                <w:szCs w:val="20"/>
              </w:rPr>
              <w:tab/>
              <w:t>性能要求：系统访问、内部调用的速度应符合原AWS平台对应标准；</w:t>
            </w:r>
          </w:p>
          <w:p w14:paraId="4E43B4D9"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7)</w:t>
            </w:r>
            <w:r w:rsidRPr="00923308">
              <w:rPr>
                <w:rFonts w:asciiTheme="minorEastAsia" w:hAnsiTheme="minorEastAsia" w:hint="eastAsia"/>
                <w:sz w:val="20"/>
                <w:szCs w:val="20"/>
              </w:rPr>
              <w:tab/>
              <w:t>实施工作遵守</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对于相关资源及服务的管理流程、规定；</w:t>
            </w:r>
          </w:p>
        </w:tc>
        <w:tc>
          <w:tcPr>
            <w:tcW w:w="761" w:type="dxa"/>
          </w:tcPr>
          <w:p w14:paraId="167DB723" w14:textId="31159BD3" w:rsidR="00455AF9" w:rsidRPr="00920338" w:rsidRDefault="00455AF9" w:rsidP="009A2571">
            <w:pPr>
              <w:spacing w:line="360" w:lineRule="auto"/>
              <w:jc w:val="center"/>
              <w:rPr>
                <w:rFonts w:hint="eastAsia"/>
                <w:sz w:val="22"/>
              </w:rPr>
            </w:pPr>
            <w:r>
              <w:rPr>
                <w:rFonts w:hint="eastAsia"/>
                <w:sz w:val="22"/>
              </w:rPr>
              <w:t>满足</w:t>
            </w:r>
          </w:p>
        </w:tc>
        <w:tc>
          <w:tcPr>
            <w:tcW w:w="2683" w:type="dxa"/>
          </w:tcPr>
          <w:p w14:paraId="6DB2BBEF" w14:textId="6B50318E" w:rsidR="00455AF9" w:rsidRDefault="00D33EE5" w:rsidP="009A2571">
            <w:pPr>
              <w:spacing w:line="360" w:lineRule="auto"/>
              <w:rPr>
                <w:rFonts w:hint="eastAsia"/>
                <w:sz w:val="22"/>
              </w:rPr>
            </w:pPr>
            <w:r w:rsidRPr="00D33EE5">
              <w:rPr>
                <w:rFonts w:hint="eastAsia"/>
                <w:sz w:val="22"/>
              </w:rPr>
              <w:t>详细</w:t>
            </w:r>
            <w:proofErr w:type="gramStart"/>
            <w:r w:rsidRPr="00D33EE5">
              <w:rPr>
                <w:rFonts w:hint="eastAsia"/>
                <w:sz w:val="22"/>
              </w:rPr>
              <w:t>应答见</w:t>
            </w:r>
            <w:proofErr w:type="gramEnd"/>
            <w:r>
              <w:rPr>
                <w:rFonts w:hint="eastAsia"/>
                <w:sz w:val="22"/>
              </w:rPr>
              <w:t>4.6</w:t>
            </w:r>
            <w:r w:rsidRPr="00D33EE5">
              <w:rPr>
                <w:rFonts w:hint="eastAsia"/>
                <w:sz w:val="22"/>
              </w:rPr>
              <w:t>.</w:t>
            </w:r>
            <w:r>
              <w:rPr>
                <w:rFonts w:hint="eastAsia"/>
                <w:sz w:val="22"/>
              </w:rPr>
              <w:t>实施招标文件要求</w:t>
            </w:r>
          </w:p>
          <w:p w14:paraId="6FE76612" w14:textId="162B57E2" w:rsidR="00D33EE5" w:rsidRPr="00920338" w:rsidRDefault="00D33EE5" w:rsidP="009A2571">
            <w:pPr>
              <w:spacing w:line="360" w:lineRule="auto"/>
              <w:rPr>
                <w:rFonts w:hint="eastAsia"/>
                <w:sz w:val="22"/>
              </w:rPr>
            </w:pPr>
            <w:r w:rsidRPr="00D33EE5">
              <w:rPr>
                <w:sz w:val="22"/>
              </w:rPr>
              <w:t xml:space="preserve">我们将严格遵循实施要求推进项目落地。项目实施前，会结合 </w:t>
            </w:r>
            <w:proofErr w:type="spellStart"/>
            <w:r w:rsidRPr="00D33EE5">
              <w:rPr>
                <w:sz w:val="22"/>
              </w:rPr>
              <w:t>Ameco</w:t>
            </w:r>
            <w:proofErr w:type="spellEnd"/>
            <w:r w:rsidRPr="00D33EE5">
              <w:rPr>
                <w:sz w:val="22"/>
              </w:rPr>
              <w:t xml:space="preserve"> 业务特性制定涵盖全流程的整体计划与各环节详细方案，同步完成符合华为</w:t>
            </w:r>
            <w:proofErr w:type="gramStart"/>
            <w:r w:rsidRPr="00D33EE5">
              <w:rPr>
                <w:sz w:val="22"/>
              </w:rPr>
              <w:t>云技术</w:t>
            </w:r>
            <w:proofErr w:type="gramEnd"/>
            <w:r w:rsidRPr="00D33EE5">
              <w:rPr>
                <w:sz w:val="22"/>
              </w:rPr>
              <w:t xml:space="preserve">标准的混合云架构方案设计；积极配合 </w:t>
            </w:r>
            <w:proofErr w:type="spellStart"/>
            <w:r w:rsidRPr="00D33EE5">
              <w:rPr>
                <w:sz w:val="22"/>
              </w:rPr>
              <w:t>Ameco</w:t>
            </w:r>
            <w:proofErr w:type="spellEnd"/>
            <w:r w:rsidRPr="00D33EE5">
              <w:rPr>
                <w:sz w:val="22"/>
              </w:rPr>
              <w:t xml:space="preserve"> 部署必要的测试环境，确保迁移及部署工作的稳定性。同时，联合 </w:t>
            </w:r>
            <w:proofErr w:type="spellStart"/>
            <w:r w:rsidRPr="00D33EE5">
              <w:rPr>
                <w:sz w:val="22"/>
              </w:rPr>
              <w:t>Ameco</w:t>
            </w:r>
            <w:proofErr w:type="spellEnd"/>
            <w:r w:rsidRPr="00D33EE5">
              <w:rPr>
                <w:sz w:val="22"/>
              </w:rPr>
              <w:t xml:space="preserve"> 制定全面的应急预案与应急恢复计划，强化风险防控能力。项目全周期中，按要求提供包含架构设计、测试报告、运维手册等在内</w:t>
            </w:r>
            <w:r w:rsidRPr="00D33EE5">
              <w:rPr>
                <w:sz w:val="22"/>
              </w:rPr>
              <w:lastRenderedPageBreak/>
              <w:t xml:space="preserve">的所有相关文档，保证文档的完整性与规范性。在性能方面，确保系统访问及内部调用速度完全符合原 AWS 平台对应标准，保障业务体验一致性。此外，所有实施工作将严格遵守 </w:t>
            </w:r>
            <w:proofErr w:type="spellStart"/>
            <w:r w:rsidRPr="00D33EE5">
              <w:rPr>
                <w:sz w:val="22"/>
              </w:rPr>
              <w:t>Ameco</w:t>
            </w:r>
            <w:proofErr w:type="spellEnd"/>
            <w:r w:rsidRPr="00D33EE5">
              <w:rPr>
                <w:sz w:val="22"/>
              </w:rPr>
              <w:t xml:space="preserve"> 关于资源及服务的管理流程与规定，以标准化、规范化的实施体系推动项目高质量完成。</w:t>
            </w:r>
          </w:p>
        </w:tc>
      </w:tr>
      <w:tr w:rsidR="00455AF9" w:rsidRPr="00920338" w14:paraId="51B358A3" w14:textId="77777777" w:rsidTr="009A2571">
        <w:tc>
          <w:tcPr>
            <w:tcW w:w="543" w:type="dxa"/>
          </w:tcPr>
          <w:p w14:paraId="0E9429D0" w14:textId="77777777" w:rsidR="00455AF9" w:rsidRDefault="00455AF9" w:rsidP="009A2571">
            <w:pPr>
              <w:spacing w:line="360" w:lineRule="auto"/>
              <w:jc w:val="center"/>
              <w:rPr>
                <w:rFonts w:hint="eastAsia"/>
                <w:sz w:val="22"/>
              </w:rPr>
            </w:pPr>
          </w:p>
        </w:tc>
        <w:tc>
          <w:tcPr>
            <w:tcW w:w="5681" w:type="dxa"/>
          </w:tcPr>
          <w:p w14:paraId="6514C22A"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4.7  ★实施周期</w:t>
            </w:r>
          </w:p>
          <w:p w14:paraId="6869A889"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合同生效后，投标人应在7个工作日内交付</w:t>
            </w:r>
            <w:proofErr w:type="gramStart"/>
            <w:r w:rsidRPr="00923308">
              <w:rPr>
                <w:rFonts w:asciiTheme="minorEastAsia" w:hAnsiTheme="minorEastAsia" w:hint="eastAsia"/>
                <w:sz w:val="20"/>
                <w:szCs w:val="20"/>
              </w:rPr>
              <w:t>公有云</w:t>
            </w:r>
            <w:proofErr w:type="gramEnd"/>
            <w:r w:rsidRPr="00923308">
              <w:rPr>
                <w:rFonts w:asciiTheme="minorEastAsia" w:hAnsiTheme="minorEastAsia" w:hint="eastAsia"/>
                <w:sz w:val="20"/>
                <w:szCs w:val="20"/>
              </w:rPr>
              <w:t>账号，30个工作日内完成专线部署，在专线开通后的30个工作日内完成合理的混合云架构设计、资源开通、应用部署、和相关业务迁移实施。</w:t>
            </w:r>
          </w:p>
        </w:tc>
        <w:tc>
          <w:tcPr>
            <w:tcW w:w="761" w:type="dxa"/>
          </w:tcPr>
          <w:p w14:paraId="38738376" w14:textId="2507AB3F" w:rsidR="00455AF9" w:rsidRPr="00920338" w:rsidRDefault="00455AF9" w:rsidP="009A2571">
            <w:pPr>
              <w:spacing w:line="360" w:lineRule="auto"/>
              <w:jc w:val="center"/>
              <w:rPr>
                <w:rFonts w:hint="eastAsia"/>
                <w:sz w:val="22"/>
              </w:rPr>
            </w:pPr>
            <w:r>
              <w:rPr>
                <w:rFonts w:hint="eastAsia"/>
                <w:sz w:val="22"/>
              </w:rPr>
              <w:t>满足</w:t>
            </w:r>
          </w:p>
        </w:tc>
        <w:tc>
          <w:tcPr>
            <w:tcW w:w="2683" w:type="dxa"/>
          </w:tcPr>
          <w:p w14:paraId="0348D5BF" w14:textId="423853FC" w:rsidR="00D33EE5" w:rsidRDefault="00D33EE5" w:rsidP="009A2571">
            <w:pPr>
              <w:spacing w:line="360" w:lineRule="auto"/>
              <w:rPr>
                <w:rFonts w:hint="eastAsia"/>
                <w:sz w:val="22"/>
              </w:rPr>
            </w:pPr>
            <w:r w:rsidRPr="00D33EE5">
              <w:rPr>
                <w:rFonts w:hint="eastAsia"/>
                <w:sz w:val="22"/>
              </w:rPr>
              <w:t>详细</w:t>
            </w:r>
            <w:proofErr w:type="gramStart"/>
            <w:r w:rsidRPr="00D33EE5">
              <w:rPr>
                <w:rFonts w:hint="eastAsia"/>
                <w:sz w:val="22"/>
              </w:rPr>
              <w:t>应答见</w:t>
            </w:r>
            <w:proofErr w:type="gramEnd"/>
            <w:r>
              <w:rPr>
                <w:rFonts w:hint="eastAsia"/>
                <w:sz w:val="22"/>
              </w:rPr>
              <w:t>4.7实施周期</w:t>
            </w:r>
          </w:p>
          <w:p w14:paraId="42870ABA" w14:textId="0640E975" w:rsidR="00455AF9" w:rsidRPr="00920338" w:rsidRDefault="00D33EE5" w:rsidP="009A2571">
            <w:pPr>
              <w:spacing w:line="360" w:lineRule="auto"/>
              <w:rPr>
                <w:rFonts w:hint="eastAsia"/>
                <w:sz w:val="22"/>
              </w:rPr>
            </w:pPr>
            <w:r w:rsidRPr="00D33EE5">
              <w:rPr>
                <w:sz w:val="22"/>
              </w:rPr>
              <w:t xml:space="preserve">我们将严格把控项目实施周期。合同生效后，7 </w:t>
            </w:r>
            <w:proofErr w:type="gramStart"/>
            <w:r w:rsidRPr="00D33EE5">
              <w:rPr>
                <w:sz w:val="22"/>
              </w:rPr>
              <w:t>个</w:t>
            </w:r>
            <w:proofErr w:type="gramEnd"/>
            <w:r w:rsidRPr="00D33EE5">
              <w:rPr>
                <w:sz w:val="22"/>
              </w:rPr>
              <w:t>工作日内完成</w:t>
            </w:r>
            <w:proofErr w:type="gramStart"/>
            <w:r w:rsidRPr="00D33EE5">
              <w:rPr>
                <w:sz w:val="22"/>
              </w:rPr>
              <w:t>公有云</w:t>
            </w:r>
            <w:proofErr w:type="gramEnd"/>
            <w:r w:rsidRPr="00D33EE5">
              <w:rPr>
                <w:sz w:val="22"/>
              </w:rPr>
              <w:t xml:space="preserve">账号交付；30 </w:t>
            </w:r>
            <w:proofErr w:type="gramStart"/>
            <w:r w:rsidRPr="00D33EE5">
              <w:rPr>
                <w:sz w:val="22"/>
              </w:rPr>
              <w:t>个</w:t>
            </w:r>
            <w:proofErr w:type="gramEnd"/>
            <w:r w:rsidRPr="00D33EE5">
              <w:rPr>
                <w:sz w:val="22"/>
              </w:rPr>
              <w:t xml:space="preserve">工作日内完成专线部署，确保链路稳定连通；待专线开通后 30 </w:t>
            </w:r>
            <w:proofErr w:type="gramStart"/>
            <w:r w:rsidRPr="00D33EE5">
              <w:rPr>
                <w:sz w:val="22"/>
              </w:rPr>
              <w:t>个</w:t>
            </w:r>
            <w:proofErr w:type="gramEnd"/>
            <w:r w:rsidRPr="00D33EE5">
              <w:rPr>
                <w:sz w:val="22"/>
              </w:rPr>
              <w:t xml:space="preserve">工作日内，同步推进混合云架构设计、资源开通、应用部署及相关业务迁移实施工作，各环节均由专业团队按计划推进，通过精细化项目管理确保全流程节点按时交付，保障 </w:t>
            </w:r>
            <w:proofErr w:type="spellStart"/>
            <w:r w:rsidRPr="00D33EE5">
              <w:rPr>
                <w:sz w:val="22"/>
              </w:rPr>
              <w:t>Ameco</w:t>
            </w:r>
            <w:proofErr w:type="spellEnd"/>
            <w:r w:rsidRPr="00D33EE5">
              <w:rPr>
                <w:sz w:val="22"/>
              </w:rPr>
              <w:t xml:space="preserve"> 业务平滑上云。</w:t>
            </w:r>
          </w:p>
        </w:tc>
      </w:tr>
      <w:tr w:rsidR="00455AF9" w:rsidRPr="00920338" w14:paraId="701DDC99" w14:textId="77777777" w:rsidTr="009A2571">
        <w:tc>
          <w:tcPr>
            <w:tcW w:w="543" w:type="dxa"/>
          </w:tcPr>
          <w:p w14:paraId="685C4199" w14:textId="77777777" w:rsidR="00455AF9" w:rsidRDefault="00455AF9" w:rsidP="009A2571">
            <w:pPr>
              <w:spacing w:line="360" w:lineRule="auto"/>
              <w:jc w:val="center"/>
              <w:rPr>
                <w:rFonts w:hint="eastAsia"/>
                <w:sz w:val="22"/>
              </w:rPr>
            </w:pPr>
          </w:p>
        </w:tc>
        <w:tc>
          <w:tcPr>
            <w:tcW w:w="5681" w:type="dxa"/>
          </w:tcPr>
          <w:p w14:paraId="364D895D"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4.8  ★培训</w:t>
            </w:r>
          </w:p>
          <w:p w14:paraId="579B7526"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提供交付服务的技术讲解（单次；</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提供培训场地和培训设施，参加培训的人数不多于6人，讲解时间至少2天），并确保</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运维工程师独立使用该系统；</w:t>
            </w:r>
          </w:p>
          <w:p w14:paraId="01EA0DC6"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lastRenderedPageBreak/>
              <w:t>2)</w:t>
            </w:r>
            <w:r w:rsidRPr="00923308">
              <w:rPr>
                <w:rFonts w:asciiTheme="minorEastAsia" w:hAnsiTheme="minorEastAsia" w:hint="eastAsia"/>
                <w:sz w:val="20"/>
                <w:szCs w:val="20"/>
              </w:rPr>
              <w:tab/>
              <w:t>培训地点及数量：在北京提供至少1次运维培训；</w:t>
            </w:r>
          </w:p>
          <w:p w14:paraId="0B1F05AD"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投标人准备培训文档及其他需要的资料；</w:t>
            </w:r>
          </w:p>
          <w:p w14:paraId="40297FCA"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工程师能够独立使用及日常运</w:t>
            </w:r>
            <w:proofErr w:type="gramStart"/>
            <w:r w:rsidRPr="00923308">
              <w:rPr>
                <w:rFonts w:asciiTheme="minorEastAsia" w:hAnsiTheme="minorEastAsia" w:hint="eastAsia"/>
                <w:sz w:val="20"/>
                <w:szCs w:val="20"/>
              </w:rPr>
              <w:t>维相关</w:t>
            </w:r>
            <w:proofErr w:type="gramEnd"/>
            <w:r w:rsidRPr="00923308">
              <w:rPr>
                <w:rFonts w:asciiTheme="minorEastAsia" w:hAnsiTheme="minorEastAsia" w:hint="eastAsia"/>
                <w:sz w:val="20"/>
                <w:szCs w:val="20"/>
              </w:rPr>
              <w:t>系统；</w:t>
            </w:r>
          </w:p>
        </w:tc>
        <w:tc>
          <w:tcPr>
            <w:tcW w:w="761" w:type="dxa"/>
          </w:tcPr>
          <w:p w14:paraId="13182CDC" w14:textId="32414F34" w:rsidR="00455AF9" w:rsidRPr="00920338" w:rsidRDefault="00455AF9" w:rsidP="009A2571">
            <w:pPr>
              <w:spacing w:line="360" w:lineRule="auto"/>
              <w:jc w:val="center"/>
              <w:rPr>
                <w:rFonts w:hint="eastAsia"/>
                <w:sz w:val="22"/>
              </w:rPr>
            </w:pPr>
            <w:r>
              <w:rPr>
                <w:rFonts w:hint="eastAsia"/>
                <w:sz w:val="22"/>
              </w:rPr>
              <w:lastRenderedPageBreak/>
              <w:t>满足</w:t>
            </w:r>
          </w:p>
        </w:tc>
        <w:tc>
          <w:tcPr>
            <w:tcW w:w="2683" w:type="dxa"/>
          </w:tcPr>
          <w:p w14:paraId="391592B3" w14:textId="03386B8E" w:rsidR="00D33EE5" w:rsidRDefault="00D33EE5" w:rsidP="009A2571">
            <w:pPr>
              <w:spacing w:line="360" w:lineRule="auto"/>
              <w:rPr>
                <w:rFonts w:hint="eastAsia"/>
                <w:sz w:val="22"/>
              </w:rPr>
            </w:pPr>
            <w:r w:rsidRPr="00D33EE5">
              <w:rPr>
                <w:rFonts w:hint="eastAsia"/>
                <w:sz w:val="22"/>
              </w:rPr>
              <w:t>详细</w:t>
            </w:r>
            <w:proofErr w:type="gramStart"/>
            <w:r w:rsidRPr="00D33EE5">
              <w:rPr>
                <w:rFonts w:hint="eastAsia"/>
                <w:sz w:val="22"/>
              </w:rPr>
              <w:t>应答见</w:t>
            </w:r>
            <w:proofErr w:type="gramEnd"/>
            <w:r>
              <w:rPr>
                <w:rFonts w:hint="eastAsia"/>
                <w:sz w:val="22"/>
              </w:rPr>
              <w:t>4.8培训</w:t>
            </w:r>
          </w:p>
          <w:p w14:paraId="217DBF3A" w14:textId="365D6C6E" w:rsidR="00455AF9" w:rsidRPr="00920338" w:rsidRDefault="00D33EE5" w:rsidP="009A2571">
            <w:pPr>
              <w:spacing w:line="360" w:lineRule="auto"/>
              <w:rPr>
                <w:rFonts w:hint="eastAsia"/>
                <w:sz w:val="22"/>
              </w:rPr>
            </w:pPr>
            <w:r w:rsidRPr="00D33EE5">
              <w:rPr>
                <w:sz w:val="22"/>
              </w:rPr>
              <w:t xml:space="preserve">我们将为 </w:t>
            </w:r>
            <w:proofErr w:type="spellStart"/>
            <w:r w:rsidRPr="00D33EE5">
              <w:rPr>
                <w:sz w:val="22"/>
              </w:rPr>
              <w:t>Ameco</w:t>
            </w:r>
            <w:proofErr w:type="spellEnd"/>
            <w:r w:rsidRPr="00D33EE5">
              <w:rPr>
                <w:sz w:val="22"/>
              </w:rPr>
              <w:t xml:space="preserve"> 提供完</w:t>
            </w:r>
            <w:r w:rsidRPr="00D33EE5">
              <w:rPr>
                <w:sz w:val="22"/>
              </w:rPr>
              <w:lastRenderedPageBreak/>
              <w:t xml:space="preserve">善的培训服务以保障系统的独立使用与运维。我们会安排专业技术专家提供单次技术讲解培训，培训时长不少于 2 天，地点由 </w:t>
            </w:r>
            <w:proofErr w:type="spellStart"/>
            <w:r w:rsidRPr="00D33EE5">
              <w:rPr>
                <w:sz w:val="22"/>
              </w:rPr>
              <w:t>Ameco</w:t>
            </w:r>
            <w:proofErr w:type="spellEnd"/>
            <w:r w:rsidRPr="00D33EE5">
              <w:rPr>
                <w:sz w:val="22"/>
              </w:rPr>
              <w:t xml:space="preserve"> 提供（配备培训场地及设施），参训人数不超过 6 人，内容涵盖交付服务的技术原理、操作流程及系统架构等，确保 </w:t>
            </w:r>
            <w:proofErr w:type="spellStart"/>
            <w:r w:rsidRPr="00D33EE5">
              <w:rPr>
                <w:sz w:val="22"/>
              </w:rPr>
              <w:t>Ameco</w:t>
            </w:r>
            <w:proofErr w:type="spellEnd"/>
            <w:r w:rsidRPr="00D33EE5">
              <w:rPr>
                <w:sz w:val="22"/>
              </w:rPr>
              <w:t xml:space="preserve"> 运维工程师全面掌握系统操作。同时，在北京至少开展 1 </w:t>
            </w:r>
            <w:proofErr w:type="gramStart"/>
            <w:r w:rsidRPr="00D33EE5">
              <w:rPr>
                <w:sz w:val="22"/>
              </w:rPr>
              <w:t>次运维</w:t>
            </w:r>
            <w:proofErr w:type="gramEnd"/>
            <w:r w:rsidRPr="00D33EE5">
              <w:rPr>
                <w:sz w:val="22"/>
              </w:rPr>
              <w:t xml:space="preserve">培训，聚焦日常运维技能与故障处理方法。我方将精心准备培训文档、操作手册及案例资料等全套培训资料，通过理论讲解与实操演练结合的方式，保障 </w:t>
            </w:r>
            <w:proofErr w:type="spellStart"/>
            <w:r w:rsidRPr="00D33EE5">
              <w:rPr>
                <w:sz w:val="22"/>
              </w:rPr>
              <w:t>Ameco</w:t>
            </w:r>
            <w:proofErr w:type="spellEnd"/>
            <w:r w:rsidRPr="00D33EE5">
              <w:rPr>
                <w:sz w:val="22"/>
              </w:rPr>
              <w:t xml:space="preserve"> 工程师能够独立完成系统使用及日常运维工作，为后续业务稳定运行奠定技术基础。</w:t>
            </w:r>
          </w:p>
        </w:tc>
      </w:tr>
      <w:tr w:rsidR="00455AF9" w:rsidRPr="00920338" w14:paraId="0895D9EC" w14:textId="77777777" w:rsidTr="009A2571">
        <w:tc>
          <w:tcPr>
            <w:tcW w:w="543" w:type="dxa"/>
          </w:tcPr>
          <w:p w14:paraId="44A4D331" w14:textId="77777777" w:rsidR="00455AF9" w:rsidRDefault="00455AF9" w:rsidP="009A2571">
            <w:pPr>
              <w:spacing w:line="360" w:lineRule="auto"/>
              <w:jc w:val="center"/>
              <w:rPr>
                <w:rFonts w:hint="eastAsia"/>
                <w:sz w:val="22"/>
              </w:rPr>
            </w:pPr>
          </w:p>
        </w:tc>
        <w:tc>
          <w:tcPr>
            <w:tcW w:w="5681" w:type="dxa"/>
          </w:tcPr>
          <w:p w14:paraId="0246D127"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4.10  ★交付文档</w:t>
            </w:r>
          </w:p>
          <w:p w14:paraId="71D26A2E"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设计方案；</w:t>
            </w:r>
          </w:p>
          <w:p w14:paraId="30405C94"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2)</w:t>
            </w:r>
            <w:r w:rsidRPr="00923308">
              <w:rPr>
                <w:rFonts w:asciiTheme="minorEastAsia" w:hAnsiTheme="minorEastAsia" w:hint="eastAsia"/>
                <w:sz w:val="20"/>
                <w:szCs w:val="20"/>
              </w:rPr>
              <w:tab/>
              <w:t>资源清单；</w:t>
            </w:r>
          </w:p>
          <w:p w14:paraId="302C5988"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配置文档；</w:t>
            </w:r>
          </w:p>
          <w:p w14:paraId="30737FFD"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t>实施文档；</w:t>
            </w:r>
          </w:p>
          <w:p w14:paraId="5A01CE9F"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5)</w:t>
            </w:r>
            <w:r w:rsidRPr="00923308">
              <w:rPr>
                <w:rFonts w:asciiTheme="minorEastAsia" w:hAnsiTheme="minorEastAsia" w:hint="eastAsia"/>
                <w:sz w:val="20"/>
                <w:szCs w:val="20"/>
              </w:rPr>
              <w:tab/>
              <w:t>验收文档；</w:t>
            </w:r>
          </w:p>
          <w:p w14:paraId="12608F11"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6)</w:t>
            </w:r>
            <w:r w:rsidRPr="00923308">
              <w:rPr>
                <w:rFonts w:asciiTheme="minorEastAsia" w:hAnsiTheme="minorEastAsia" w:hint="eastAsia"/>
                <w:sz w:val="20"/>
                <w:szCs w:val="20"/>
              </w:rPr>
              <w:tab/>
              <w:t>管理员手册；</w:t>
            </w:r>
          </w:p>
          <w:p w14:paraId="1D5D48D5"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7)</w:t>
            </w:r>
            <w:r w:rsidRPr="00923308">
              <w:rPr>
                <w:rFonts w:asciiTheme="minorEastAsia" w:hAnsiTheme="minorEastAsia" w:hint="eastAsia"/>
                <w:sz w:val="20"/>
                <w:szCs w:val="20"/>
              </w:rPr>
              <w:tab/>
              <w:t>用户手册；</w:t>
            </w:r>
          </w:p>
          <w:p w14:paraId="1EBFDC10"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8)</w:t>
            </w:r>
            <w:r w:rsidRPr="00923308">
              <w:rPr>
                <w:rFonts w:asciiTheme="minorEastAsia" w:hAnsiTheme="minorEastAsia" w:hint="eastAsia"/>
                <w:sz w:val="20"/>
                <w:szCs w:val="20"/>
              </w:rPr>
              <w:tab/>
            </w:r>
            <w:proofErr w:type="gramStart"/>
            <w:r w:rsidRPr="00923308">
              <w:rPr>
                <w:rFonts w:asciiTheme="minorEastAsia" w:hAnsiTheme="minorEastAsia" w:hint="eastAsia"/>
                <w:sz w:val="20"/>
                <w:szCs w:val="20"/>
              </w:rPr>
              <w:t>结项汇报</w:t>
            </w:r>
            <w:proofErr w:type="gramEnd"/>
            <w:r w:rsidRPr="00923308">
              <w:rPr>
                <w:rFonts w:asciiTheme="minorEastAsia" w:hAnsiTheme="minorEastAsia" w:hint="eastAsia"/>
                <w:sz w:val="20"/>
                <w:szCs w:val="20"/>
              </w:rPr>
              <w:t>；</w:t>
            </w:r>
          </w:p>
          <w:p w14:paraId="416A0CA2"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9)</w:t>
            </w:r>
            <w:r w:rsidRPr="00923308">
              <w:rPr>
                <w:rFonts w:asciiTheme="minorEastAsia" w:hAnsiTheme="minorEastAsia" w:hint="eastAsia"/>
                <w:sz w:val="20"/>
                <w:szCs w:val="20"/>
              </w:rPr>
              <w:tab/>
              <w:t>其他相关文档</w:t>
            </w:r>
          </w:p>
        </w:tc>
        <w:tc>
          <w:tcPr>
            <w:tcW w:w="761" w:type="dxa"/>
          </w:tcPr>
          <w:p w14:paraId="1C736CE2" w14:textId="0E884407" w:rsidR="00455AF9" w:rsidRPr="00920338" w:rsidRDefault="00455AF9" w:rsidP="009A2571">
            <w:pPr>
              <w:spacing w:line="360" w:lineRule="auto"/>
              <w:jc w:val="center"/>
              <w:rPr>
                <w:rFonts w:hint="eastAsia"/>
                <w:sz w:val="22"/>
              </w:rPr>
            </w:pPr>
            <w:r>
              <w:rPr>
                <w:rFonts w:hint="eastAsia"/>
                <w:sz w:val="22"/>
              </w:rPr>
              <w:t>满足</w:t>
            </w:r>
          </w:p>
        </w:tc>
        <w:tc>
          <w:tcPr>
            <w:tcW w:w="2683" w:type="dxa"/>
          </w:tcPr>
          <w:p w14:paraId="5E536035" w14:textId="0FC29633" w:rsidR="00D33EE5" w:rsidRDefault="00D33EE5" w:rsidP="009A2571">
            <w:pPr>
              <w:spacing w:line="360" w:lineRule="auto"/>
              <w:rPr>
                <w:rFonts w:hint="eastAsia"/>
                <w:sz w:val="22"/>
              </w:rPr>
            </w:pPr>
            <w:r w:rsidRPr="00D33EE5">
              <w:rPr>
                <w:rFonts w:hint="eastAsia"/>
                <w:sz w:val="22"/>
              </w:rPr>
              <w:t>详细</w:t>
            </w:r>
            <w:proofErr w:type="gramStart"/>
            <w:r w:rsidRPr="00D33EE5">
              <w:rPr>
                <w:rFonts w:hint="eastAsia"/>
                <w:sz w:val="22"/>
              </w:rPr>
              <w:t>应答见</w:t>
            </w:r>
            <w:proofErr w:type="gramEnd"/>
            <w:r>
              <w:rPr>
                <w:rFonts w:hint="eastAsia"/>
                <w:sz w:val="22"/>
              </w:rPr>
              <w:t>4.10交付文档</w:t>
            </w:r>
          </w:p>
          <w:p w14:paraId="1324DF43" w14:textId="1CE37D87" w:rsidR="00455AF9" w:rsidRPr="00920338" w:rsidRDefault="00D33EE5" w:rsidP="009A2571">
            <w:pPr>
              <w:spacing w:line="360" w:lineRule="auto"/>
              <w:rPr>
                <w:rFonts w:hint="eastAsia"/>
                <w:sz w:val="22"/>
              </w:rPr>
            </w:pPr>
            <w:r w:rsidRPr="00D33EE5">
              <w:rPr>
                <w:sz w:val="22"/>
              </w:rPr>
              <w:t>我们将在项目全周期内提供完整规范的交付文档体系。项目初期会提交</w:t>
            </w:r>
            <w:proofErr w:type="gramStart"/>
            <w:r w:rsidRPr="00D33EE5">
              <w:rPr>
                <w:sz w:val="22"/>
              </w:rPr>
              <w:t>包含组</w:t>
            </w:r>
            <w:proofErr w:type="gramEnd"/>
            <w:r w:rsidRPr="00D33EE5">
              <w:rPr>
                <w:sz w:val="22"/>
              </w:rPr>
              <w:t>网拓扑、技术架构的设计方案及详细资源清单；</w:t>
            </w:r>
            <w:r w:rsidRPr="00D33EE5">
              <w:rPr>
                <w:sz w:val="22"/>
              </w:rPr>
              <w:lastRenderedPageBreak/>
              <w:t>实施过程中同步输出配置文档与实施记录，确保操作可追溯；部署完成后提供验收文档，附测试数据与验收标准；同时配套管理员手册与用户手册，涵盖系统操作、日常运维及故障处理指南；</w:t>
            </w:r>
            <w:proofErr w:type="gramStart"/>
            <w:r w:rsidRPr="00D33EE5">
              <w:rPr>
                <w:sz w:val="22"/>
              </w:rPr>
              <w:t>项目结项时提交结项汇报</w:t>
            </w:r>
            <w:proofErr w:type="gramEnd"/>
            <w:r w:rsidRPr="00D33EE5">
              <w:rPr>
                <w:sz w:val="22"/>
              </w:rPr>
              <w:t>，总结进度、成果与优化建议；此外，还将根据项目需求补充其他相关文档，所有文档均遵循华为</w:t>
            </w:r>
            <w:proofErr w:type="gramStart"/>
            <w:r w:rsidRPr="00D33EE5">
              <w:rPr>
                <w:sz w:val="22"/>
              </w:rPr>
              <w:t>云技术</w:t>
            </w:r>
            <w:proofErr w:type="gramEnd"/>
            <w:r w:rsidRPr="00D33EE5">
              <w:rPr>
                <w:sz w:val="22"/>
              </w:rPr>
              <w:t xml:space="preserve">标准与 </w:t>
            </w:r>
            <w:proofErr w:type="spellStart"/>
            <w:r w:rsidRPr="00D33EE5">
              <w:rPr>
                <w:sz w:val="22"/>
              </w:rPr>
              <w:t>Ameco</w:t>
            </w:r>
            <w:proofErr w:type="spellEnd"/>
            <w:r w:rsidRPr="00D33EE5">
              <w:rPr>
                <w:sz w:val="22"/>
              </w:rPr>
              <w:t xml:space="preserve"> 管理要求，以专业规范的文档交付助力系统后续维护与管理。</w:t>
            </w:r>
          </w:p>
        </w:tc>
      </w:tr>
      <w:tr w:rsidR="00455AF9" w:rsidRPr="00920338" w14:paraId="7648FD82" w14:textId="77777777" w:rsidTr="009A2571">
        <w:tc>
          <w:tcPr>
            <w:tcW w:w="543" w:type="dxa"/>
          </w:tcPr>
          <w:p w14:paraId="77D5D845" w14:textId="77777777" w:rsidR="00455AF9" w:rsidRDefault="00455AF9" w:rsidP="009A2571">
            <w:pPr>
              <w:spacing w:line="360" w:lineRule="auto"/>
              <w:jc w:val="center"/>
              <w:rPr>
                <w:rFonts w:hint="eastAsia"/>
                <w:sz w:val="22"/>
              </w:rPr>
            </w:pPr>
          </w:p>
        </w:tc>
        <w:tc>
          <w:tcPr>
            <w:tcW w:w="5681" w:type="dxa"/>
          </w:tcPr>
          <w:p w14:paraId="61D6CF58"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5  ★服务验收</w:t>
            </w:r>
            <w:proofErr w:type="gramStart"/>
            <w:r w:rsidRPr="00923308">
              <w:rPr>
                <w:rFonts w:asciiTheme="minorEastAsia" w:hAnsiTheme="minorEastAsia" w:hint="eastAsia"/>
                <w:sz w:val="20"/>
                <w:szCs w:val="20"/>
              </w:rPr>
              <w:t>以及维保要求</w:t>
            </w:r>
            <w:proofErr w:type="gramEnd"/>
          </w:p>
          <w:p w14:paraId="08DD3B9D"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投标人必须向</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提供技术需求书中列举的除增值服务外，所有软硬件及服务的全部内容，在达到本章所规定的验收要求后方可验收。若本技术需求书中的设备配置或要求中出现不合理、不完整或不满足等问题时，投标人有责任和义务提出补充修改方案并在征得</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同意后付于实施。</w:t>
            </w:r>
          </w:p>
          <w:p w14:paraId="2A44A4F1"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产品验收地点由</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指定；</w:t>
            </w:r>
          </w:p>
          <w:p w14:paraId="26788027"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2)</w:t>
            </w:r>
            <w:r w:rsidRPr="00923308">
              <w:rPr>
                <w:rFonts w:asciiTheme="minorEastAsia" w:hAnsiTheme="minorEastAsia" w:hint="eastAsia"/>
                <w:sz w:val="20"/>
                <w:szCs w:val="20"/>
              </w:rPr>
              <w:tab/>
              <w:t>对于所有应答服务必须满足</w:t>
            </w:r>
            <w:proofErr w:type="gramStart"/>
            <w:r w:rsidRPr="00923308">
              <w:rPr>
                <w:rFonts w:asciiTheme="minorEastAsia" w:hAnsiTheme="minorEastAsia" w:hint="eastAsia"/>
                <w:sz w:val="20"/>
                <w:szCs w:val="20"/>
              </w:rPr>
              <w:t>以下维保</w:t>
            </w:r>
            <w:proofErr w:type="gramEnd"/>
            <w:r w:rsidRPr="00923308">
              <w:rPr>
                <w:rFonts w:asciiTheme="minorEastAsia" w:hAnsiTheme="minorEastAsia" w:hint="eastAsia"/>
                <w:sz w:val="20"/>
                <w:szCs w:val="20"/>
              </w:rPr>
              <w:t>条件：</w:t>
            </w:r>
          </w:p>
          <w:p w14:paraId="77D92065"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合同期内提供</w:t>
            </w:r>
            <w:proofErr w:type="gramStart"/>
            <w:r w:rsidRPr="00923308">
              <w:rPr>
                <w:rFonts w:asciiTheme="minorEastAsia" w:hAnsiTheme="minorEastAsia" w:hint="eastAsia"/>
                <w:sz w:val="20"/>
                <w:szCs w:val="20"/>
              </w:rPr>
              <w:t>免费维保服务</w:t>
            </w:r>
            <w:proofErr w:type="gramEnd"/>
            <w:r w:rsidRPr="00923308">
              <w:rPr>
                <w:rFonts w:asciiTheme="minorEastAsia" w:hAnsiTheme="minorEastAsia" w:hint="eastAsia"/>
                <w:sz w:val="20"/>
                <w:szCs w:val="20"/>
              </w:rPr>
              <w:t>。包含但不限于：</w:t>
            </w:r>
          </w:p>
          <w:p w14:paraId="5FBCC6CA"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对于实施内包含的所有服务，应提供7×24×4（10分钟工程师响应，4小时原厂工程师）免费的售后服务与支持；</w:t>
            </w:r>
          </w:p>
          <w:p w14:paraId="68231636"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投标人负责对其提供的服务进行现场维修与维护，不收取额外费用；</w:t>
            </w:r>
          </w:p>
          <w:p w14:paraId="251805DD"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t>实施</w:t>
            </w:r>
            <w:proofErr w:type="gramStart"/>
            <w:r w:rsidRPr="00923308">
              <w:rPr>
                <w:rFonts w:asciiTheme="minorEastAsia" w:hAnsiTheme="minorEastAsia" w:hint="eastAsia"/>
                <w:sz w:val="20"/>
                <w:szCs w:val="20"/>
              </w:rPr>
              <w:t>及维保服务</w:t>
            </w:r>
            <w:proofErr w:type="gramEnd"/>
            <w:r w:rsidRPr="00923308">
              <w:rPr>
                <w:rFonts w:asciiTheme="minorEastAsia" w:hAnsiTheme="minorEastAsia" w:hint="eastAsia"/>
                <w:sz w:val="20"/>
                <w:szCs w:val="20"/>
              </w:rPr>
              <w:t>由对应</w:t>
            </w:r>
            <w:proofErr w:type="gramStart"/>
            <w:r w:rsidRPr="00923308">
              <w:rPr>
                <w:rFonts w:asciiTheme="minorEastAsia" w:hAnsiTheme="minorEastAsia" w:hint="eastAsia"/>
                <w:sz w:val="20"/>
                <w:szCs w:val="20"/>
              </w:rPr>
              <w:t>公有云</w:t>
            </w:r>
            <w:proofErr w:type="gramEnd"/>
            <w:r w:rsidRPr="00923308">
              <w:rPr>
                <w:rFonts w:asciiTheme="minorEastAsia" w:hAnsiTheme="minorEastAsia" w:hint="eastAsia"/>
                <w:sz w:val="20"/>
                <w:szCs w:val="20"/>
              </w:rPr>
              <w:t>原厂工程师或投标人具有</w:t>
            </w:r>
            <w:proofErr w:type="gramStart"/>
            <w:r w:rsidRPr="00923308">
              <w:rPr>
                <w:rFonts w:asciiTheme="minorEastAsia" w:hAnsiTheme="minorEastAsia" w:hint="eastAsia"/>
                <w:sz w:val="20"/>
                <w:szCs w:val="20"/>
              </w:rPr>
              <w:t>公有云</w:t>
            </w:r>
            <w:proofErr w:type="gramEnd"/>
            <w:r w:rsidRPr="00923308">
              <w:rPr>
                <w:rFonts w:asciiTheme="minorEastAsia" w:hAnsiTheme="minorEastAsia" w:hint="eastAsia"/>
                <w:sz w:val="20"/>
                <w:szCs w:val="20"/>
              </w:rPr>
              <w:t>认证资质的工程师执行；</w:t>
            </w:r>
          </w:p>
        </w:tc>
        <w:tc>
          <w:tcPr>
            <w:tcW w:w="761" w:type="dxa"/>
          </w:tcPr>
          <w:p w14:paraId="25A5A682" w14:textId="1CA6749F" w:rsidR="00455AF9" w:rsidRPr="00920338" w:rsidRDefault="00455AF9" w:rsidP="009A2571">
            <w:pPr>
              <w:spacing w:line="360" w:lineRule="auto"/>
              <w:jc w:val="center"/>
              <w:rPr>
                <w:rFonts w:hint="eastAsia"/>
                <w:sz w:val="22"/>
              </w:rPr>
            </w:pPr>
            <w:r>
              <w:rPr>
                <w:rFonts w:hint="eastAsia"/>
                <w:sz w:val="22"/>
              </w:rPr>
              <w:t>满足</w:t>
            </w:r>
          </w:p>
        </w:tc>
        <w:tc>
          <w:tcPr>
            <w:tcW w:w="2683" w:type="dxa"/>
          </w:tcPr>
          <w:p w14:paraId="24064112" w14:textId="60029851" w:rsidR="00455AF9" w:rsidRDefault="00D33EE5" w:rsidP="009A2571">
            <w:pPr>
              <w:spacing w:line="360" w:lineRule="auto"/>
              <w:rPr>
                <w:rFonts w:hint="eastAsia"/>
                <w:sz w:val="22"/>
              </w:rPr>
            </w:pPr>
            <w:r w:rsidRPr="00D33EE5">
              <w:rPr>
                <w:rFonts w:hint="eastAsia"/>
                <w:sz w:val="22"/>
              </w:rPr>
              <w:t>详细</w:t>
            </w:r>
            <w:proofErr w:type="gramStart"/>
            <w:r w:rsidRPr="00D33EE5">
              <w:rPr>
                <w:rFonts w:hint="eastAsia"/>
                <w:sz w:val="22"/>
              </w:rPr>
              <w:t>应答见</w:t>
            </w:r>
            <w:proofErr w:type="gramEnd"/>
            <w:r>
              <w:rPr>
                <w:rFonts w:hint="eastAsia"/>
                <w:sz w:val="22"/>
              </w:rPr>
              <w:t>5.服务验收</w:t>
            </w:r>
            <w:proofErr w:type="gramStart"/>
            <w:r>
              <w:rPr>
                <w:rFonts w:hint="eastAsia"/>
                <w:sz w:val="22"/>
              </w:rPr>
              <w:t>以及维保招标文件</w:t>
            </w:r>
            <w:proofErr w:type="gramEnd"/>
            <w:r>
              <w:rPr>
                <w:rFonts w:hint="eastAsia"/>
                <w:sz w:val="22"/>
              </w:rPr>
              <w:t>要求</w:t>
            </w:r>
          </w:p>
          <w:p w14:paraId="22935592" w14:textId="77777777" w:rsidR="00D33EE5" w:rsidRPr="00D33EE5" w:rsidRDefault="00D33EE5" w:rsidP="00D33EE5">
            <w:pPr>
              <w:spacing w:line="360" w:lineRule="auto"/>
              <w:rPr>
                <w:rFonts w:hint="eastAsia"/>
                <w:sz w:val="22"/>
              </w:rPr>
            </w:pPr>
            <w:r w:rsidRPr="00D33EE5">
              <w:rPr>
                <w:sz w:val="22"/>
              </w:rPr>
              <w:t>我们将严格依照服务验收及</w:t>
            </w:r>
            <w:proofErr w:type="gramStart"/>
            <w:r w:rsidRPr="00D33EE5">
              <w:rPr>
                <w:sz w:val="22"/>
              </w:rPr>
              <w:t>维保要求</w:t>
            </w:r>
            <w:proofErr w:type="gramEnd"/>
            <w:r w:rsidRPr="00D33EE5">
              <w:rPr>
                <w:sz w:val="22"/>
              </w:rPr>
              <w:t xml:space="preserve">推进项目交付。我方承诺向 </w:t>
            </w:r>
            <w:proofErr w:type="spellStart"/>
            <w:r w:rsidRPr="00D33EE5">
              <w:rPr>
                <w:sz w:val="22"/>
              </w:rPr>
              <w:t>Ameco</w:t>
            </w:r>
            <w:proofErr w:type="spellEnd"/>
            <w:r w:rsidRPr="00D33EE5">
              <w:rPr>
                <w:sz w:val="22"/>
              </w:rPr>
              <w:t xml:space="preserve"> 提供技术需求书中除增值服务外的全部软硬件及服务内容，若发现设备配置或要求存在不合理、不完整或不满足等问题，将主动提出补充修改方案，经 </w:t>
            </w:r>
            <w:proofErr w:type="spellStart"/>
            <w:r w:rsidRPr="00D33EE5">
              <w:rPr>
                <w:sz w:val="22"/>
              </w:rPr>
              <w:t>Ameco</w:t>
            </w:r>
            <w:proofErr w:type="spellEnd"/>
            <w:r w:rsidRPr="00D33EE5">
              <w:rPr>
                <w:sz w:val="22"/>
              </w:rPr>
              <w:t xml:space="preserve"> 同意后实施。产品验收地点由 </w:t>
            </w:r>
            <w:proofErr w:type="spellStart"/>
            <w:r w:rsidRPr="00D33EE5">
              <w:rPr>
                <w:sz w:val="22"/>
              </w:rPr>
              <w:t>Ameco</w:t>
            </w:r>
            <w:proofErr w:type="spellEnd"/>
            <w:r w:rsidRPr="00D33EE5">
              <w:rPr>
                <w:sz w:val="22"/>
              </w:rPr>
              <w:t xml:space="preserve"> 指</w:t>
            </w:r>
            <w:r w:rsidRPr="00D33EE5">
              <w:rPr>
                <w:sz w:val="22"/>
              </w:rPr>
              <w:lastRenderedPageBreak/>
              <w:t>定，确保符合其现场要求。在合同期内提供</w:t>
            </w:r>
            <w:proofErr w:type="gramStart"/>
            <w:r w:rsidRPr="00D33EE5">
              <w:rPr>
                <w:sz w:val="22"/>
              </w:rPr>
              <w:t>免费维保服务</w:t>
            </w:r>
            <w:proofErr w:type="gramEnd"/>
            <w:r w:rsidRPr="00D33EE5">
              <w:rPr>
                <w:sz w:val="22"/>
              </w:rPr>
              <w:t>，针对实施范围内的所有服务，提供 7×24 小时响应机制，其中 10 分钟内工程师响应，4 小时内原厂工程师到位支持。我方负责现场维修与维护，不收取额外费用，所有实施</w:t>
            </w:r>
            <w:proofErr w:type="gramStart"/>
            <w:r w:rsidRPr="00D33EE5">
              <w:rPr>
                <w:sz w:val="22"/>
              </w:rPr>
              <w:t>及维保服务</w:t>
            </w:r>
            <w:proofErr w:type="gramEnd"/>
            <w:r w:rsidRPr="00D33EE5">
              <w:rPr>
                <w:sz w:val="22"/>
              </w:rPr>
              <w:t>均由华为云原厂工程师或我方具备华为云认证资质的工程师执行，以专业能力保障服务质量，确保项目顺利验收及后续稳定运行。</w:t>
            </w:r>
          </w:p>
          <w:p w14:paraId="0946924A" w14:textId="77777777" w:rsidR="00D33EE5" w:rsidRPr="00D33EE5" w:rsidRDefault="00D33EE5" w:rsidP="00D33EE5">
            <w:pPr>
              <w:spacing w:line="360" w:lineRule="auto"/>
              <w:rPr>
                <w:rFonts w:hint="eastAsia"/>
                <w:sz w:val="22"/>
              </w:rPr>
            </w:pPr>
            <w:r w:rsidRPr="00D33EE5">
              <w:rPr>
                <w:sz w:val="22"/>
              </w:rPr>
              <w:t>编辑</w:t>
            </w:r>
          </w:p>
          <w:p w14:paraId="7366E8F6" w14:textId="77777777" w:rsidR="00D33EE5" w:rsidRPr="00D33EE5" w:rsidRDefault="00D33EE5" w:rsidP="00D33EE5">
            <w:pPr>
              <w:spacing w:line="360" w:lineRule="auto"/>
              <w:rPr>
                <w:rFonts w:hint="eastAsia"/>
                <w:sz w:val="22"/>
              </w:rPr>
            </w:pPr>
            <w:r w:rsidRPr="00D33EE5">
              <w:rPr>
                <w:sz w:val="22"/>
              </w:rPr>
              <w:t>分享</w:t>
            </w:r>
          </w:p>
          <w:p w14:paraId="4E041B87" w14:textId="77777777" w:rsidR="00D33EE5" w:rsidRPr="00D33EE5" w:rsidRDefault="00D33EE5" w:rsidP="00D33EE5">
            <w:pPr>
              <w:spacing w:line="360" w:lineRule="auto"/>
              <w:rPr>
                <w:rFonts w:hint="eastAsia"/>
                <w:sz w:val="22"/>
              </w:rPr>
            </w:pPr>
            <w:r w:rsidRPr="00D33EE5">
              <w:rPr>
                <w:sz w:val="22"/>
              </w:rPr>
              <w:t>维保期后如何收费？</w:t>
            </w:r>
          </w:p>
          <w:p w14:paraId="0EA0F51E" w14:textId="77777777" w:rsidR="00D33EE5" w:rsidRPr="00D33EE5" w:rsidRDefault="00D33EE5" w:rsidP="00D33EE5">
            <w:pPr>
              <w:spacing w:line="360" w:lineRule="auto"/>
              <w:rPr>
                <w:rFonts w:hint="eastAsia"/>
                <w:sz w:val="22"/>
              </w:rPr>
            </w:pPr>
            <w:r w:rsidRPr="00D33EE5">
              <w:rPr>
                <w:sz w:val="22"/>
              </w:rPr>
              <w:t>服务响应不及时怎么办？</w:t>
            </w:r>
          </w:p>
          <w:p w14:paraId="4FE84907" w14:textId="77777777" w:rsidR="00D33EE5" w:rsidRPr="00D33EE5" w:rsidRDefault="00D33EE5" w:rsidP="00D33EE5">
            <w:pPr>
              <w:spacing w:line="360" w:lineRule="auto"/>
              <w:rPr>
                <w:rFonts w:hint="eastAsia"/>
                <w:sz w:val="22"/>
              </w:rPr>
            </w:pPr>
            <w:r w:rsidRPr="00D33EE5">
              <w:rPr>
                <w:sz w:val="22"/>
              </w:rPr>
              <w:t>提供哪些原厂工程师支持？</w:t>
            </w:r>
          </w:p>
          <w:p w14:paraId="5EF19E0B" w14:textId="77777777" w:rsidR="00D33EE5" w:rsidRPr="00D33EE5" w:rsidRDefault="00D33EE5" w:rsidP="009A2571">
            <w:pPr>
              <w:spacing w:line="360" w:lineRule="auto"/>
              <w:rPr>
                <w:rFonts w:hint="eastAsia"/>
                <w:sz w:val="22"/>
              </w:rPr>
            </w:pPr>
          </w:p>
        </w:tc>
      </w:tr>
      <w:tr w:rsidR="00455AF9" w:rsidRPr="00920338" w14:paraId="5EBC39B0" w14:textId="77777777" w:rsidTr="009A2571">
        <w:tc>
          <w:tcPr>
            <w:tcW w:w="543" w:type="dxa"/>
          </w:tcPr>
          <w:p w14:paraId="69326B8B" w14:textId="77777777" w:rsidR="00455AF9" w:rsidRDefault="00455AF9" w:rsidP="009A2571">
            <w:pPr>
              <w:spacing w:line="360" w:lineRule="auto"/>
              <w:jc w:val="center"/>
              <w:rPr>
                <w:rFonts w:hint="eastAsia"/>
                <w:sz w:val="22"/>
              </w:rPr>
            </w:pPr>
          </w:p>
        </w:tc>
        <w:tc>
          <w:tcPr>
            <w:tcW w:w="5681" w:type="dxa"/>
          </w:tcPr>
          <w:p w14:paraId="4E54B57F"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6  ★其他要求</w:t>
            </w:r>
          </w:p>
          <w:p w14:paraId="22C3A899" w14:textId="77777777" w:rsidR="00455AF9" w:rsidRPr="00923308" w:rsidRDefault="00455AF9" w:rsidP="009A2571">
            <w:pPr>
              <w:autoSpaceDE w:val="0"/>
              <w:autoSpaceDN w:val="0"/>
              <w:adjustRightInd w:val="0"/>
              <w:rPr>
                <w:rFonts w:asciiTheme="minorEastAsia" w:hAnsiTheme="minorEastAsia" w:hint="eastAsia"/>
                <w:sz w:val="20"/>
                <w:szCs w:val="20"/>
              </w:rPr>
            </w:pPr>
            <w:r w:rsidRPr="00923308">
              <w:rPr>
                <w:rFonts w:asciiTheme="minorEastAsia" w:hAnsiTheme="minorEastAsia" w:hint="eastAsia"/>
                <w:sz w:val="20"/>
                <w:szCs w:val="20"/>
              </w:rPr>
              <w:t>投标人须提供承诺书，承诺提供的服务及产品不侵犯任何第三方的知识产权，如发现此类情况，因此产生的费用和责任均由投标方承担，招标方完全免责。</w:t>
            </w:r>
          </w:p>
        </w:tc>
        <w:tc>
          <w:tcPr>
            <w:tcW w:w="761" w:type="dxa"/>
          </w:tcPr>
          <w:p w14:paraId="4727B8CB" w14:textId="38D4B474" w:rsidR="00455AF9" w:rsidRPr="00920338" w:rsidRDefault="00455AF9" w:rsidP="009A2571">
            <w:pPr>
              <w:spacing w:line="360" w:lineRule="auto"/>
              <w:jc w:val="center"/>
              <w:rPr>
                <w:rFonts w:hint="eastAsia"/>
                <w:sz w:val="22"/>
              </w:rPr>
            </w:pPr>
            <w:r>
              <w:rPr>
                <w:rFonts w:hint="eastAsia"/>
                <w:sz w:val="22"/>
              </w:rPr>
              <w:t>满足</w:t>
            </w:r>
          </w:p>
        </w:tc>
        <w:tc>
          <w:tcPr>
            <w:tcW w:w="2683" w:type="dxa"/>
          </w:tcPr>
          <w:p w14:paraId="64525331" w14:textId="61E6590D" w:rsidR="00D33EE5" w:rsidRDefault="00D33EE5" w:rsidP="009A2571">
            <w:pPr>
              <w:spacing w:line="360" w:lineRule="auto"/>
              <w:rPr>
                <w:rFonts w:hint="eastAsia"/>
                <w:sz w:val="22"/>
              </w:rPr>
            </w:pPr>
            <w:r w:rsidRPr="00D33EE5">
              <w:rPr>
                <w:rFonts w:hint="eastAsia"/>
                <w:sz w:val="22"/>
              </w:rPr>
              <w:t>详细应答见</w:t>
            </w:r>
            <w:r>
              <w:rPr>
                <w:rFonts w:hint="eastAsia"/>
                <w:sz w:val="22"/>
              </w:rPr>
              <w:t>6.其他招标文件要求</w:t>
            </w:r>
          </w:p>
          <w:p w14:paraId="59E91AF6" w14:textId="56D92AF8" w:rsidR="00455AF9" w:rsidRPr="00920338" w:rsidRDefault="00D33EE5" w:rsidP="009A2571">
            <w:pPr>
              <w:spacing w:line="360" w:lineRule="auto"/>
              <w:rPr>
                <w:rFonts w:hint="eastAsia"/>
                <w:sz w:val="22"/>
              </w:rPr>
            </w:pPr>
            <w:r w:rsidRPr="00D33EE5">
              <w:rPr>
                <w:sz w:val="22"/>
              </w:rPr>
              <w:t>我方郑重承诺：所提供的服务及产品均严格遵循知识产权相关法律法规，确保不侵犯任何第三方的知识产权。若在项目实施或</w:t>
            </w:r>
            <w:r w:rsidRPr="00D33EE5">
              <w:rPr>
                <w:sz w:val="22"/>
              </w:rPr>
              <w:lastRenderedPageBreak/>
              <w:t>服务过程中，发现存在知识产权侵权情况，因此产生的全部费用及法律责任均由我方承担，</w:t>
            </w:r>
            <w:proofErr w:type="spellStart"/>
            <w:r w:rsidRPr="00D33EE5">
              <w:rPr>
                <w:sz w:val="22"/>
              </w:rPr>
              <w:t>Ameco</w:t>
            </w:r>
            <w:proofErr w:type="spellEnd"/>
            <w:r w:rsidRPr="00D33EE5">
              <w:rPr>
                <w:sz w:val="22"/>
              </w:rPr>
              <w:t xml:space="preserve"> 完全免责。我方将为此提供正式的承诺书，以法律文件形式明确责任划分，保障 </w:t>
            </w:r>
            <w:proofErr w:type="spellStart"/>
            <w:r w:rsidRPr="00D33EE5">
              <w:rPr>
                <w:sz w:val="22"/>
              </w:rPr>
              <w:t>Ameco</w:t>
            </w:r>
            <w:proofErr w:type="spellEnd"/>
            <w:r w:rsidRPr="00D33EE5">
              <w:rPr>
                <w:sz w:val="22"/>
              </w:rPr>
              <w:t xml:space="preserve"> 的合法权益不受侵害。</w:t>
            </w:r>
          </w:p>
        </w:tc>
      </w:tr>
    </w:tbl>
    <w:p w14:paraId="2EEEB496" w14:textId="77777777" w:rsidR="00455AF9" w:rsidRPr="00455AF9" w:rsidRDefault="00455AF9" w:rsidP="00455AF9">
      <w:pPr>
        <w:rPr>
          <w:rFonts w:hint="eastAsia"/>
        </w:rPr>
      </w:pPr>
    </w:p>
    <w:p w14:paraId="01E9275A" w14:textId="4506CAD2" w:rsidR="00BE572F" w:rsidRDefault="00BE572F" w:rsidP="00BE572F">
      <w:pPr>
        <w:pStyle w:val="1"/>
        <w:rPr>
          <w:rFonts w:hint="eastAsia"/>
        </w:rPr>
      </w:pPr>
      <w:r>
        <w:tab/>
        <w:t>标题（word标题模板）</w:t>
      </w:r>
      <w:r>
        <w:tab/>
      </w:r>
    </w:p>
    <w:p w14:paraId="689758FF" w14:textId="784FD8DB" w:rsidR="00BE572F" w:rsidRDefault="00BE572F" w:rsidP="00BE572F">
      <w:pPr>
        <w:pStyle w:val="2"/>
        <w:rPr>
          <w:rFonts w:hint="eastAsia"/>
        </w:rPr>
      </w:pPr>
      <w:r>
        <w:tab/>
        <w:t>标题</w:t>
      </w:r>
      <w:r>
        <w:tab/>
      </w:r>
    </w:p>
    <w:p w14:paraId="113E1C6A" w14:textId="4F3FC090" w:rsidR="00BE572F" w:rsidRDefault="00BE572F" w:rsidP="00BE572F">
      <w:pPr>
        <w:pStyle w:val="3"/>
        <w:rPr>
          <w:rFonts w:hint="eastAsia"/>
        </w:rPr>
      </w:pPr>
      <w:r>
        <w:tab/>
        <w:t>标题</w:t>
      </w:r>
      <w:r>
        <w:tab/>
      </w:r>
    </w:p>
    <w:p w14:paraId="2DE17D0C" w14:textId="79FB4C56" w:rsidR="00BE572F" w:rsidRDefault="00BE572F" w:rsidP="00BE572F">
      <w:pPr>
        <w:pStyle w:val="3"/>
        <w:rPr>
          <w:rFonts w:hint="eastAsia"/>
        </w:rPr>
      </w:pPr>
      <w:r>
        <w:tab/>
        <w:t>标题</w:t>
      </w:r>
      <w:r>
        <w:tab/>
      </w:r>
    </w:p>
    <w:sectPr w:rsidR="00BE572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_GB2312">
    <w:altName w:val="微软雅黑"/>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26BCC"/>
    <w:multiLevelType w:val="hybridMultilevel"/>
    <w:tmpl w:val="F8545806"/>
    <w:lvl w:ilvl="0" w:tplc="04090001">
      <w:start w:val="1"/>
      <w:numFmt w:val="bullet"/>
      <w:lvlText w:val=""/>
      <w:lvlJc w:val="left"/>
      <w:pPr>
        <w:ind w:left="860" w:hanging="440"/>
      </w:pPr>
      <w:rPr>
        <w:rFonts w:ascii="Wingdings" w:hAnsi="Wingdings" w:hint="default"/>
      </w:rPr>
    </w:lvl>
    <w:lvl w:ilvl="1" w:tplc="FFFFFFFF">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 w15:restartNumberingAfterBreak="0">
    <w:nsid w:val="02593F31"/>
    <w:multiLevelType w:val="hybridMultilevel"/>
    <w:tmpl w:val="134CC4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26B6FB8"/>
    <w:multiLevelType w:val="hybridMultilevel"/>
    <w:tmpl w:val="6DD02E4E"/>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2A1788C"/>
    <w:multiLevelType w:val="hybridMultilevel"/>
    <w:tmpl w:val="EE4C8A78"/>
    <w:lvl w:ilvl="0" w:tplc="04090001">
      <w:start w:val="1"/>
      <w:numFmt w:val="bullet"/>
      <w:lvlText w:val=""/>
      <w:lvlJc w:val="left"/>
      <w:pPr>
        <w:ind w:left="1260" w:hanging="420"/>
      </w:pPr>
      <w:rPr>
        <w:rFonts w:ascii="Wingdings" w:hAnsi="Wingdings" w:hint="default"/>
      </w:rPr>
    </w:lvl>
    <w:lvl w:ilvl="1" w:tplc="AE102974">
      <w:start w:val="1"/>
      <w:numFmt w:val="decimal"/>
      <w:lvlText w:val="（%2）"/>
      <w:lvlJc w:val="left"/>
      <w:pPr>
        <w:ind w:left="1980" w:hanging="7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4" w15:restartNumberingAfterBreak="0">
    <w:nsid w:val="03557217"/>
    <w:multiLevelType w:val="hybridMultilevel"/>
    <w:tmpl w:val="7F50B882"/>
    <w:lvl w:ilvl="0" w:tplc="04090001">
      <w:start w:val="1"/>
      <w:numFmt w:val="bullet"/>
      <w:lvlText w:val=""/>
      <w:lvlJc w:val="left"/>
      <w:pPr>
        <w:ind w:left="2121" w:hanging="420"/>
      </w:pPr>
      <w:rPr>
        <w:rFonts w:ascii="Wingdings" w:hAnsi="Wingdings" w:hint="default"/>
      </w:rPr>
    </w:lvl>
    <w:lvl w:ilvl="1" w:tplc="04090003">
      <w:start w:val="1"/>
      <w:numFmt w:val="bullet"/>
      <w:lvlText w:val=""/>
      <w:lvlJc w:val="left"/>
      <w:pPr>
        <w:ind w:left="2541" w:hanging="420"/>
      </w:pPr>
      <w:rPr>
        <w:rFonts w:ascii="Wingdings" w:hAnsi="Wingdings" w:hint="default"/>
      </w:rPr>
    </w:lvl>
    <w:lvl w:ilvl="2" w:tplc="04090005">
      <w:start w:val="1"/>
      <w:numFmt w:val="bullet"/>
      <w:lvlText w:val=""/>
      <w:lvlJc w:val="left"/>
      <w:pPr>
        <w:ind w:left="2961" w:hanging="420"/>
      </w:pPr>
      <w:rPr>
        <w:rFonts w:ascii="Wingdings" w:hAnsi="Wingdings" w:hint="default"/>
      </w:rPr>
    </w:lvl>
    <w:lvl w:ilvl="3" w:tplc="04090001">
      <w:start w:val="1"/>
      <w:numFmt w:val="bullet"/>
      <w:lvlText w:val=""/>
      <w:lvlJc w:val="left"/>
      <w:pPr>
        <w:ind w:left="3381" w:hanging="420"/>
      </w:pPr>
      <w:rPr>
        <w:rFonts w:ascii="Wingdings" w:hAnsi="Wingdings" w:hint="default"/>
      </w:rPr>
    </w:lvl>
    <w:lvl w:ilvl="4" w:tplc="04090003">
      <w:start w:val="1"/>
      <w:numFmt w:val="bullet"/>
      <w:lvlText w:val=""/>
      <w:lvlJc w:val="left"/>
      <w:pPr>
        <w:ind w:left="3801" w:hanging="420"/>
      </w:pPr>
      <w:rPr>
        <w:rFonts w:ascii="Wingdings" w:hAnsi="Wingdings" w:hint="default"/>
      </w:rPr>
    </w:lvl>
    <w:lvl w:ilvl="5" w:tplc="04090005">
      <w:start w:val="1"/>
      <w:numFmt w:val="bullet"/>
      <w:lvlText w:val=""/>
      <w:lvlJc w:val="left"/>
      <w:pPr>
        <w:ind w:left="4221" w:hanging="420"/>
      </w:pPr>
      <w:rPr>
        <w:rFonts w:ascii="Wingdings" w:hAnsi="Wingdings" w:hint="default"/>
      </w:rPr>
    </w:lvl>
    <w:lvl w:ilvl="6" w:tplc="04090001">
      <w:start w:val="1"/>
      <w:numFmt w:val="bullet"/>
      <w:lvlText w:val=""/>
      <w:lvlJc w:val="left"/>
      <w:pPr>
        <w:ind w:left="4641" w:hanging="420"/>
      </w:pPr>
      <w:rPr>
        <w:rFonts w:ascii="Wingdings" w:hAnsi="Wingdings" w:hint="default"/>
      </w:rPr>
    </w:lvl>
    <w:lvl w:ilvl="7" w:tplc="04090003">
      <w:start w:val="1"/>
      <w:numFmt w:val="bullet"/>
      <w:lvlText w:val=""/>
      <w:lvlJc w:val="left"/>
      <w:pPr>
        <w:ind w:left="5061" w:hanging="420"/>
      </w:pPr>
      <w:rPr>
        <w:rFonts w:ascii="Wingdings" w:hAnsi="Wingdings" w:hint="default"/>
      </w:rPr>
    </w:lvl>
    <w:lvl w:ilvl="8" w:tplc="04090005">
      <w:start w:val="1"/>
      <w:numFmt w:val="bullet"/>
      <w:lvlText w:val=""/>
      <w:lvlJc w:val="left"/>
      <w:pPr>
        <w:ind w:left="5481" w:hanging="420"/>
      </w:pPr>
      <w:rPr>
        <w:rFonts w:ascii="Wingdings" w:hAnsi="Wingdings" w:hint="default"/>
      </w:rPr>
    </w:lvl>
  </w:abstractNum>
  <w:abstractNum w:abstractNumId="5" w15:restartNumberingAfterBreak="0">
    <w:nsid w:val="0405694B"/>
    <w:multiLevelType w:val="hybridMultilevel"/>
    <w:tmpl w:val="7FCAC578"/>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6" w15:restartNumberingAfterBreak="0">
    <w:nsid w:val="0498747B"/>
    <w:multiLevelType w:val="hybridMultilevel"/>
    <w:tmpl w:val="C21AE87E"/>
    <w:lvl w:ilvl="0" w:tplc="0409000B">
      <w:start w:val="1"/>
      <w:numFmt w:val="bullet"/>
      <w:lvlText w:val=""/>
      <w:lvlJc w:val="left"/>
      <w:pPr>
        <w:ind w:left="2541" w:hanging="420"/>
      </w:pPr>
      <w:rPr>
        <w:rFonts w:ascii="Wingdings" w:hAnsi="Wingdings" w:hint="default"/>
      </w:rPr>
    </w:lvl>
    <w:lvl w:ilvl="1" w:tplc="04090003">
      <w:start w:val="1"/>
      <w:numFmt w:val="bullet"/>
      <w:lvlText w:val=""/>
      <w:lvlJc w:val="left"/>
      <w:pPr>
        <w:ind w:left="2961" w:hanging="420"/>
      </w:pPr>
      <w:rPr>
        <w:rFonts w:ascii="Wingdings" w:hAnsi="Wingdings" w:hint="default"/>
      </w:rPr>
    </w:lvl>
    <w:lvl w:ilvl="2" w:tplc="04090005">
      <w:start w:val="1"/>
      <w:numFmt w:val="bullet"/>
      <w:lvlText w:val=""/>
      <w:lvlJc w:val="left"/>
      <w:pPr>
        <w:ind w:left="3381" w:hanging="420"/>
      </w:pPr>
      <w:rPr>
        <w:rFonts w:ascii="Wingdings" w:hAnsi="Wingdings" w:hint="default"/>
      </w:rPr>
    </w:lvl>
    <w:lvl w:ilvl="3" w:tplc="04090001">
      <w:start w:val="1"/>
      <w:numFmt w:val="bullet"/>
      <w:lvlText w:val=""/>
      <w:lvlJc w:val="left"/>
      <w:pPr>
        <w:ind w:left="3801" w:hanging="420"/>
      </w:pPr>
      <w:rPr>
        <w:rFonts w:ascii="Wingdings" w:hAnsi="Wingdings" w:hint="default"/>
      </w:rPr>
    </w:lvl>
    <w:lvl w:ilvl="4" w:tplc="04090003">
      <w:start w:val="1"/>
      <w:numFmt w:val="bullet"/>
      <w:lvlText w:val=""/>
      <w:lvlJc w:val="left"/>
      <w:pPr>
        <w:ind w:left="4221" w:hanging="420"/>
      </w:pPr>
      <w:rPr>
        <w:rFonts w:ascii="Wingdings" w:hAnsi="Wingdings" w:hint="default"/>
      </w:rPr>
    </w:lvl>
    <w:lvl w:ilvl="5" w:tplc="04090005">
      <w:start w:val="1"/>
      <w:numFmt w:val="bullet"/>
      <w:lvlText w:val=""/>
      <w:lvlJc w:val="left"/>
      <w:pPr>
        <w:ind w:left="4641" w:hanging="420"/>
      </w:pPr>
      <w:rPr>
        <w:rFonts w:ascii="Wingdings" w:hAnsi="Wingdings" w:hint="default"/>
      </w:rPr>
    </w:lvl>
    <w:lvl w:ilvl="6" w:tplc="04090001">
      <w:start w:val="1"/>
      <w:numFmt w:val="bullet"/>
      <w:lvlText w:val=""/>
      <w:lvlJc w:val="left"/>
      <w:pPr>
        <w:ind w:left="5061" w:hanging="420"/>
      </w:pPr>
      <w:rPr>
        <w:rFonts w:ascii="Wingdings" w:hAnsi="Wingdings" w:hint="default"/>
      </w:rPr>
    </w:lvl>
    <w:lvl w:ilvl="7" w:tplc="04090003">
      <w:start w:val="1"/>
      <w:numFmt w:val="bullet"/>
      <w:lvlText w:val=""/>
      <w:lvlJc w:val="left"/>
      <w:pPr>
        <w:ind w:left="5481" w:hanging="420"/>
      </w:pPr>
      <w:rPr>
        <w:rFonts w:ascii="Wingdings" w:hAnsi="Wingdings" w:hint="default"/>
      </w:rPr>
    </w:lvl>
    <w:lvl w:ilvl="8" w:tplc="04090005">
      <w:start w:val="1"/>
      <w:numFmt w:val="bullet"/>
      <w:lvlText w:val=""/>
      <w:lvlJc w:val="left"/>
      <w:pPr>
        <w:ind w:left="5901" w:hanging="420"/>
      </w:pPr>
      <w:rPr>
        <w:rFonts w:ascii="Wingdings" w:hAnsi="Wingdings" w:hint="default"/>
      </w:rPr>
    </w:lvl>
  </w:abstractNum>
  <w:abstractNum w:abstractNumId="7" w15:restartNumberingAfterBreak="0">
    <w:nsid w:val="04B36A16"/>
    <w:multiLevelType w:val="hybridMultilevel"/>
    <w:tmpl w:val="01B841C6"/>
    <w:lvl w:ilvl="0" w:tplc="FFFFFFFF">
      <w:start w:val="1"/>
      <w:numFmt w:val="decimal"/>
      <w:lvlText w:val="%1."/>
      <w:lvlJc w:val="left"/>
      <w:pPr>
        <w:ind w:left="860" w:hanging="440"/>
      </w:pPr>
    </w:lvl>
    <w:lvl w:ilvl="1" w:tplc="0409000F">
      <w:start w:val="1"/>
      <w:numFmt w:val="decimal"/>
      <w:lvlText w:val="%2."/>
      <w:lvlJc w:val="left"/>
      <w:pPr>
        <w:ind w:left="86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8" w15:restartNumberingAfterBreak="0">
    <w:nsid w:val="05391CD9"/>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9" w15:restartNumberingAfterBreak="0">
    <w:nsid w:val="06E663C1"/>
    <w:multiLevelType w:val="hybridMultilevel"/>
    <w:tmpl w:val="12BE6BC8"/>
    <w:lvl w:ilvl="0" w:tplc="04090001">
      <w:start w:val="1"/>
      <w:numFmt w:val="bullet"/>
      <w:lvlText w:val=""/>
      <w:lvlJc w:val="left"/>
      <w:pPr>
        <w:ind w:left="860" w:hanging="440"/>
      </w:pPr>
      <w:rPr>
        <w:rFonts w:ascii="Wingdings" w:hAnsi="Wingdings" w:hint="default"/>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0" w15:restartNumberingAfterBreak="0">
    <w:nsid w:val="090C362A"/>
    <w:multiLevelType w:val="hybridMultilevel"/>
    <w:tmpl w:val="81ECDF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09F365B8"/>
    <w:multiLevelType w:val="hybridMultilevel"/>
    <w:tmpl w:val="0128BB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9F8280E"/>
    <w:multiLevelType w:val="hybridMultilevel"/>
    <w:tmpl w:val="001ECC08"/>
    <w:lvl w:ilvl="0" w:tplc="F1BC4B9A">
      <w:start w:val="1"/>
      <w:numFmt w:val="decimal"/>
      <w:lvlText w:val="%1)"/>
      <w:lvlJc w:val="left"/>
      <w:pPr>
        <w:ind w:left="1320" w:hanging="420"/>
      </w:pPr>
    </w:lvl>
    <w:lvl w:ilvl="1" w:tplc="04090019">
      <w:start w:val="1"/>
      <w:numFmt w:val="lowerLetter"/>
      <w:lvlText w:val="%2)"/>
      <w:lvlJc w:val="left"/>
      <w:pPr>
        <w:ind w:left="1740" w:hanging="420"/>
      </w:pPr>
    </w:lvl>
    <w:lvl w:ilvl="2" w:tplc="0409001B">
      <w:start w:val="1"/>
      <w:numFmt w:val="lowerRoman"/>
      <w:lvlText w:val="%3."/>
      <w:lvlJc w:val="right"/>
      <w:pPr>
        <w:ind w:left="2160" w:hanging="420"/>
      </w:pPr>
    </w:lvl>
    <w:lvl w:ilvl="3" w:tplc="0409000F">
      <w:start w:val="1"/>
      <w:numFmt w:val="decimal"/>
      <w:lvlText w:val="%4."/>
      <w:lvlJc w:val="left"/>
      <w:pPr>
        <w:ind w:left="2580" w:hanging="420"/>
      </w:pPr>
    </w:lvl>
    <w:lvl w:ilvl="4" w:tplc="04090019">
      <w:start w:val="1"/>
      <w:numFmt w:val="lowerLetter"/>
      <w:lvlText w:val="%5)"/>
      <w:lvlJc w:val="left"/>
      <w:pPr>
        <w:ind w:left="3000" w:hanging="420"/>
      </w:pPr>
    </w:lvl>
    <w:lvl w:ilvl="5" w:tplc="0409001B">
      <w:start w:val="1"/>
      <w:numFmt w:val="lowerRoman"/>
      <w:lvlText w:val="%6."/>
      <w:lvlJc w:val="right"/>
      <w:pPr>
        <w:ind w:left="3420" w:hanging="420"/>
      </w:pPr>
    </w:lvl>
    <w:lvl w:ilvl="6" w:tplc="0409000F">
      <w:start w:val="1"/>
      <w:numFmt w:val="decimal"/>
      <w:lvlText w:val="%7."/>
      <w:lvlJc w:val="left"/>
      <w:pPr>
        <w:ind w:left="3840" w:hanging="420"/>
      </w:pPr>
    </w:lvl>
    <w:lvl w:ilvl="7" w:tplc="04090019">
      <w:start w:val="1"/>
      <w:numFmt w:val="lowerLetter"/>
      <w:lvlText w:val="%8)"/>
      <w:lvlJc w:val="left"/>
      <w:pPr>
        <w:ind w:left="4260" w:hanging="420"/>
      </w:pPr>
    </w:lvl>
    <w:lvl w:ilvl="8" w:tplc="0409001B">
      <w:start w:val="1"/>
      <w:numFmt w:val="lowerRoman"/>
      <w:lvlText w:val="%9."/>
      <w:lvlJc w:val="right"/>
      <w:pPr>
        <w:ind w:left="4680" w:hanging="420"/>
      </w:pPr>
    </w:lvl>
  </w:abstractNum>
  <w:abstractNum w:abstractNumId="13" w15:restartNumberingAfterBreak="0">
    <w:nsid w:val="105C507D"/>
    <w:multiLevelType w:val="hybridMultilevel"/>
    <w:tmpl w:val="0FDCDBF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1076338C"/>
    <w:multiLevelType w:val="hybridMultilevel"/>
    <w:tmpl w:val="2BB63166"/>
    <w:lvl w:ilvl="0" w:tplc="FFFFFFFF">
      <w:start w:val="1"/>
      <w:numFmt w:val="chineseCountingThousand"/>
      <w:lvlText w:val="%1、"/>
      <w:lvlJc w:val="left"/>
      <w:pPr>
        <w:ind w:left="860" w:hanging="440"/>
      </w:pPr>
    </w:lvl>
    <w:lvl w:ilvl="1" w:tplc="04090013">
      <w:start w:val="1"/>
      <w:numFmt w:val="chineseCountingThousand"/>
      <w:lvlText w:val="%2、"/>
      <w:lvlJc w:val="left"/>
      <w:pPr>
        <w:ind w:left="1300" w:hanging="440"/>
      </w:pPr>
    </w:lvl>
    <w:lvl w:ilvl="2" w:tplc="FFFFFFFF">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5" w15:restartNumberingAfterBreak="0">
    <w:nsid w:val="15504DFE"/>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16" w15:restartNumberingAfterBreak="0">
    <w:nsid w:val="17357C21"/>
    <w:multiLevelType w:val="hybridMultilevel"/>
    <w:tmpl w:val="BC7441C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76956AE"/>
    <w:multiLevelType w:val="hybridMultilevel"/>
    <w:tmpl w:val="140A27FA"/>
    <w:lvl w:ilvl="0" w:tplc="328232A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460" w:hanging="440"/>
      </w:pPr>
      <w:rPr>
        <w:rFonts w:ascii="Wingdings" w:hAnsi="Wingdings" w:hint="default"/>
      </w:rPr>
    </w:lvl>
    <w:lvl w:ilvl="2" w:tplc="04090005" w:tentative="1">
      <w:start w:val="1"/>
      <w:numFmt w:val="bullet"/>
      <w:lvlText w:val=""/>
      <w:lvlJc w:val="left"/>
      <w:pPr>
        <w:ind w:left="900" w:hanging="440"/>
      </w:pPr>
      <w:rPr>
        <w:rFonts w:ascii="Wingdings" w:hAnsi="Wingdings" w:hint="default"/>
      </w:rPr>
    </w:lvl>
    <w:lvl w:ilvl="3" w:tplc="04090001" w:tentative="1">
      <w:start w:val="1"/>
      <w:numFmt w:val="bullet"/>
      <w:lvlText w:val=""/>
      <w:lvlJc w:val="left"/>
      <w:pPr>
        <w:ind w:left="1340" w:hanging="440"/>
      </w:pPr>
      <w:rPr>
        <w:rFonts w:ascii="Wingdings" w:hAnsi="Wingdings" w:hint="default"/>
      </w:rPr>
    </w:lvl>
    <w:lvl w:ilvl="4" w:tplc="04090003" w:tentative="1">
      <w:start w:val="1"/>
      <w:numFmt w:val="bullet"/>
      <w:lvlText w:val=""/>
      <w:lvlJc w:val="left"/>
      <w:pPr>
        <w:ind w:left="1780" w:hanging="440"/>
      </w:pPr>
      <w:rPr>
        <w:rFonts w:ascii="Wingdings" w:hAnsi="Wingdings" w:hint="default"/>
      </w:rPr>
    </w:lvl>
    <w:lvl w:ilvl="5" w:tplc="04090005" w:tentative="1">
      <w:start w:val="1"/>
      <w:numFmt w:val="bullet"/>
      <w:lvlText w:val=""/>
      <w:lvlJc w:val="left"/>
      <w:pPr>
        <w:ind w:left="2220" w:hanging="440"/>
      </w:pPr>
      <w:rPr>
        <w:rFonts w:ascii="Wingdings" w:hAnsi="Wingdings" w:hint="default"/>
      </w:rPr>
    </w:lvl>
    <w:lvl w:ilvl="6" w:tplc="04090001" w:tentative="1">
      <w:start w:val="1"/>
      <w:numFmt w:val="bullet"/>
      <w:lvlText w:val=""/>
      <w:lvlJc w:val="left"/>
      <w:pPr>
        <w:ind w:left="2660" w:hanging="440"/>
      </w:pPr>
      <w:rPr>
        <w:rFonts w:ascii="Wingdings" w:hAnsi="Wingdings" w:hint="default"/>
      </w:rPr>
    </w:lvl>
    <w:lvl w:ilvl="7" w:tplc="04090003" w:tentative="1">
      <w:start w:val="1"/>
      <w:numFmt w:val="bullet"/>
      <w:lvlText w:val=""/>
      <w:lvlJc w:val="left"/>
      <w:pPr>
        <w:ind w:left="3100" w:hanging="440"/>
      </w:pPr>
      <w:rPr>
        <w:rFonts w:ascii="Wingdings" w:hAnsi="Wingdings" w:hint="default"/>
      </w:rPr>
    </w:lvl>
    <w:lvl w:ilvl="8" w:tplc="04090005" w:tentative="1">
      <w:start w:val="1"/>
      <w:numFmt w:val="bullet"/>
      <w:lvlText w:val=""/>
      <w:lvlJc w:val="left"/>
      <w:pPr>
        <w:ind w:left="3540" w:hanging="440"/>
      </w:pPr>
      <w:rPr>
        <w:rFonts w:ascii="Wingdings" w:hAnsi="Wingdings" w:hint="default"/>
      </w:rPr>
    </w:lvl>
  </w:abstractNum>
  <w:abstractNum w:abstractNumId="18" w15:restartNumberingAfterBreak="0">
    <w:nsid w:val="17A96A77"/>
    <w:multiLevelType w:val="hybridMultilevel"/>
    <w:tmpl w:val="D09213F0"/>
    <w:lvl w:ilvl="0" w:tplc="0409000F">
      <w:start w:val="1"/>
      <w:numFmt w:val="bullet"/>
      <w:lvlText w:val=""/>
      <w:lvlJc w:val="left"/>
      <w:pPr>
        <w:ind w:left="840" w:hanging="420"/>
      </w:pPr>
      <w:rPr>
        <w:rFonts w:ascii="Wingdings" w:hAnsi="Wingdings" w:hint="default"/>
      </w:rPr>
    </w:lvl>
    <w:lvl w:ilvl="1" w:tplc="04090019">
      <w:start w:val="1"/>
      <w:numFmt w:val="bullet"/>
      <w:lvlText w:val=""/>
      <w:lvlJc w:val="left"/>
      <w:pPr>
        <w:ind w:left="1560" w:hanging="720"/>
      </w:pPr>
      <w:rPr>
        <w:rFonts w:ascii="Wingdings" w:hAnsi="Wingdings" w:hint="default"/>
      </w:rPr>
    </w:lvl>
    <w:lvl w:ilvl="2" w:tplc="0409001B">
      <w:numFmt w:val="bullet"/>
      <w:lvlText w:val="●"/>
      <w:lvlJc w:val="left"/>
      <w:pPr>
        <w:ind w:left="1980" w:hanging="720"/>
      </w:pPr>
      <w:rPr>
        <w:rFonts w:ascii="宋体" w:eastAsia="宋体" w:hAnsi="宋体" w:cs="Times New Roman" w:hint="eastAsia"/>
      </w:rPr>
    </w:lvl>
    <w:lvl w:ilvl="3" w:tplc="0409000F">
      <w:start w:val="1"/>
      <w:numFmt w:val="bullet"/>
      <w:lvlText w:val=""/>
      <w:lvlJc w:val="left"/>
      <w:pPr>
        <w:ind w:left="2100" w:hanging="420"/>
      </w:pPr>
      <w:rPr>
        <w:rFonts w:ascii="Wingdings" w:hAnsi="Wingdings" w:hint="default"/>
      </w:rPr>
    </w:lvl>
    <w:lvl w:ilvl="4" w:tplc="04090019">
      <w:start w:val="1"/>
      <w:numFmt w:val="bullet"/>
      <w:lvlText w:val=""/>
      <w:lvlJc w:val="left"/>
      <w:pPr>
        <w:ind w:left="2520" w:hanging="420"/>
      </w:pPr>
      <w:rPr>
        <w:rFonts w:ascii="Wingdings" w:hAnsi="Wingdings" w:hint="default"/>
      </w:rPr>
    </w:lvl>
    <w:lvl w:ilvl="5" w:tplc="0409001B">
      <w:start w:val="1"/>
      <w:numFmt w:val="bullet"/>
      <w:lvlText w:val=""/>
      <w:lvlJc w:val="left"/>
      <w:pPr>
        <w:ind w:left="2940" w:hanging="420"/>
      </w:pPr>
      <w:rPr>
        <w:rFonts w:ascii="Wingdings" w:hAnsi="Wingdings" w:hint="default"/>
      </w:rPr>
    </w:lvl>
    <w:lvl w:ilvl="6" w:tplc="0409000F">
      <w:start w:val="1"/>
      <w:numFmt w:val="bullet"/>
      <w:lvlText w:val=""/>
      <w:lvlJc w:val="left"/>
      <w:pPr>
        <w:ind w:left="3360" w:hanging="420"/>
      </w:pPr>
      <w:rPr>
        <w:rFonts w:ascii="Wingdings" w:hAnsi="Wingdings" w:hint="default"/>
      </w:rPr>
    </w:lvl>
    <w:lvl w:ilvl="7" w:tplc="04090019">
      <w:start w:val="1"/>
      <w:numFmt w:val="bullet"/>
      <w:lvlText w:val=""/>
      <w:lvlJc w:val="left"/>
      <w:pPr>
        <w:ind w:left="3780" w:hanging="420"/>
      </w:pPr>
      <w:rPr>
        <w:rFonts w:ascii="Wingdings" w:hAnsi="Wingdings" w:hint="default"/>
      </w:rPr>
    </w:lvl>
    <w:lvl w:ilvl="8" w:tplc="0409001B">
      <w:start w:val="1"/>
      <w:numFmt w:val="bullet"/>
      <w:lvlText w:val=""/>
      <w:lvlJc w:val="left"/>
      <w:pPr>
        <w:ind w:left="4200" w:hanging="420"/>
      </w:pPr>
      <w:rPr>
        <w:rFonts w:ascii="Wingdings" w:hAnsi="Wingdings" w:hint="default"/>
      </w:rPr>
    </w:lvl>
  </w:abstractNum>
  <w:abstractNum w:abstractNumId="19" w15:restartNumberingAfterBreak="0">
    <w:nsid w:val="1BD2790A"/>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20" w15:restartNumberingAfterBreak="0">
    <w:nsid w:val="1C9D78F5"/>
    <w:multiLevelType w:val="hybridMultilevel"/>
    <w:tmpl w:val="263AE2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1D127288"/>
    <w:multiLevelType w:val="multilevel"/>
    <w:tmpl w:val="CFAEC536"/>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22" w15:restartNumberingAfterBreak="0">
    <w:nsid w:val="1D312A43"/>
    <w:multiLevelType w:val="hybridMultilevel"/>
    <w:tmpl w:val="12D2613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1DED34F9"/>
    <w:multiLevelType w:val="hybridMultilevel"/>
    <w:tmpl w:val="C6869B1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E0429A9"/>
    <w:multiLevelType w:val="hybridMultilevel"/>
    <w:tmpl w:val="8382BC50"/>
    <w:lvl w:ilvl="0" w:tplc="D02CBF54">
      <w:start w:val="1"/>
      <w:numFmt w:val="decimal"/>
      <w:lvlText w:val="%1）"/>
      <w:lvlJc w:val="left"/>
      <w:pPr>
        <w:ind w:left="558" w:hanging="360"/>
      </w:pPr>
      <w:rPr>
        <w:rFonts w:hint="default"/>
      </w:rPr>
    </w:lvl>
    <w:lvl w:ilvl="1" w:tplc="04090019" w:tentative="1">
      <w:start w:val="1"/>
      <w:numFmt w:val="lowerLetter"/>
      <w:lvlText w:val="%2)"/>
      <w:lvlJc w:val="left"/>
      <w:pPr>
        <w:ind w:left="1038" w:hanging="420"/>
      </w:pPr>
    </w:lvl>
    <w:lvl w:ilvl="2" w:tplc="0409001B" w:tentative="1">
      <w:start w:val="1"/>
      <w:numFmt w:val="lowerRoman"/>
      <w:lvlText w:val="%3."/>
      <w:lvlJc w:val="right"/>
      <w:pPr>
        <w:ind w:left="1458" w:hanging="420"/>
      </w:pPr>
    </w:lvl>
    <w:lvl w:ilvl="3" w:tplc="0409000F" w:tentative="1">
      <w:start w:val="1"/>
      <w:numFmt w:val="decimal"/>
      <w:lvlText w:val="%4."/>
      <w:lvlJc w:val="left"/>
      <w:pPr>
        <w:ind w:left="1878" w:hanging="420"/>
      </w:pPr>
    </w:lvl>
    <w:lvl w:ilvl="4" w:tplc="04090019" w:tentative="1">
      <w:start w:val="1"/>
      <w:numFmt w:val="lowerLetter"/>
      <w:lvlText w:val="%5)"/>
      <w:lvlJc w:val="left"/>
      <w:pPr>
        <w:ind w:left="2298" w:hanging="420"/>
      </w:pPr>
    </w:lvl>
    <w:lvl w:ilvl="5" w:tplc="0409001B" w:tentative="1">
      <w:start w:val="1"/>
      <w:numFmt w:val="lowerRoman"/>
      <w:lvlText w:val="%6."/>
      <w:lvlJc w:val="right"/>
      <w:pPr>
        <w:ind w:left="2718" w:hanging="420"/>
      </w:pPr>
    </w:lvl>
    <w:lvl w:ilvl="6" w:tplc="0409000F" w:tentative="1">
      <w:start w:val="1"/>
      <w:numFmt w:val="decimal"/>
      <w:lvlText w:val="%7."/>
      <w:lvlJc w:val="left"/>
      <w:pPr>
        <w:ind w:left="3138" w:hanging="420"/>
      </w:pPr>
    </w:lvl>
    <w:lvl w:ilvl="7" w:tplc="04090019" w:tentative="1">
      <w:start w:val="1"/>
      <w:numFmt w:val="lowerLetter"/>
      <w:lvlText w:val="%8)"/>
      <w:lvlJc w:val="left"/>
      <w:pPr>
        <w:ind w:left="3558" w:hanging="420"/>
      </w:pPr>
    </w:lvl>
    <w:lvl w:ilvl="8" w:tplc="0409001B" w:tentative="1">
      <w:start w:val="1"/>
      <w:numFmt w:val="lowerRoman"/>
      <w:lvlText w:val="%9."/>
      <w:lvlJc w:val="right"/>
      <w:pPr>
        <w:ind w:left="3978" w:hanging="420"/>
      </w:pPr>
    </w:lvl>
  </w:abstractNum>
  <w:abstractNum w:abstractNumId="25" w15:restartNumberingAfterBreak="0">
    <w:nsid w:val="1F4F4236"/>
    <w:multiLevelType w:val="hybridMultilevel"/>
    <w:tmpl w:val="D852392C"/>
    <w:lvl w:ilvl="0" w:tplc="F17CB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F5B0C96"/>
    <w:multiLevelType w:val="hybridMultilevel"/>
    <w:tmpl w:val="2AAC5D8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212A71E5"/>
    <w:multiLevelType w:val="hybridMultilevel"/>
    <w:tmpl w:val="C4C45030"/>
    <w:lvl w:ilvl="0" w:tplc="FFFFFFFF">
      <w:start w:val="1"/>
      <w:numFmt w:val="bullet"/>
      <w:lvlText w:val=""/>
      <w:lvlJc w:val="left"/>
      <w:pPr>
        <w:ind w:left="86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04090003">
      <w:start w:val="1"/>
      <w:numFmt w:val="bullet"/>
      <w:lvlText w:val=""/>
      <w:lvlJc w:val="left"/>
      <w:pPr>
        <w:ind w:left="128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251D7C21"/>
    <w:multiLevelType w:val="hybridMultilevel"/>
    <w:tmpl w:val="8080200C"/>
    <w:lvl w:ilvl="0" w:tplc="04090001">
      <w:start w:val="1"/>
      <w:numFmt w:val="bullet"/>
      <w:lvlText w:val=""/>
      <w:lvlJc w:val="left"/>
      <w:pPr>
        <w:ind w:left="1001" w:hanging="420"/>
      </w:pPr>
      <w:rPr>
        <w:rFonts w:ascii="Wingdings" w:hAnsi="Wingdings" w:hint="default"/>
      </w:rPr>
    </w:lvl>
    <w:lvl w:ilvl="1" w:tplc="04090003" w:tentative="1">
      <w:start w:val="1"/>
      <w:numFmt w:val="bullet"/>
      <w:lvlText w:val=""/>
      <w:lvlJc w:val="left"/>
      <w:pPr>
        <w:ind w:left="1421" w:hanging="420"/>
      </w:pPr>
      <w:rPr>
        <w:rFonts w:ascii="Wingdings" w:hAnsi="Wingdings" w:hint="default"/>
      </w:rPr>
    </w:lvl>
    <w:lvl w:ilvl="2" w:tplc="04090005" w:tentative="1">
      <w:start w:val="1"/>
      <w:numFmt w:val="bullet"/>
      <w:lvlText w:val=""/>
      <w:lvlJc w:val="left"/>
      <w:pPr>
        <w:ind w:left="1841" w:hanging="420"/>
      </w:pPr>
      <w:rPr>
        <w:rFonts w:ascii="Wingdings" w:hAnsi="Wingdings" w:hint="default"/>
      </w:rPr>
    </w:lvl>
    <w:lvl w:ilvl="3" w:tplc="04090001" w:tentative="1">
      <w:start w:val="1"/>
      <w:numFmt w:val="bullet"/>
      <w:lvlText w:val=""/>
      <w:lvlJc w:val="left"/>
      <w:pPr>
        <w:ind w:left="2261" w:hanging="420"/>
      </w:pPr>
      <w:rPr>
        <w:rFonts w:ascii="Wingdings" w:hAnsi="Wingdings" w:hint="default"/>
      </w:rPr>
    </w:lvl>
    <w:lvl w:ilvl="4" w:tplc="04090003" w:tentative="1">
      <w:start w:val="1"/>
      <w:numFmt w:val="bullet"/>
      <w:lvlText w:val=""/>
      <w:lvlJc w:val="left"/>
      <w:pPr>
        <w:ind w:left="2681" w:hanging="420"/>
      </w:pPr>
      <w:rPr>
        <w:rFonts w:ascii="Wingdings" w:hAnsi="Wingdings" w:hint="default"/>
      </w:rPr>
    </w:lvl>
    <w:lvl w:ilvl="5" w:tplc="04090005" w:tentative="1">
      <w:start w:val="1"/>
      <w:numFmt w:val="bullet"/>
      <w:lvlText w:val=""/>
      <w:lvlJc w:val="left"/>
      <w:pPr>
        <w:ind w:left="3101" w:hanging="420"/>
      </w:pPr>
      <w:rPr>
        <w:rFonts w:ascii="Wingdings" w:hAnsi="Wingdings" w:hint="default"/>
      </w:rPr>
    </w:lvl>
    <w:lvl w:ilvl="6" w:tplc="04090001" w:tentative="1">
      <w:start w:val="1"/>
      <w:numFmt w:val="bullet"/>
      <w:lvlText w:val=""/>
      <w:lvlJc w:val="left"/>
      <w:pPr>
        <w:ind w:left="3521" w:hanging="420"/>
      </w:pPr>
      <w:rPr>
        <w:rFonts w:ascii="Wingdings" w:hAnsi="Wingdings" w:hint="default"/>
      </w:rPr>
    </w:lvl>
    <w:lvl w:ilvl="7" w:tplc="04090003" w:tentative="1">
      <w:start w:val="1"/>
      <w:numFmt w:val="bullet"/>
      <w:lvlText w:val=""/>
      <w:lvlJc w:val="left"/>
      <w:pPr>
        <w:ind w:left="3941" w:hanging="420"/>
      </w:pPr>
      <w:rPr>
        <w:rFonts w:ascii="Wingdings" w:hAnsi="Wingdings" w:hint="default"/>
      </w:rPr>
    </w:lvl>
    <w:lvl w:ilvl="8" w:tplc="04090005" w:tentative="1">
      <w:start w:val="1"/>
      <w:numFmt w:val="bullet"/>
      <w:lvlText w:val=""/>
      <w:lvlJc w:val="left"/>
      <w:pPr>
        <w:ind w:left="4361" w:hanging="420"/>
      </w:pPr>
      <w:rPr>
        <w:rFonts w:ascii="Wingdings" w:hAnsi="Wingdings" w:hint="default"/>
      </w:rPr>
    </w:lvl>
  </w:abstractNum>
  <w:abstractNum w:abstractNumId="29" w15:restartNumberingAfterBreak="0">
    <w:nsid w:val="25613DE1"/>
    <w:multiLevelType w:val="hybridMultilevel"/>
    <w:tmpl w:val="346C607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25CE023F"/>
    <w:multiLevelType w:val="hybridMultilevel"/>
    <w:tmpl w:val="89F27914"/>
    <w:lvl w:ilvl="0" w:tplc="FFFFFFFF">
      <w:start w:val="1"/>
      <w:numFmt w:val="bullet"/>
      <w:lvlText w:val=""/>
      <w:lvlJc w:val="left"/>
      <w:pPr>
        <w:ind w:left="860" w:hanging="440"/>
      </w:pPr>
      <w:rPr>
        <w:rFonts w:ascii="Wingdings" w:hAnsi="Wingdings" w:hint="default"/>
      </w:rPr>
    </w:lvl>
    <w:lvl w:ilvl="1" w:tplc="04090003">
      <w:start w:val="1"/>
      <w:numFmt w:val="bullet"/>
      <w:lvlText w:val=""/>
      <w:lvlJc w:val="left"/>
      <w:pPr>
        <w:ind w:left="1280" w:hanging="440"/>
      </w:pPr>
      <w:rPr>
        <w:rFonts w:ascii="Wingdings" w:hAnsi="Wingdings" w:hint="default"/>
      </w:r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1" w15:restartNumberingAfterBreak="0">
    <w:nsid w:val="27051DB8"/>
    <w:multiLevelType w:val="hybridMultilevel"/>
    <w:tmpl w:val="4B86B916"/>
    <w:lvl w:ilvl="0" w:tplc="FFFFFFFF">
      <w:start w:val="1"/>
      <w:numFmt w:val="decimal"/>
      <w:lvlText w:val="%1)"/>
      <w:lvlJc w:val="left"/>
      <w:pPr>
        <w:ind w:left="420" w:hanging="420"/>
      </w:pPr>
    </w:lvl>
    <w:lvl w:ilvl="1" w:tplc="FFFFFFFF">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2" w15:restartNumberingAfterBreak="0">
    <w:nsid w:val="2798266D"/>
    <w:multiLevelType w:val="hybridMultilevel"/>
    <w:tmpl w:val="ACCC7E7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279D5D2D"/>
    <w:multiLevelType w:val="hybridMultilevel"/>
    <w:tmpl w:val="A606BAE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284E743E"/>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35" w15:restartNumberingAfterBreak="0">
    <w:nsid w:val="28544E8C"/>
    <w:multiLevelType w:val="hybridMultilevel"/>
    <w:tmpl w:val="32C0425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287F394A"/>
    <w:multiLevelType w:val="hybridMultilevel"/>
    <w:tmpl w:val="3132D0AE"/>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7" w15:restartNumberingAfterBreak="0">
    <w:nsid w:val="289D59BF"/>
    <w:multiLevelType w:val="hybridMultilevel"/>
    <w:tmpl w:val="9A16B51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8C83A73"/>
    <w:multiLevelType w:val="hybridMultilevel"/>
    <w:tmpl w:val="169EFC9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9684614"/>
    <w:multiLevelType w:val="hybridMultilevel"/>
    <w:tmpl w:val="3C866224"/>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B396691"/>
    <w:multiLevelType w:val="hybridMultilevel"/>
    <w:tmpl w:val="236064B4"/>
    <w:lvl w:ilvl="0" w:tplc="04090001">
      <w:start w:val="1"/>
      <w:numFmt w:val="bullet"/>
      <w:lvlText w:val=""/>
      <w:lvlJc w:val="left"/>
      <w:pPr>
        <w:ind w:left="2121" w:hanging="420"/>
      </w:pPr>
      <w:rPr>
        <w:rFonts w:ascii="Wingdings" w:hAnsi="Wingdings" w:hint="default"/>
      </w:rPr>
    </w:lvl>
    <w:lvl w:ilvl="1" w:tplc="04090003">
      <w:start w:val="1"/>
      <w:numFmt w:val="bullet"/>
      <w:lvlText w:val=""/>
      <w:lvlJc w:val="left"/>
      <w:pPr>
        <w:ind w:left="2541" w:hanging="420"/>
      </w:pPr>
      <w:rPr>
        <w:rFonts w:ascii="Wingdings" w:hAnsi="Wingdings" w:hint="default"/>
      </w:rPr>
    </w:lvl>
    <w:lvl w:ilvl="2" w:tplc="04090005">
      <w:start w:val="1"/>
      <w:numFmt w:val="bullet"/>
      <w:lvlText w:val=""/>
      <w:lvlJc w:val="left"/>
      <w:pPr>
        <w:ind w:left="2961" w:hanging="420"/>
      </w:pPr>
      <w:rPr>
        <w:rFonts w:ascii="Wingdings" w:hAnsi="Wingdings" w:hint="default"/>
      </w:rPr>
    </w:lvl>
    <w:lvl w:ilvl="3" w:tplc="04090001">
      <w:start w:val="1"/>
      <w:numFmt w:val="bullet"/>
      <w:lvlText w:val=""/>
      <w:lvlJc w:val="left"/>
      <w:pPr>
        <w:ind w:left="3381" w:hanging="420"/>
      </w:pPr>
      <w:rPr>
        <w:rFonts w:ascii="Wingdings" w:hAnsi="Wingdings" w:hint="default"/>
      </w:rPr>
    </w:lvl>
    <w:lvl w:ilvl="4" w:tplc="04090003">
      <w:start w:val="1"/>
      <w:numFmt w:val="bullet"/>
      <w:lvlText w:val=""/>
      <w:lvlJc w:val="left"/>
      <w:pPr>
        <w:ind w:left="3801" w:hanging="420"/>
      </w:pPr>
      <w:rPr>
        <w:rFonts w:ascii="Wingdings" w:hAnsi="Wingdings" w:hint="default"/>
      </w:rPr>
    </w:lvl>
    <w:lvl w:ilvl="5" w:tplc="04090005">
      <w:start w:val="1"/>
      <w:numFmt w:val="bullet"/>
      <w:lvlText w:val=""/>
      <w:lvlJc w:val="left"/>
      <w:pPr>
        <w:ind w:left="4221" w:hanging="420"/>
      </w:pPr>
      <w:rPr>
        <w:rFonts w:ascii="Wingdings" w:hAnsi="Wingdings" w:hint="default"/>
      </w:rPr>
    </w:lvl>
    <w:lvl w:ilvl="6" w:tplc="04090001">
      <w:start w:val="1"/>
      <w:numFmt w:val="bullet"/>
      <w:lvlText w:val=""/>
      <w:lvlJc w:val="left"/>
      <w:pPr>
        <w:ind w:left="4641" w:hanging="420"/>
      </w:pPr>
      <w:rPr>
        <w:rFonts w:ascii="Wingdings" w:hAnsi="Wingdings" w:hint="default"/>
      </w:rPr>
    </w:lvl>
    <w:lvl w:ilvl="7" w:tplc="04090003">
      <w:start w:val="1"/>
      <w:numFmt w:val="bullet"/>
      <w:lvlText w:val=""/>
      <w:lvlJc w:val="left"/>
      <w:pPr>
        <w:ind w:left="5061" w:hanging="420"/>
      </w:pPr>
      <w:rPr>
        <w:rFonts w:ascii="Wingdings" w:hAnsi="Wingdings" w:hint="default"/>
      </w:rPr>
    </w:lvl>
    <w:lvl w:ilvl="8" w:tplc="04090005">
      <w:start w:val="1"/>
      <w:numFmt w:val="bullet"/>
      <w:lvlText w:val=""/>
      <w:lvlJc w:val="left"/>
      <w:pPr>
        <w:ind w:left="5481" w:hanging="420"/>
      </w:pPr>
      <w:rPr>
        <w:rFonts w:ascii="Wingdings" w:hAnsi="Wingdings" w:hint="default"/>
      </w:rPr>
    </w:lvl>
  </w:abstractNum>
  <w:abstractNum w:abstractNumId="41" w15:restartNumberingAfterBreak="0">
    <w:nsid w:val="2C4647B4"/>
    <w:multiLevelType w:val="hybridMultilevel"/>
    <w:tmpl w:val="EF542938"/>
    <w:lvl w:ilvl="0" w:tplc="04090011">
      <w:start w:val="1"/>
      <w:numFmt w:val="decimal"/>
      <w:lvlText w:val="%1)"/>
      <w:lvlJc w:val="left"/>
      <w:pPr>
        <w:ind w:left="1220" w:hanging="420"/>
      </w:pPr>
    </w:lvl>
    <w:lvl w:ilvl="1" w:tplc="04090019">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42" w15:restartNumberingAfterBreak="0">
    <w:nsid w:val="2CE20FE6"/>
    <w:multiLevelType w:val="hybridMultilevel"/>
    <w:tmpl w:val="1D4AE4A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3" w15:restartNumberingAfterBreak="0">
    <w:nsid w:val="2DCA5851"/>
    <w:multiLevelType w:val="hybridMultilevel"/>
    <w:tmpl w:val="C4FC73B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2DF12DC5"/>
    <w:multiLevelType w:val="hybridMultilevel"/>
    <w:tmpl w:val="520295F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309874F7"/>
    <w:multiLevelType w:val="hybridMultilevel"/>
    <w:tmpl w:val="F548827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15:restartNumberingAfterBreak="0">
    <w:nsid w:val="30D062EF"/>
    <w:multiLevelType w:val="hybridMultilevel"/>
    <w:tmpl w:val="5BB21B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31BB0BA7"/>
    <w:multiLevelType w:val="hybridMultilevel"/>
    <w:tmpl w:val="5C386C2A"/>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48" w15:restartNumberingAfterBreak="0">
    <w:nsid w:val="31F53D65"/>
    <w:multiLevelType w:val="hybridMultilevel"/>
    <w:tmpl w:val="3630350E"/>
    <w:lvl w:ilvl="0" w:tplc="328232A6">
      <w:start w:val="1"/>
      <w:numFmt w:val="bullet"/>
      <w:lvlText w:val=""/>
      <w:lvlJc w:val="left"/>
      <w:pPr>
        <w:ind w:left="860" w:hanging="440"/>
      </w:pPr>
      <w:rPr>
        <w:rFonts w:ascii="Wingdings" w:hAnsi="Wingdings" w:hint="default"/>
      </w:rPr>
    </w:lvl>
    <w:lvl w:ilvl="1" w:tplc="FFFFFFFF">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49" w15:restartNumberingAfterBreak="0">
    <w:nsid w:val="33A928C7"/>
    <w:multiLevelType w:val="hybridMultilevel"/>
    <w:tmpl w:val="3386F1F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0" w15:restartNumberingAfterBreak="0">
    <w:nsid w:val="344E542A"/>
    <w:multiLevelType w:val="hybridMultilevel"/>
    <w:tmpl w:val="4D8C8B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1" w15:restartNumberingAfterBreak="0">
    <w:nsid w:val="35EE32EC"/>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52" w15:restartNumberingAfterBreak="0">
    <w:nsid w:val="36C3172F"/>
    <w:multiLevelType w:val="hybridMultilevel"/>
    <w:tmpl w:val="4D589666"/>
    <w:lvl w:ilvl="0" w:tplc="0409000F">
      <w:start w:val="1"/>
      <w:numFmt w:val="bullet"/>
      <w:lvlText w:val=""/>
      <w:lvlJc w:val="left"/>
      <w:pPr>
        <w:ind w:left="1260" w:hanging="420"/>
      </w:pPr>
      <w:rPr>
        <w:rFonts w:ascii="Wingdings" w:hAnsi="Wingdings" w:hint="default"/>
      </w:rPr>
    </w:lvl>
    <w:lvl w:ilvl="1" w:tplc="C6A88CB8">
      <w:start w:val="1"/>
      <w:numFmt w:val="bullet"/>
      <w:lvlText w:val=""/>
      <w:lvlJc w:val="left"/>
      <w:pPr>
        <w:ind w:left="1680" w:hanging="420"/>
      </w:pPr>
      <w:rPr>
        <w:rFonts w:ascii="Wingdings" w:hAnsi="Wingdings" w:hint="default"/>
      </w:rPr>
    </w:lvl>
    <w:lvl w:ilvl="2" w:tplc="ECFE84DA">
      <w:start w:val="1"/>
      <w:numFmt w:val="bullet"/>
      <w:lvlText w:val=""/>
      <w:lvlJc w:val="left"/>
      <w:pPr>
        <w:ind w:left="2100" w:hanging="420"/>
      </w:pPr>
      <w:rPr>
        <w:rFonts w:ascii="Wingdings" w:hAnsi="Wingdings" w:hint="default"/>
      </w:rPr>
    </w:lvl>
    <w:lvl w:ilvl="3" w:tplc="FF6690E4">
      <w:start w:val="1"/>
      <w:numFmt w:val="bullet"/>
      <w:lvlText w:val=""/>
      <w:lvlJc w:val="left"/>
      <w:pPr>
        <w:ind w:left="2520" w:hanging="420"/>
      </w:pPr>
      <w:rPr>
        <w:rFonts w:ascii="Wingdings" w:hAnsi="Wingdings" w:hint="default"/>
      </w:rPr>
    </w:lvl>
    <w:lvl w:ilvl="4" w:tplc="0F86D8D8">
      <w:start w:val="1"/>
      <w:numFmt w:val="bullet"/>
      <w:lvlText w:val=""/>
      <w:lvlJc w:val="left"/>
      <w:pPr>
        <w:ind w:left="2940" w:hanging="420"/>
      </w:pPr>
      <w:rPr>
        <w:rFonts w:ascii="Wingdings" w:hAnsi="Wingdings" w:hint="default"/>
      </w:rPr>
    </w:lvl>
    <w:lvl w:ilvl="5" w:tplc="8B5AA7C8">
      <w:start w:val="1"/>
      <w:numFmt w:val="bullet"/>
      <w:lvlText w:val=""/>
      <w:lvlJc w:val="left"/>
      <w:pPr>
        <w:ind w:left="3360" w:hanging="420"/>
      </w:pPr>
      <w:rPr>
        <w:rFonts w:ascii="Wingdings" w:hAnsi="Wingdings" w:hint="default"/>
      </w:rPr>
    </w:lvl>
    <w:lvl w:ilvl="6" w:tplc="3A30B02E">
      <w:start w:val="1"/>
      <w:numFmt w:val="bullet"/>
      <w:lvlText w:val=""/>
      <w:lvlJc w:val="left"/>
      <w:pPr>
        <w:ind w:left="3780" w:hanging="420"/>
      </w:pPr>
      <w:rPr>
        <w:rFonts w:ascii="Wingdings" w:hAnsi="Wingdings" w:hint="default"/>
      </w:rPr>
    </w:lvl>
    <w:lvl w:ilvl="7" w:tplc="6E6C95B2">
      <w:start w:val="1"/>
      <w:numFmt w:val="bullet"/>
      <w:lvlText w:val=""/>
      <w:lvlJc w:val="left"/>
      <w:pPr>
        <w:ind w:left="4200" w:hanging="420"/>
      </w:pPr>
      <w:rPr>
        <w:rFonts w:ascii="Wingdings" w:hAnsi="Wingdings" w:hint="default"/>
      </w:rPr>
    </w:lvl>
    <w:lvl w:ilvl="8" w:tplc="75AA6016">
      <w:start w:val="1"/>
      <w:numFmt w:val="bullet"/>
      <w:lvlText w:val=""/>
      <w:lvlJc w:val="left"/>
      <w:pPr>
        <w:ind w:left="4620" w:hanging="420"/>
      </w:pPr>
      <w:rPr>
        <w:rFonts w:ascii="Wingdings" w:hAnsi="Wingdings" w:hint="default"/>
      </w:rPr>
    </w:lvl>
  </w:abstractNum>
  <w:abstractNum w:abstractNumId="53" w15:restartNumberingAfterBreak="0">
    <w:nsid w:val="371C6ED7"/>
    <w:multiLevelType w:val="hybridMultilevel"/>
    <w:tmpl w:val="FCD28DFE"/>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4" w15:restartNumberingAfterBreak="0">
    <w:nsid w:val="377D697A"/>
    <w:multiLevelType w:val="hybridMultilevel"/>
    <w:tmpl w:val="7932105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5" w15:restartNumberingAfterBreak="0">
    <w:nsid w:val="38A43472"/>
    <w:multiLevelType w:val="hybridMultilevel"/>
    <w:tmpl w:val="524C7F30"/>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6" w15:restartNumberingAfterBreak="0">
    <w:nsid w:val="396B7E83"/>
    <w:multiLevelType w:val="hybridMultilevel"/>
    <w:tmpl w:val="971A6C46"/>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7" w15:restartNumberingAfterBreak="0">
    <w:nsid w:val="3AC73074"/>
    <w:multiLevelType w:val="hybridMultilevel"/>
    <w:tmpl w:val="12DCE84A"/>
    <w:lvl w:ilvl="0" w:tplc="FFFFFFFF">
      <w:start w:val="1"/>
      <w:numFmt w:val="decimal"/>
      <w:lvlText w:val="%1、"/>
      <w:lvlJc w:val="left"/>
      <w:pPr>
        <w:tabs>
          <w:tab w:val="num" w:pos="480"/>
        </w:tabs>
        <w:ind w:left="840" w:hanging="360"/>
      </w:pPr>
    </w:lvl>
    <w:lvl w:ilvl="1" w:tplc="FFFFFFFF">
      <w:start w:val="1"/>
      <w:numFmt w:val="lowerLetter"/>
      <w:lvlText w:val="%2)"/>
      <w:lvlJc w:val="left"/>
      <w:pPr>
        <w:tabs>
          <w:tab w:val="num" w:pos="1320"/>
        </w:tabs>
        <w:ind w:left="1320" w:hanging="42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58" w15:restartNumberingAfterBreak="0">
    <w:nsid w:val="3D5237D6"/>
    <w:multiLevelType w:val="hybridMultilevel"/>
    <w:tmpl w:val="BD9469E8"/>
    <w:lvl w:ilvl="0" w:tplc="328232A6">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9" w15:restartNumberingAfterBreak="0">
    <w:nsid w:val="3D9D017A"/>
    <w:multiLevelType w:val="hybridMultilevel"/>
    <w:tmpl w:val="B184C83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0" w15:restartNumberingAfterBreak="0">
    <w:nsid w:val="3E7C68C3"/>
    <w:multiLevelType w:val="hybridMultilevel"/>
    <w:tmpl w:val="9578939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1" w15:restartNumberingAfterBreak="0">
    <w:nsid w:val="3FEE53BB"/>
    <w:multiLevelType w:val="hybridMultilevel"/>
    <w:tmpl w:val="F7CE5EF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2" w15:restartNumberingAfterBreak="0">
    <w:nsid w:val="409C5ABA"/>
    <w:multiLevelType w:val="hybridMultilevel"/>
    <w:tmpl w:val="E14A6A46"/>
    <w:lvl w:ilvl="0" w:tplc="04090001">
      <w:start w:val="1"/>
      <w:numFmt w:val="decimal"/>
      <w:lvlText w:val="%1)"/>
      <w:lvlJc w:val="left"/>
      <w:pPr>
        <w:ind w:left="900" w:hanging="420"/>
      </w:pPr>
    </w:lvl>
    <w:lvl w:ilvl="1" w:tplc="04090003">
      <w:start w:val="1"/>
      <w:numFmt w:val="lowerLetter"/>
      <w:lvlText w:val="%2)"/>
      <w:lvlJc w:val="left"/>
      <w:pPr>
        <w:ind w:left="1320" w:hanging="420"/>
      </w:pPr>
    </w:lvl>
    <w:lvl w:ilvl="2" w:tplc="04090005">
      <w:start w:val="1"/>
      <w:numFmt w:val="lowerRoman"/>
      <w:lvlText w:val="%3."/>
      <w:lvlJc w:val="right"/>
      <w:pPr>
        <w:ind w:left="1740" w:hanging="420"/>
      </w:pPr>
    </w:lvl>
    <w:lvl w:ilvl="3" w:tplc="04090001">
      <w:start w:val="1"/>
      <w:numFmt w:val="decimal"/>
      <w:lvlText w:val="%4."/>
      <w:lvlJc w:val="left"/>
      <w:pPr>
        <w:ind w:left="2160" w:hanging="420"/>
      </w:pPr>
    </w:lvl>
    <w:lvl w:ilvl="4" w:tplc="04090003">
      <w:start w:val="1"/>
      <w:numFmt w:val="lowerLetter"/>
      <w:lvlText w:val="%5)"/>
      <w:lvlJc w:val="left"/>
      <w:pPr>
        <w:ind w:left="2580" w:hanging="420"/>
      </w:pPr>
    </w:lvl>
    <w:lvl w:ilvl="5" w:tplc="04090005">
      <w:start w:val="1"/>
      <w:numFmt w:val="lowerRoman"/>
      <w:lvlText w:val="%6."/>
      <w:lvlJc w:val="right"/>
      <w:pPr>
        <w:ind w:left="3000" w:hanging="420"/>
      </w:pPr>
    </w:lvl>
    <w:lvl w:ilvl="6" w:tplc="04090001">
      <w:start w:val="1"/>
      <w:numFmt w:val="decimal"/>
      <w:lvlText w:val="%7."/>
      <w:lvlJc w:val="left"/>
      <w:pPr>
        <w:ind w:left="3420" w:hanging="420"/>
      </w:pPr>
    </w:lvl>
    <w:lvl w:ilvl="7" w:tplc="04090003">
      <w:start w:val="1"/>
      <w:numFmt w:val="lowerLetter"/>
      <w:lvlText w:val="%8)"/>
      <w:lvlJc w:val="left"/>
      <w:pPr>
        <w:ind w:left="3840" w:hanging="420"/>
      </w:pPr>
    </w:lvl>
    <w:lvl w:ilvl="8" w:tplc="04090005">
      <w:start w:val="1"/>
      <w:numFmt w:val="lowerRoman"/>
      <w:lvlText w:val="%9."/>
      <w:lvlJc w:val="right"/>
      <w:pPr>
        <w:ind w:left="4260" w:hanging="420"/>
      </w:pPr>
    </w:lvl>
  </w:abstractNum>
  <w:abstractNum w:abstractNumId="63" w15:restartNumberingAfterBreak="0">
    <w:nsid w:val="42004B62"/>
    <w:multiLevelType w:val="hybridMultilevel"/>
    <w:tmpl w:val="FD1473A6"/>
    <w:lvl w:ilvl="0" w:tplc="7E4463C0">
      <w:start w:val="1"/>
      <w:numFmt w:val="bullet"/>
      <w:lvlText w:val=""/>
      <w:lvlJc w:val="left"/>
      <w:pPr>
        <w:ind w:left="1260" w:hanging="420"/>
      </w:pPr>
      <w:rPr>
        <w:rFonts w:ascii="Wingdings" w:hAnsi="Wingdings" w:hint="default"/>
      </w:rPr>
    </w:lvl>
    <w:lvl w:ilvl="1" w:tplc="3B7674E8">
      <w:start w:val="1"/>
      <w:numFmt w:val="bullet"/>
      <w:lvlText w:val=""/>
      <w:lvlJc w:val="left"/>
      <w:pPr>
        <w:ind w:left="1680" w:hanging="420"/>
      </w:pPr>
      <w:rPr>
        <w:rFonts w:ascii="Wingdings" w:hAnsi="Wingdings" w:hint="default"/>
      </w:rPr>
    </w:lvl>
    <w:lvl w:ilvl="2" w:tplc="68E6D6B8">
      <w:start w:val="1"/>
      <w:numFmt w:val="bullet"/>
      <w:lvlText w:val=""/>
      <w:lvlJc w:val="left"/>
      <w:pPr>
        <w:ind w:left="2100" w:hanging="420"/>
      </w:pPr>
      <w:rPr>
        <w:rFonts w:ascii="Wingdings" w:hAnsi="Wingdings" w:hint="default"/>
      </w:rPr>
    </w:lvl>
    <w:lvl w:ilvl="3" w:tplc="DE16AF3E">
      <w:start w:val="1"/>
      <w:numFmt w:val="bullet"/>
      <w:lvlText w:val=""/>
      <w:lvlJc w:val="left"/>
      <w:pPr>
        <w:ind w:left="2520" w:hanging="420"/>
      </w:pPr>
      <w:rPr>
        <w:rFonts w:ascii="Wingdings" w:hAnsi="Wingdings" w:hint="default"/>
      </w:rPr>
    </w:lvl>
    <w:lvl w:ilvl="4" w:tplc="529EE36E">
      <w:start w:val="1"/>
      <w:numFmt w:val="bullet"/>
      <w:lvlText w:val=""/>
      <w:lvlJc w:val="left"/>
      <w:pPr>
        <w:ind w:left="2940" w:hanging="420"/>
      </w:pPr>
      <w:rPr>
        <w:rFonts w:ascii="Wingdings" w:hAnsi="Wingdings" w:hint="default"/>
      </w:rPr>
    </w:lvl>
    <w:lvl w:ilvl="5" w:tplc="AB6E0B54">
      <w:start w:val="1"/>
      <w:numFmt w:val="bullet"/>
      <w:lvlText w:val=""/>
      <w:lvlJc w:val="left"/>
      <w:pPr>
        <w:ind w:left="3360" w:hanging="420"/>
      </w:pPr>
      <w:rPr>
        <w:rFonts w:ascii="Wingdings" w:hAnsi="Wingdings" w:hint="default"/>
      </w:rPr>
    </w:lvl>
    <w:lvl w:ilvl="6" w:tplc="E7E285C0">
      <w:start w:val="1"/>
      <w:numFmt w:val="bullet"/>
      <w:lvlText w:val=""/>
      <w:lvlJc w:val="left"/>
      <w:pPr>
        <w:ind w:left="3780" w:hanging="420"/>
      </w:pPr>
      <w:rPr>
        <w:rFonts w:ascii="Wingdings" w:hAnsi="Wingdings" w:hint="default"/>
      </w:rPr>
    </w:lvl>
    <w:lvl w:ilvl="7" w:tplc="8AFEBE96">
      <w:start w:val="1"/>
      <w:numFmt w:val="bullet"/>
      <w:lvlText w:val=""/>
      <w:lvlJc w:val="left"/>
      <w:pPr>
        <w:ind w:left="4200" w:hanging="420"/>
      </w:pPr>
      <w:rPr>
        <w:rFonts w:ascii="Wingdings" w:hAnsi="Wingdings" w:hint="default"/>
      </w:rPr>
    </w:lvl>
    <w:lvl w:ilvl="8" w:tplc="31DADCD6">
      <w:start w:val="1"/>
      <w:numFmt w:val="bullet"/>
      <w:lvlText w:val=""/>
      <w:lvlJc w:val="left"/>
      <w:pPr>
        <w:ind w:left="4620" w:hanging="420"/>
      </w:pPr>
      <w:rPr>
        <w:rFonts w:ascii="Wingdings" w:hAnsi="Wingdings" w:hint="default"/>
      </w:rPr>
    </w:lvl>
  </w:abstractNum>
  <w:abstractNum w:abstractNumId="64" w15:restartNumberingAfterBreak="0">
    <w:nsid w:val="42CF4755"/>
    <w:multiLevelType w:val="hybridMultilevel"/>
    <w:tmpl w:val="1A940A0E"/>
    <w:lvl w:ilvl="0" w:tplc="07C44E82">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webHidden w:val="0"/>
        <w:spacing w:val="0"/>
        <w:w w:val="100"/>
        <w:position w:val="2"/>
        <w:sz w:val="16"/>
        <w:szCs w:val="16"/>
        <w:u w:val="none"/>
        <w:effect w:val="none"/>
        <w:vertAlign w:val="baseline"/>
        <w:specVanish w:val="0"/>
      </w:rPr>
    </w:lvl>
    <w:lvl w:ilvl="1" w:tplc="35F209DE">
      <w:start w:val="1"/>
      <w:numFmt w:val="bullet"/>
      <w:lvlText w:val=""/>
      <w:lvlJc w:val="left"/>
      <w:pPr>
        <w:tabs>
          <w:tab w:val="num" w:pos="840"/>
        </w:tabs>
        <w:ind w:left="840" w:hanging="420"/>
      </w:pPr>
      <w:rPr>
        <w:rFonts w:ascii="Wingdings" w:hAnsi="Wingdings" w:hint="default"/>
      </w:rPr>
    </w:lvl>
    <w:lvl w:ilvl="2" w:tplc="E244D662">
      <w:start w:val="1"/>
      <w:numFmt w:val="bullet"/>
      <w:lvlText w:val=""/>
      <w:lvlJc w:val="left"/>
      <w:pPr>
        <w:tabs>
          <w:tab w:val="num" w:pos="1260"/>
        </w:tabs>
        <w:ind w:left="1260" w:hanging="420"/>
      </w:pPr>
      <w:rPr>
        <w:rFonts w:ascii="Wingdings" w:hAnsi="Wingdings" w:hint="default"/>
      </w:rPr>
    </w:lvl>
    <w:lvl w:ilvl="3" w:tplc="1FA0AE80">
      <w:start w:val="1"/>
      <w:numFmt w:val="bullet"/>
      <w:lvlText w:val=""/>
      <w:lvlJc w:val="left"/>
      <w:pPr>
        <w:tabs>
          <w:tab w:val="num" w:pos="1680"/>
        </w:tabs>
        <w:ind w:left="1680" w:hanging="420"/>
      </w:pPr>
      <w:rPr>
        <w:rFonts w:ascii="Wingdings" w:hAnsi="Wingdings" w:hint="default"/>
      </w:rPr>
    </w:lvl>
    <w:lvl w:ilvl="4" w:tplc="10E6969A">
      <w:start w:val="1"/>
      <w:numFmt w:val="bullet"/>
      <w:lvlText w:val=""/>
      <w:lvlJc w:val="left"/>
      <w:pPr>
        <w:tabs>
          <w:tab w:val="num" w:pos="2100"/>
        </w:tabs>
        <w:ind w:left="2100" w:hanging="420"/>
      </w:pPr>
      <w:rPr>
        <w:rFonts w:ascii="Wingdings" w:hAnsi="Wingdings" w:hint="default"/>
      </w:rPr>
    </w:lvl>
    <w:lvl w:ilvl="5" w:tplc="20B2BD7E">
      <w:start w:val="1"/>
      <w:numFmt w:val="bullet"/>
      <w:lvlText w:val=""/>
      <w:lvlJc w:val="left"/>
      <w:pPr>
        <w:tabs>
          <w:tab w:val="num" w:pos="2520"/>
        </w:tabs>
        <w:ind w:left="2520" w:hanging="420"/>
      </w:pPr>
      <w:rPr>
        <w:rFonts w:ascii="Wingdings" w:hAnsi="Wingdings" w:hint="default"/>
      </w:rPr>
    </w:lvl>
    <w:lvl w:ilvl="6" w:tplc="24706496">
      <w:start w:val="1"/>
      <w:numFmt w:val="bullet"/>
      <w:lvlText w:val=""/>
      <w:lvlJc w:val="left"/>
      <w:pPr>
        <w:tabs>
          <w:tab w:val="num" w:pos="2940"/>
        </w:tabs>
        <w:ind w:left="2940" w:hanging="420"/>
      </w:pPr>
      <w:rPr>
        <w:rFonts w:ascii="Wingdings" w:hAnsi="Wingdings" w:hint="default"/>
      </w:rPr>
    </w:lvl>
    <w:lvl w:ilvl="7" w:tplc="695A1EC8">
      <w:start w:val="1"/>
      <w:numFmt w:val="bullet"/>
      <w:lvlText w:val=""/>
      <w:lvlJc w:val="left"/>
      <w:pPr>
        <w:tabs>
          <w:tab w:val="num" w:pos="3360"/>
        </w:tabs>
        <w:ind w:left="3360" w:hanging="420"/>
      </w:pPr>
      <w:rPr>
        <w:rFonts w:ascii="Wingdings" w:hAnsi="Wingdings" w:hint="default"/>
      </w:rPr>
    </w:lvl>
    <w:lvl w:ilvl="8" w:tplc="265CE654">
      <w:start w:val="1"/>
      <w:numFmt w:val="bullet"/>
      <w:lvlText w:val=""/>
      <w:lvlJc w:val="left"/>
      <w:pPr>
        <w:tabs>
          <w:tab w:val="num" w:pos="3780"/>
        </w:tabs>
        <w:ind w:left="3780" w:hanging="420"/>
      </w:pPr>
      <w:rPr>
        <w:rFonts w:ascii="Wingdings" w:hAnsi="Wingdings" w:hint="default"/>
      </w:rPr>
    </w:lvl>
  </w:abstractNum>
  <w:abstractNum w:abstractNumId="65" w15:restartNumberingAfterBreak="0">
    <w:nsid w:val="43C106F0"/>
    <w:multiLevelType w:val="hybridMultilevel"/>
    <w:tmpl w:val="D5FE176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6" w15:restartNumberingAfterBreak="0">
    <w:nsid w:val="44E263D4"/>
    <w:multiLevelType w:val="hybridMultilevel"/>
    <w:tmpl w:val="2D4042E0"/>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15:restartNumberingAfterBreak="0">
    <w:nsid w:val="45B61C80"/>
    <w:multiLevelType w:val="hybridMultilevel"/>
    <w:tmpl w:val="28F0DA8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8" w15:restartNumberingAfterBreak="0">
    <w:nsid w:val="45DE1A43"/>
    <w:multiLevelType w:val="hybridMultilevel"/>
    <w:tmpl w:val="D23AB21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9" w15:restartNumberingAfterBreak="0">
    <w:nsid w:val="49B02EE0"/>
    <w:multiLevelType w:val="hybridMultilevel"/>
    <w:tmpl w:val="27680BE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4BEB2A06"/>
    <w:multiLevelType w:val="hybridMultilevel"/>
    <w:tmpl w:val="DE68E06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1" w15:restartNumberingAfterBreak="0">
    <w:nsid w:val="4C4D57EB"/>
    <w:multiLevelType w:val="hybridMultilevel"/>
    <w:tmpl w:val="46186E0A"/>
    <w:lvl w:ilvl="0" w:tplc="53069B6A">
      <w:start w:val="1"/>
      <w:numFmt w:val="bullet"/>
      <w:lvlText w:val=""/>
      <w:lvlJc w:val="left"/>
      <w:pPr>
        <w:ind w:left="1260" w:hanging="420"/>
      </w:pPr>
      <w:rPr>
        <w:rFonts w:ascii="Wingdings" w:hAnsi="Wingdings" w:hint="default"/>
      </w:rPr>
    </w:lvl>
    <w:lvl w:ilvl="1" w:tplc="A1B8C0E0">
      <w:start w:val="1"/>
      <w:numFmt w:val="bullet"/>
      <w:lvlText w:val=""/>
      <w:lvlJc w:val="left"/>
      <w:pPr>
        <w:ind w:left="1680" w:hanging="420"/>
      </w:pPr>
      <w:rPr>
        <w:rFonts w:ascii="Wingdings" w:hAnsi="Wingdings" w:hint="default"/>
      </w:rPr>
    </w:lvl>
    <w:lvl w:ilvl="2" w:tplc="C27CCB52">
      <w:start w:val="1"/>
      <w:numFmt w:val="bullet"/>
      <w:lvlText w:val=""/>
      <w:lvlJc w:val="left"/>
      <w:pPr>
        <w:ind w:left="2100" w:hanging="420"/>
      </w:pPr>
      <w:rPr>
        <w:rFonts w:ascii="Wingdings" w:hAnsi="Wingdings" w:hint="default"/>
      </w:rPr>
    </w:lvl>
    <w:lvl w:ilvl="3" w:tplc="C7349CC2">
      <w:start w:val="1"/>
      <w:numFmt w:val="bullet"/>
      <w:lvlText w:val=""/>
      <w:lvlJc w:val="left"/>
      <w:pPr>
        <w:ind w:left="2520" w:hanging="420"/>
      </w:pPr>
      <w:rPr>
        <w:rFonts w:ascii="Wingdings" w:hAnsi="Wingdings" w:hint="default"/>
      </w:rPr>
    </w:lvl>
    <w:lvl w:ilvl="4" w:tplc="41A60326">
      <w:start w:val="1"/>
      <w:numFmt w:val="bullet"/>
      <w:lvlText w:val=""/>
      <w:lvlJc w:val="left"/>
      <w:pPr>
        <w:ind w:left="2940" w:hanging="420"/>
      </w:pPr>
      <w:rPr>
        <w:rFonts w:ascii="Wingdings" w:hAnsi="Wingdings" w:hint="default"/>
      </w:rPr>
    </w:lvl>
    <w:lvl w:ilvl="5" w:tplc="4BA20132">
      <w:start w:val="1"/>
      <w:numFmt w:val="bullet"/>
      <w:lvlText w:val=""/>
      <w:lvlJc w:val="left"/>
      <w:pPr>
        <w:ind w:left="3360" w:hanging="420"/>
      </w:pPr>
      <w:rPr>
        <w:rFonts w:ascii="Wingdings" w:hAnsi="Wingdings" w:hint="default"/>
      </w:rPr>
    </w:lvl>
    <w:lvl w:ilvl="6" w:tplc="58A052E2">
      <w:start w:val="1"/>
      <w:numFmt w:val="bullet"/>
      <w:lvlText w:val=""/>
      <w:lvlJc w:val="left"/>
      <w:pPr>
        <w:ind w:left="3780" w:hanging="420"/>
      </w:pPr>
      <w:rPr>
        <w:rFonts w:ascii="Wingdings" w:hAnsi="Wingdings" w:hint="default"/>
      </w:rPr>
    </w:lvl>
    <w:lvl w:ilvl="7" w:tplc="F9028C1A">
      <w:start w:val="1"/>
      <w:numFmt w:val="bullet"/>
      <w:lvlText w:val=""/>
      <w:lvlJc w:val="left"/>
      <w:pPr>
        <w:ind w:left="4200" w:hanging="420"/>
      </w:pPr>
      <w:rPr>
        <w:rFonts w:ascii="Wingdings" w:hAnsi="Wingdings" w:hint="default"/>
      </w:rPr>
    </w:lvl>
    <w:lvl w:ilvl="8" w:tplc="3BA0C8CA">
      <w:start w:val="1"/>
      <w:numFmt w:val="bullet"/>
      <w:lvlText w:val=""/>
      <w:lvlJc w:val="left"/>
      <w:pPr>
        <w:ind w:left="4620" w:hanging="420"/>
      </w:pPr>
      <w:rPr>
        <w:rFonts w:ascii="Wingdings" w:hAnsi="Wingdings" w:hint="default"/>
      </w:rPr>
    </w:lvl>
  </w:abstractNum>
  <w:abstractNum w:abstractNumId="72" w15:restartNumberingAfterBreak="0">
    <w:nsid w:val="4CD600F2"/>
    <w:multiLevelType w:val="hybridMultilevel"/>
    <w:tmpl w:val="D4F42D7E"/>
    <w:lvl w:ilvl="0" w:tplc="04090001">
      <w:start w:val="1"/>
      <w:numFmt w:val="bullet"/>
      <w:lvlText w:val=""/>
      <w:lvlJc w:val="left"/>
      <w:pPr>
        <w:ind w:left="860" w:hanging="440"/>
      </w:pPr>
      <w:rPr>
        <w:rFonts w:ascii="Wingdings" w:hAnsi="Wingdings" w:hint="default"/>
      </w:rPr>
    </w:lvl>
    <w:lvl w:ilvl="1" w:tplc="04090003">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73" w15:restartNumberingAfterBreak="0">
    <w:nsid w:val="4D0D2F48"/>
    <w:multiLevelType w:val="hybridMultilevel"/>
    <w:tmpl w:val="E878033E"/>
    <w:lvl w:ilvl="0" w:tplc="04090001">
      <w:start w:val="1"/>
      <w:numFmt w:val="bullet"/>
      <w:lvlText w:val=""/>
      <w:lvlJc w:val="left"/>
      <w:pPr>
        <w:ind w:left="860" w:hanging="440"/>
      </w:pPr>
      <w:rPr>
        <w:rFonts w:ascii="Wingdings" w:hAnsi="Wingdings" w:hint="default"/>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74" w15:restartNumberingAfterBreak="0">
    <w:nsid w:val="4DFB4E99"/>
    <w:multiLevelType w:val="hybridMultilevel"/>
    <w:tmpl w:val="F348C14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5" w15:restartNumberingAfterBreak="0">
    <w:nsid w:val="4E740228"/>
    <w:multiLevelType w:val="hybridMultilevel"/>
    <w:tmpl w:val="E65C1792"/>
    <w:lvl w:ilvl="0" w:tplc="328232A6">
      <w:start w:val="1"/>
      <w:numFmt w:val="bullet"/>
      <w:lvlText w:val=""/>
      <w:lvlJc w:val="left"/>
      <w:pPr>
        <w:ind w:left="86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6" w15:restartNumberingAfterBreak="0">
    <w:nsid w:val="4F257795"/>
    <w:multiLevelType w:val="hybridMultilevel"/>
    <w:tmpl w:val="AFAAA036"/>
    <w:lvl w:ilvl="0" w:tplc="0409000F">
      <w:start w:val="1"/>
      <w:numFmt w:val="bullet"/>
      <w:lvlText w:val=""/>
      <w:lvlJc w:val="left"/>
      <w:pPr>
        <w:tabs>
          <w:tab w:val="num" w:pos="840"/>
        </w:tabs>
        <w:ind w:left="840" w:hanging="420"/>
      </w:pPr>
      <w:rPr>
        <w:rFonts w:ascii="Wingdings" w:hAnsi="Wingdings" w:hint="default"/>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77" w15:restartNumberingAfterBreak="0">
    <w:nsid w:val="50465BAC"/>
    <w:multiLevelType w:val="hybridMultilevel"/>
    <w:tmpl w:val="6226C82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533C6474"/>
    <w:multiLevelType w:val="hybridMultilevel"/>
    <w:tmpl w:val="1338BCB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9" w15:restartNumberingAfterBreak="0">
    <w:nsid w:val="566A6754"/>
    <w:multiLevelType w:val="hybridMultilevel"/>
    <w:tmpl w:val="C0F04F8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0" w15:restartNumberingAfterBreak="0">
    <w:nsid w:val="572574B7"/>
    <w:multiLevelType w:val="hybridMultilevel"/>
    <w:tmpl w:val="B8C6F8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1" w15:restartNumberingAfterBreak="0">
    <w:nsid w:val="57AC1971"/>
    <w:multiLevelType w:val="hybridMultilevel"/>
    <w:tmpl w:val="F4F4BA2A"/>
    <w:lvl w:ilvl="0" w:tplc="FFFFFFFF">
      <w:start w:val="1"/>
      <w:numFmt w:val="decimal"/>
      <w:lvlText w:val="%1."/>
      <w:lvlJc w:val="left"/>
      <w:pPr>
        <w:tabs>
          <w:tab w:val="num" w:pos="900"/>
        </w:tabs>
        <w:ind w:left="900" w:hanging="420"/>
      </w:pPr>
    </w:lvl>
    <w:lvl w:ilvl="1" w:tplc="8AF8D4F2">
      <w:start w:val="1"/>
      <w:numFmt w:val="decimal"/>
      <w:lvlText w:val="%2、"/>
      <w:lvlJc w:val="left"/>
      <w:pPr>
        <w:ind w:left="1260" w:hanging="36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82" w15:restartNumberingAfterBreak="0">
    <w:nsid w:val="59403C1C"/>
    <w:multiLevelType w:val="hybridMultilevel"/>
    <w:tmpl w:val="92D69BC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3" w15:restartNumberingAfterBreak="0">
    <w:nsid w:val="59B30038"/>
    <w:multiLevelType w:val="hybridMultilevel"/>
    <w:tmpl w:val="1D1AD6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4" w15:restartNumberingAfterBreak="0">
    <w:nsid w:val="5A566208"/>
    <w:multiLevelType w:val="hybridMultilevel"/>
    <w:tmpl w:val="5EFC5400"/>
    <w:lvl w:ilvl="0" w:tplc="0409000F">
      <w:start w:val="1"/>
      <w:numFmt w:val="decimal"/>
      <w:lvlText w:val="%1."/>
      <w:lvlJc w:val="left"/>
      <w:pPr>
        <w:ind w:left="860" w:hanging="440"/>
      </w:pPr>
    </w:lvl>
    <w:lvl w:ilvl="1" w:tplc="001CACCE">
      <w:start w:val="1"/>
      <w:numFmt w:val="japaneseCounting"/>
      <w:lvlText w:val="%2、"/>
      <w:lvlJc w:val="left"/>
      <w:pPr>
        <w:ind w:left="1280" w:hanging="420"/>
      </w:pPr>
      <w:rPr>
        <w:rFonts w:hint="default"/>
      </w:r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5" w15:restartNumberingAfterBreak="0">
    <w:nsid w:val="5B7C6310"/>
    <w:multiLevelType w:val="hybridMultilevel"/>
    <w:tmpl w:val="70248C6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00" w:hanging="36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86" w15:restartNumberingAfterBreak="0">
    <w:nsid w:val="5C3B7A61"/>
    <w:multiLevelType w:val="hybridMultilevel"/>
    <w:tmpl w:val="49849B30"/>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7" w15:restartNumberingAfterBreak="0">
    <w:nsid w:val="5C46307A"/>
    <w:multiLevelType w:val="hybridMultilevel"/>
    <w:tmpl w:val="FC7261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5D49786A"/>
    <w:multiLevelType w:val="hybridMultilevel"/>
    <w:tmpl w:val="96ACEA9C"/>
    <w:lvl w:ilvl="0" w:tplc="FFFFFFFF">
      <w:start w:val="1"/>
      <w:numFmt w:val="bullet"/>
      <w:lvlText w:val=""/>
      <w:lvlJc w:val="left"/>
      <w:pPr>
        <w:ind w:left="1260" w:hanging="420"/>
      </w:pPr>
      <w:rPr>
        <w:rFonts w:ascii="Wingdings" w:hAnsi="Wingdings" w:hint="default"/>
      </w:rPr>
    </w:lvl>
    <w:lvl w:ilvl="1" w:tplc="FFFFFFFF">
      <w:start w:val="1"/>
      <w:numFmt w:val="bullet"/>
      <w:lvlText w:val=""/>
      <w:lvlJc w:val="left"/>
      <w:pPr>
        <w:ind w:left="1680" w:hanging="420"/>
      </w:pPr>
      <w:rPr>
        <w:rFonts w:ascii="Wingdings" w:hAnsi="Wingdings" w:hint="default"/>
      </w:rPr>
    </w:lvl>
    <w:lvl w:ilvl="2" w:tplc="FFFFFFFF">
      <w:start w:val="1"/>
      <w:numFmt w:val="bullet"/>
      <w:lvlText w:val=""/>
      <w:lvlJc w:val="left"/>
      <w:pPr>
        <w:ind w:left="2100" w:hanging="420"/>
      </w:pPr>
      <w:rPr>
        <w:rFonts w:ascii="Wingdings" w:hAnsi="Wingdings" w:hint="default"/>
      </w:rPr>
    </w:lvl>
    <w:lvl w:ilvl="3" w:tplc="FFFFFFFF">
      <w:start w:val="1"/>
      <w:numFmt w:val="bullet"/>
      <w:lvlText w:val=""/>
      <w:lvlJc w:val="left"/>
      <w:pPr>
        <w:ind w:left="2520" w:hanging="420"/>
      </w:pPr>
      <w:rPr>
        <w:rFonts w:ascii="Wingdings" w:hAnsi="Wingdings" w:hint="default"/>
      </w:rPr>
    </w:lvl>
    <w:lvl w:ilvl="4" w:tplc="FFFFFFFF">
      <w:start w:val="1"/>
      <w:numFmt w:val="bullet"/>
      <w:lvlText w:val=""/>
      <w:lvlJc w:val="left"/>
      <w:pPr>
        <w:ind w:left="2940" w:hanging="420"/>
      </w:pPr>
      <w:rPr>
        <w:rFonts w:ascii="Wingdings" w:hAnsi="Wingdings" w:hint="default"/>
      </w:rPr>
    </w:lvl>
    <w:lvl w:ilvl="5" w:tplc="FFFFFFFF">
      <w:start w:val="1"/>
      <w:numFmt w:val="bullet"/>
      <w:lvlText w:val=""/>
      <w:lvlJc w:val="left"/>
      <w:pPr>
        <w:ind w:left="3360" w:hanging="420"/>
      </w:pPr>
      <w:rPr>
        <w:rFonts w:ascii="Wingdings" w:hAnsi="Wingdings" w:hint="default"/>
      </w:rPr>
    </w:lvl>
    <w:lvl w:ilvl="6" w:tplc="FFFFFFFF">
      <w:start w:val="1"/>
      <w:numFmt w:val="bullet"/>
      <w:lvlText w:val=""/>
      <w:lvlJc w:val="left"/>
      <w:pPr>
        <w:ind w:left="3780" w:hanging="420"/>
      </w:pPr>
      <w:rPr>
        <w:rFonts w:ascii="Wingdings" w:hAnsi="Wingdings" w:hint="default"/>
      </w:rPr>
    </w:lvl>
    <w:lvl w:ilvl="7" w:tplc="FFFFFFFF">
      <w:start w:val="1"/>
      <w:numFmt w:val="bullet"/>
      <w:lvlText w:val=""/>
      <w:lvlJc w:val="left"/>
      <w:pPr>
        <w:ind w:left="4200" w:hanging="420"/>
      </w:pPr>
      <w:rPr>
        <w:rFonts w:ascii="Wingdings" w:hAnsi="Wingdings" w:hint="default"/>
      </w:rPr>
    </w:lvl>
    <w:lvl w:ilvl="8" w:tplc="FFFFFFFF">
      <w:start w:val="1"/>
      <w:numFmt w:val="bullet"/>
      <w:lvlText w:val=""/>
      <w:lvlJc w:val="left"/>
      <w:pPr>
        <w:ind w:left="4620" w:hanging="420"/>
      </w:pPr>
      <w:rPr>
        <w:rFonts w:ascii="Wingdings" w:hAnsi="Wingdings" w:hint="default"/>
      </w:rPr>
    </w:lvl>
  </w:abstractNum>
  <w:abstractNum w:abstractNumId="89" w15:restartNumberingAfterBreak="0">
    <w:nsid w:val="5D6B2686"/>
    <w:multiLevelType w:val="hybridMultilevel"/>
    <w:tmpl w:val="32B260A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5D7C27DF"/>
    <w:multiLevelType w:val="multilevel"/>
    <w:tmpl w:val="5D284402"/>
    <w:lvl w:ilvl="0">
      <w:start w:val="1"/>
      <w:numFmt w:val="decimal"/>
      <w:pStyle w:val="FUNO1"/>
      <w:lvlText w:val="第%1章"/>
      <w:lvlJc w:val="left"/>
      <w:pPr>
        <w:ind w:left="993" w:hanging="425"/>
      </w:pPr>
      <w:rPr>
        <w:rFonts w:hint="eastAsia"/>
      </w:rPr>
    </w:lvl>
    <w:lvl w:ilvl="1">
      <w:start w:val="1"/>
      <w:numFmt w:val="decimal"/>
      <w:pStyle w:val="FUNO2"/>
      <w:lvlText w:val="%1.%2"/>
      <w:lvlJc w:val="left"/>
      <w:pPr>
        <w:ind w:left="425" w:hanging="425"/>
      </w:pPr>
      <w:rPr>
        <w:rFonts w:hint="eastAsia"/>
      </w:rPr>
    </w:lvl>
    <w:lvl w:ilvl="2">
      <w:start w:val="1"/>
      <w:numFmt w:val="decimal"/>
      <w:pStyle w:val="FUNO3"/>
      <w:lvlText w:val="%1.%2.%3"/>
      <w:lvlJc w:val="left"/>
      <w:pPr>
        <w:ind w:left="425" w:hanging="425"/>
      </w:pPr>
      <w:rPr>
        <w:rFonts w:hint="eastAsia"/>
      </w:rPr>
    </w:lvl>
    <w:lvl w:ilvl="3">
      <w:start w:val="1"/>
      <w:numFmt w:val="decimal"/>
      <w:pStyle w:val="FUNO4"/>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91" w15:restartNumberingAfterBreak="0">
    <w:nsid w:val="5D8E692C"/>
    <w:multiLevelType w:val="hybridMultilevel"/>
    <w:tmpl w:val="FA88FFC0"/>
    <w:lvl w:ilvl="0" w:tplc="04090001">
      <w:start w:val="1"/>
      <w:numFmt w:val="bullet"/>
      <w:lvlText w:val=""/>
      <w:lvlJc w:val="left"/>
      <w:pPr>
        <w:ind w:left="860" w:hanging="440"/>
      </w:pPr>
      <w:rPr>
        <w:rFonts w:ascii="Wingdings" w:hAnsi="Wingdings" w:hint="default"/>
      </w:rPr>
    </w:lvl>
    <w:lvl w:ilvl="1" w:tplc="04090003">
      <w:start w:val="1"/>
      <w:numFmt w:val="bullet"/>
      <w:lvlText w:val=""/>
      <w:lvlJc w:val="left"/>
      <w:pPr>
        <w:ind w:left="1300" w:hanging="440"/>
      </w:pPr>
      <w:rPr>
        <w:rFonts w:ascii="Wingdings" w:hAnsi="Wingdings" w:hint="default"/>
      </w:rPr>
    </w:lvl>
    <w:lvl w:ilvl="2" w:tplc="04090005">
      <w:start w:val="1"/>
      <w:numFmt w:val="bullet"/>
      <w:lvlText w:val=""/>
      <w:lvlJc w:val="left"/>
      <w:pPr>
        <w:ind w:left="1740" w:hanging="440"/>
      </w:pPr>
      <w:rPr>
        <w:rFonts w:ascii="Wingdings" w:hAnsi="Wingdings" w:hint="default"/>
      </w:rPr>
    </w:lvl>
    <w:lvl w:ilvl="3" w:tplc="0409000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92" w15:restartNumberingAfterBreak="0">
    <w:nsid w:val="5FFB5F83"/>
    <w:multiLevelType w:val="hybridMultilevel"/>
    <w:tmpl w:val="E54084A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3" w15:restartNumberingAfterBreak="0">
    <w:nsid w:val="60C64E8A"/>
    <w:multiLevelType w:val="hybridMultilevel"/>
    <w:tmpl w:val="B9FC75C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4" w15:restartNumberingAfterBreak="0">
    <w:nsid w:val="62DE310F"/>
    <w:multiLevelType w:val="hybridMultilevel"/>
    <w:tmpl w:val="85E4DB08"/>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5" w15:restartNumberingAfterBreak="0">
    <w:nsid w:val="644166A8"/>
    <w:multiLevelType w:val="hybridMultilevel"/>
    <w:tmpl w:val="1A8E2976"/>
    <w:lvl w:ilvl="0" w:tplc="0409000F">
      <w:start w:val="1"/>
      <w:numFmt w:val="decimal"/>
      <w:lvlText w:val="%1."/>
      <w:lvlJc w:val="left"/>
      <w:pPr>
        <w:ind w:left="792" w:hanging="420"/>
      </w:pPr>
    </w:lvl>
    <w:lvl w:ilvl="1" w:tplc="04090019" w:tentative="1">
      <w:start w:val="1"/>
      <w:numFmt w:val="lowerLetter"/>
      <w:lvlText w:val="%2)"/>
      <w:lvlJc w:val="left"/>
      <w:pPr>
        <w:ind w:left="1212" w:hanging="420"/>
      </w:pPr>
    </w:lvl>
    <w:lvl w:ilvl="2" w:tplc="0409001B" w:tentative="1">
      <w:start w:val="1"/>
      <w:numFmt w:val="lowerRoman"/>
      <w:lvlText w:val="%3."/>
      <w:lvlJc w:val="right"/>
      <w:pPr>
        <w:ind w:left="1632" w:hanging="420"/>
      </w:pPr>
    </w:lvl>
    <w:lvl w:ilvl="3" w:tplc="0409000F" w:tentative="1">
      <w:start w:val="1"/>
      <w:numFmt w:val="decimal"/>
      <w:lvlText w:val="%4."/>
      <w:lvlJc w:val="left"/>
      <w:pPr>
        <w:ind w:left="2052" w:hanging="420"/>
      </w:pPr>
    </w:lvl>
    <w:lvl w:ilvl="4" w:tplc="04090019" w:tentative="1">
      <w:start w:val="1"/>
      <w:numFmt w:val="lowerLetter"/>
      <w:lvlText w:val="%5)"/>
      <w:lvlJc w:val="left"/>
      <w:pPr>
        <w:ind w:left="2472" w:hanging="420"/>
      </w:pPr>
    </w:lvl>
    <w:lvl w:ilvl="5" w:tplc="0409001B" w:tentative="1">
      <w:start w:val="1"/>
      <w:numFmt w:val="lowerRoman"/>
      <w:lvlText w:val="%6."/>
      <w:lvlJc w:val="right"/>
      <w:pPr>
        <w:ind w:left="2892" w:hanging="420"/>
      </w:pPr>
    </w:lvl>
    <w:lvl w:ilvl="6" w:tplc="0409000F" w:tentative="1">
      <w:start w:val="1"/>
      <w:numFmt w:val="decimal"/>
      <w:lvlText w:val="%7."/>
      <w:lvlJc w:val="left"/>
      <w:pPr>
        <w:ind w:left="3312" w:hanging="420"/>
      </w:pPr>
    </w:lvl>
    <w:lvl w:ilvl="7" w:tplc="04090019" w:tentative="1">
      <w:start w:val="1"/>
      <w:numFmt w:val="lowerLetter"/>
      <w:lvlText w:val="%8)"/>
      <w:lvlJc w:val="left"/>
      <w:pPr>
        <w:ind w:left="3732" w:hanging="420"/>
      </w:pPr>
    </w:lvl>
    <w:lvl w:ilvl="8" w:tplc="0409001B" w:tentative="1">
      <w:start w:val="1"/>
      <w:numFmt w:val="lowerRoman"/>
      <w:lvlText w:val="%9."/>
      <w:lvlJc w:val="right"/>
      <w:pPr>
        <w:ind w:left="4152" w:hanging="420"/>
      </w:pPr>
    </w:lvl>
  </w:abstractNum>
  <w:abstractNum w:abstractNumId="96" w15:restartNumberingAfterBreak="0">
    <w:nsid w:val="652B7637"/>
    <w:multiLevelType w:val="hybridMultilevel"/>
    <w:tmpl w:val="E168E7B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7" w15:restartNumberingAfterBreak="0">
    <w:nsid w:val="65F95E5A"/>
    <w:multiLevelType w:val="hybridMultilevel"/>
    <w:tmpl w:val="C0F2A734"/>
    <w:lvl w:ilvl="0" w:tplc="328232A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460" w:hanging="440"/>
      </w:pPr>
      <w:rPr>
        <w:rFonts w:ascii="Wingdings" w:hAnsi="Wingdings" w:hint="default"/>
      </w:rPr>
    </w:lvl>
    <w:lvl w:ilvl="2" w:tplc="04090005" w:tentative="1">
      <w:start w:val="1"/>
      <w:numFmt w:val="bullet"/>
      <w:lvlText w:val=""/>
      <w:lvlJc w:val="left"/>
      <w:pPr>
        <w:ind w:left="900" w:hanging="440"/>
      </w:pPr>
      <w:rPr>
        <w:rFonts w:ascii="Wingdings" w:hAnsi="Wingdings" w:hint="default"/>
      </w:rPr>
    </w:lvl>
    <w:lvl w:ilvl="3" w:tplc="04090001" w:tentative="1">
      <w:start w:val="1"/>
      <w:numFmt w:val="bullet"/>
      <w:lvlText w:val=""/>
      <w:lvlJc w:val="left"/>
      <w:pPr>
        <w:ind w:left="1340" w:hanging="440"/>
      </w:pPr>
      <w:rPr>
        <w:rFonts w:ascii="Wingdings" w:hAnsi="Wingdings" w:hint="default"/>
      </w:rPr>
    </w:lvl>
    <w:lvl w:ilvl="4" w:tplc="04090003" w:tentative="1">
      <w:start w:val="1"/>
      <w:numFmt w:val="bullet"/>
      <w:lvlText w:val=""/>
      <w:lvlJc w:val="left"/>
      <w:pPr>
        <w:ind w:left="1780" w:hanging="440"/>
      </w:pPr>
      <w:rPr>
        <w:rFonts w:ascii="Wingdings" w:hAnsi="Wingdings" w:hint="default"/>
      </w:rPr>
    </w:lvl>
    <w:lvl w:ilvl="5" w:tplc="04090005" w:tentative="1">
      <w:start w:val="1"/>
      <w:numFmt w:val="bullet"/>
      <w:lvlText w:val=""/>
      <w:lvlJc w:val="left"/>
      <w:pPr>
        <w:ind w:left="2220" w:hanging="440"/>
      </w:pPr>
      <w:rPr>
        <w:rFonts w:ascii="Wingdings" w:hAnsi="Wingdings" w:hint="default"/>
      </w:rPr>
    </w:lvl>
    <w:lvl w:ilvl="6" w:tplc="04090001" w:tentative="1">
      <w:start w:val="1"/>
      <w:numFmt w:val="bullet"/>
      <w:lvlText w:val=""/>
      <w:lvlJc w:val="left"/>
      <w:pPr>
        <w:ind w:left="2660" w:hanging="440"/>
      </w:pPr>
      <w:rPr>
        <w:rFonts w:ascii="Wingdings" w:hAnsi="Wingdings" w:hint="default"/>
      </w:rPr>
    </w:lvl>
    <w:lvl w:ilvl="7" w:tplc="04090003" w:tentative="1">
      <w:start w:val="1"/>
      <w:numFmt w:val="bullet"/>
      <w:lvlText w:val=""/>
      <w:lvlJc w:val="left"/>
      <w:pPr>
        <w:ind w:left="3100" w:hanging="440"/>
      </w:pPr>
      <w:rPr>
        <w:rFonts w:ascii="Wingdings" w:hAnsi="Wingdings" w:hint="default"/>
      </w:rPr>
    </w:lvl>
    <w:lvl w:ilvl="8" w:tplc="04090005" w:tentative="1">
      <w:start w:val="1"/>
      <w:numFmt w:val="bullet"/>
      <w:lvlText w:val=""/>
      <w:lvlJc w:val="left"/>
      <w:pPr>
        <w:ind w:left="3540" w:hanging="440"/>
      </w:pPr>
      <w:rPr>
        <w:rFonts w:ascii="Wingdings" w:hAnsi="Wingdings" w:hint="default"/>
      </w:rPr>
    </w:lvl>
  </w:abstractNum>
  <w:abstractNum w:abstractNumId="98" w15:restartNumberingAfterBreak="0">
    <w:nsid w:val="66B502BB"/>
    <w:multiLevelType w:val="hybridMultilevel"/>
    <w:tmpl w:val="E276883E"/>
    <w:lvl w:ilvl="0" w:tplc="0409000F">
      <w:start w:val="1"/>
      <w:numFmt w:val="decimal"/>
      <w:lvlText w:val="%1."/>
      <w:lvlJc w:val="left"/>
      <w:pPr>
        <w:ind w:left="860" w:hanging="440"/>
      </w:pPr>
    </w:lvl>
    <w:lvl w:ilvl="1" w:tplc="04090019">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9" w15:restartNumberingAfterBreak="0">
    <w:nsid w:val="68607FEB"/>
    <w:multiLevelType w:val="multilevel"/>
    <w:tmpl w:val="70FE4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9414185"/>
    <w:multiLevelType w:val="hybridMultilevel"/>
    <w:tmpl w:val="BFF48086"/>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1" w15:restartNumberingAfterBreak="0">
    <w:nsid w:val="6B3C2188"/>
    <w:multiLevelType w:val="hybridMultilevel"/>
    <w:tmpl w:val="6C0A35A4"/>
    <w:lvl w:ilvl="0" w:tplc="04090011">
      <w:start w:val="1"/>
      <w:numFmt w:val="bullet"/>
      <w:lvlText w:val=""/>
      <w:lvlJc w:val="left"/>
      <w:pPr>
        <w:ind w:left="1260" w:hanging="420"/>
      </w:pPr>
      <w:rPr>
        <w:rFonts w:ascii="Wingdings" w:hAnsi="Wingdings" w:hint="default"/>
      </w:rPr>
    </w:lvl>
    <w:lvl w:ilvl="1" w:tplc="04090019">
      <w:start w:val="1"/>
      <w:numFmt w:val="bullet"/>
      <w:lvlText w:val=""/>
      <w:lvlJc w:val="left"/>
      <w:pPr>
        <w:ind w:left="1680" w:hanging="420"/>
      </w:pPr>
      <w:rPr>
        <w:rFonts w:ascii="Wingdings" w:hAnsi="Wingdings" w:hint="default"/>
      </w:rPr>
    </w:lvl>
    <w:lvl w:ilvl="2" w:tplc="0409001B">
      <w:start w:val="1"/>
      <w:numFmt w:val="bullet"/>
      <w:lvlText w:val=""/>
      <w:lvlJc w:val="left"/>
      <w:pPr>
        <w:ind w:left="2100" w:hanging="420"/>
      </w:pPr>
      <w:rPr>
        <w:rFonts w:ascii="Wingdings" w:hAnsi="Wingdings" w:hint="default"/>
      </w:rPr>
    </w:lvl>
    <w:lvl w:ilvl="3" w:tplc="0409000F">
      <w:start w:val="1"/>
      <w:numFmt w:val="bullet"/>
      <w:lvlText w:val=""/>
      <w:lvlJc w:val="left"/>
      <w:pPr>
        <w:ind w:left="2520" w:hanging="420"/>
      </w:pPr>
      <w:rPr>
        <w:rFonts w:ascii="Wingdings" w:hAnsi="Wingdings" w:hint="default"/>
      </w:rPr>
    </w:lvl>
    <w:lvl w:ilvl="4" w:tplc="04090019">
      <w:start w:val="1"/>
      <w:numFmt w:val="bullet"/>
      <w:lvlText w:val=""/>
      <w:lvlJc w:val="left"/>
      <w:pPr>
        <w:ind w:left="2940" w:hanging="420"/>
      </w:pPr>
      <w:rPr>
        <w:rFonts w:ascii="Wingdings" w:hAnsi="Wingdings" w:hint="default"/>
      </w:rPr>
    </w:lvl>
    <w:lvl w:ilvl="5" w:tplc="0409001B">
      <w:start w:val="1"/>
      <w:numFmt w:val="bullet"/>
      <w:lvlText w:val=""/>
      <w:lvlJc w:val="left"/>
      <w:pPr>
        <w:ind w:left="3360" w:hanging="420"/>
      </w:pPr>
      <w:rPr>
        <w:rFonts w:ascii="Wingdings" w:hAnsi="Wingdings" w:hint="default"/>
      </w:rPr>
    </w:lvl>
    <w:lvl w:ilvl="6" w:tplc="0409000F">
      <w:start w:val="1"/>
      <w:numFmt w:val="bullet"/>
      <w:lvlText w:val=""/>
      <w:lvlJc w:val="left"/>
      <w:pPr>
        <w:ind w:left="3780" w:hanging="420"/>
      </w:pPr>
      <w:rPr>
        <w:rFonts w:ascii="Wingdings" w:hAnsi="Wingdings" w:hint="default"/>
      </w:rPr>
    </w:lvl>
    <w:lvl w:ilvl="7" w:tplc="04090019">
      <w:start w:val="1"/>
      <w:numFmt w:val="bullet"/>
      <w:lvlText w:val=""/>
      <w:lvlJc w:val="left"/>
      <w:pPr>
        <w:ind w:left="4200" w:hanging="420"/>
      </w:pPr>
      <w:rPr>
        <w:rFonts w:ascii="Wingdings" w:hAnsi="Wingdings" w:hint="default"/>
      </w:rPr>
    </w:lvl>
    <w:lvl w:ilvl="8" w:tplc="0409001B">
      <w:start w:val="1"/>
      <w:numFmt w:val="bullet"/>
      <w:lvlText w:val=""/>
      <w:lvlJc w:val="left"/>
      <w:pPr>
        <w:ind w:left="4620" w:hanging="420"/>
      </w:pPr>
      <w:rPr>
        <w:rFonts w:ascii="Wingdings" w:hAnsi="Wingdings" w:hint="default"/>
      </w:rPr>
    </w:lvl>
  </w:abstractNum>
  <w:abstractNum w:abstractNumId="102" w15:restartNumberingAfterBreak="0">
    <w:nsid w:val="6B3C35DD"/>
    <w:multiLevelType w:val="hybridMultilevel"/>
    <w:tmpl w:val="3F30A39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3" w15:restartNumberingAfterBreak="0">
    <w:nsid w:val="6C19432D"/>
    <w:multiLevelType w:val="hybridMultilevel"/>
    <w:tmpl w:val="89309DEA"/>
    <w:lvl w:ilvl="0" w:tplc="04090001">
      <w:start w:val="1"/>
      <w:numFmt w:val="bullet"/>
      <w:lvlText w:val=""/>
      <w:lvlJc w:val="left"/>
      <w:pPr>
        <w:ind w:left="860" w:hanging="440"/>
      </w:pPr>
      <w:rPr>
        <w:rFonts w:ascii="Wingdings" w:hAnsi="Wingdings" w:hint="default"/>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104" w15:restartNumberingAfterBreak="0">
    <w:nsid w:val="6EA0358F"/>
    <w:multiLevelType w:val="hybridMultilevel"/>
    <w:tmpl w:val="D83C0E0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5" w15:restartNumberingAfterBreak="0">
    <w:nsid w:val="714F2281"/>
    <w:multiLevelType w:val="hybridMultilevel"/>
    <w:tmpl w:val="E65C11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71B033AC"/>
    <w:multiLevelType w:val="hybridMultilevel"/>
    <w:tmpl w:val="2D1E335A"/>
    <w:lvl w:ilvl="0" w:tplc="FFFFFFFF">
      <w:start w:val="1"/>
      <w:numFmt w:val="bullet"/>
      <w:lvlText w:val=""/>
      <w:lvlJc w:val="left"/>
      <w:pPr>
        <w:ind w:left="900" w:hanging="420"/>
      </w:pPr>
      <w:rPr>
        <w:rFonts w:ascii="Wingdings" w:hAnsi="Wingdings" w:hint="default"/>
      </w:rPr>
    </w:lvl>
    <w:lvl w:ilvl="1" w:tplc="FFFFFFFF">
      <w:start w:val="1"/>
      <w:numFmt w:val="bullet"/>
      <w:lvlText w:val=""/>
      <w:lvlJc w:val="left"/>
      <w:pPr>
        <w:ind w:left="1320" w:hanging="420"/>
      </w:pPr>
      <w:rPr>
        <w:rFonts w:ascii="Wingdings" w:hAnsi="Wingdings" w:hint="default"/>
      </w:rPr>
    </w:lvl>
    <w:lvl w:ilvl="2" w:tplc="FFFFFFFF">
      <w:start w:val="1"/>
      <w:numFmt w:val="bullet"/>
      <w:lvlText w:val=""/>
      <w:lvlJc w:val="left"/>
      <w:pPr>
        <w:ind w:left="1740" w:hanging="420"/>
      </w:pPr>
      <w:rPr>
        <w:rFonts w:ascii="Wingdings" w:hAnsi="Wingdings" w:hint="default"/>
      </w:rPr>
    </w:lvl>
    <w:lvl w:ilvl="3" w:tplc="FFFFFFFF">
      <w:start w:val="1"/>
      <w:numFmt w:val="bullet"/>
      <w:lvlText w:val=""/>
      <w:lvlJc w:val="left"/>
      <w:pPr>
        <w:ind w:left="2160" w:hanging="420"/>
      </w:pPr>
      <w:rPr>
        <w:rFonts w:ascii="Wingdings" w:hAnsi="Wingdings" w:hint="default"/>
      </w:rPr>
    </w:lvl>
    <w:lvl w:ilvl="4" w:tplc="FFFFFFFF">
      <w:start w:val="1"/>
      <w:numFmt w:val="bullet"/>
      <w:lvlText w:val=""/>
      <w:lvlJc w:val="left"/>
      <w:pPr>
        <w:ind w:left="2580" w:hanging="420"/>
      </w:pPr>
      <w:rPr>
        <w:rFonts w:ascii="Wingdings" w:hAnsi="Wingdings" w:hint="default"/>
      </w:rPr>
    </w:lvl>
    <w:lvl w:ilvl="5" w:tplc="FFFFFFFF">
      <w:start w:val="1"/>
      <w:numFmt w:val="bullet"/>
      <w:lvlText w:val=""/>
      <w:lvlJc w:val="left"/>
      <w:pPr>
        <w:ind w:left="3000" w:hanging="420"/>
      </w:pPr>
      <w:rPr>
        <w:rFonts w:ascii="Wingdings" w:hAnsi="Wingdings" w:hint="default"/>
      </w:rPr>
    </w:lvl>
    <w:lvl w:ilvl="6" w:tplc="FFFFFFFF">
      <w:start w:val="1"/>
      <w:numFmt w:val="bullet"/>
      <w:lvlText w:val=""/>
      <w:lvlJc w:val="left"/>
      <w:pPr>
        <w:ind w:left="3420" w:hanging="420"/>
      </w:pPr>
      <w:rPr>
        <w:rFonts w:ascii="Wingdings" w:hAnsi="Wingdings" w:hint="default"/>
      </w:rPr>
    </w:lvl>
    <w:lvl w:ilvl="7" w:tplc="FFFFFFFF">
      <w:start w:val="1"/>
      <w:numFmt w:val="bullet"/>
      <w:lvlText w:val=""/>
      <w:lvlJc w:val="left"/>
      <w:pPr>
        <w:ind w:left="3840" w:hanging="420"/>
      </w:pPr>
      <w:rPr>
        <w:rFonts w:ascii="Wingdings" w:hAnsi="Wingdings" w:hint="default"/>
      </w:rPr>
    </w:lvl>
    <w:lvl w:ilvl="8" w:tplc="FFFFFFFF">
      <w:start w:val="1"/>
      <w:numFmt w:val="bullet"/>
      <w:lvlText w:val=""/>
      <w:lvlJc w:val="left"/>
      <w:pPr>
        <w:ind w:left="4260" w:hanging="420"/>
      </w:pPr>
      <w:rPr>
        <w:rFonts w:ascii="Wingdings" w:hAnsi="Wingdings" w:hint="default"/>
      </w:rPr>
    </w:lvl>
  </w:abstractNum>
  <w:abstractNum w:abstractNumId="107" w15:restartNumberingAfterBreak="0">
    <w:nsid w:val="72270D48"/>
    <w:multiLevelType w:val="hybridMultilevel"/>
    <w:tmpl w:val="44FCFC3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8" w15:restartNumberingAfterBreak="0">
    <w:nsid w:val="74396E19"/>
    <w:multiLevelType w:val="hybridMultilevel"/>
    <w:tmpl w:val="09F665F2"/>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9" w15:restartNumberingAfterBreak="0">
    <w:nsid w:val="74F82F93"/>
    <w:multiLevelType w:val="hybridMultilevel"/>
    <w:tmpl w:val="CFEAF85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0" w15:restartNumberingAfterBreak="0">
    <w:nsid w:val="77A53CBC"/>
    <w:multiLevelType w:val="hybridMultilevel"/>
    <w:tmpl w:val="457AB5F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1" w15:restartNumberingAfterBreak="0">
    <w:nsid w:val="78495695"/>
    <w:multiLevelType w:val="hybridMultilevel"/>
    <w:tmpl w:val="D33A0A8C"/>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2" w15:restartNumberingAfterBreak="0">
    <w:nsid w:val="7A7C2FB2"/>
    <w:multiLevelType w:val="hybridMultilevel"/>
    <w:tmpl w:val="FE26C2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7E34708B"/>
    <w:multiLevelType w:val="hybridMultilevel"/>
    <w:tmpl w:val="AD38ECB4"/>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14" w15:restartNumberingAfterBreak="0">
    <w:nsid w:val="7F3D29F6"/>
    <w:multiLevelType w:val="hybridMultilevel"/>
    <w:tmpl w:val="E2EC17A8"/>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5" w15:restartNumberingAfterBreak="0">
    <w:nsid w:val="7F6519EB"/>
    <w:multiLevelType w:val="hybridMultilevel"/>
    <w:tmpl w:val="E11A29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108621606">
    <w:abstractNumId w:val="21"/>
  </w:num>
  <w:num w:numId="2" w16cid:durableId="1077290030">
    <w:abstractNumId w:val="38"/>
  </w:num>
  <w:num w:numId="3" w16cid:durableId="222840935">
    <w:abstractNumId w:val="70"/>
  </w:num>
  <w:num w:numId="4" w16cid:durableId="1977878385">
    <w:abstractNumId w:val="32"/>
  </w:num>
  <w:num w:numId="5" w16cid:durableId="1929146207">
    <w:abstractNumId w:val="87"/>
  </w:num>
  <w:num w:numId="6" w16cid:durableId="1809207052">
    <w:abstractNumId w:val="85"/>
  </w:num>
  <w:num w:numId="7" w16cid:durableId="740251898">
    <w:abstractNumId w:val="18"/>
  </w:num>
  <w:num w:numId="8" w16cid:durableId="622274534">
    <w:abstractNumId w:val="106"/>
  </w:num>
  <w:num w:numId="9" w16cid:durableId="1360161888">
    <w:abstractNumId w:val="10"/>
  </w:num>
  <w:num w:numId="10" w16cid:durableId="1862470413">
    <w:abstractNumId w:val="88"/>
  </w:num>
  <w:num w:numId="11" w16cid:durableId="17829934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806738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655102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12199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07950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5841509">
    <w:abstractNumId w:val="64"/>
  </w:num>
  <w:num w:numId="17" w16cid:durableId="1173029218">
    <w:abstractNumId w:val="4"/>
  </w:num>
  <w:num w:numId="18" w16cid:durableId="1314456682">
    <w:abstractNumId w:val="40"/>
  </w:num>
  <w:num w:numId="19" w16cid:durableId="1231312307">
    <w:abstractNumId w:val="6"/>
  </w:num>
  <w:num w:numId="20" w16cid:durableId="745108903">
    <w:abstractNumId w:val="52"/>
  </w:num>
  <w:num w:numId="21" w16cid:durableId="1509557539">
    <w:abstractNumId w:val="63"/>
  </w:num>
  <w:num w:numId="22" w16cid:durableId="1005135990">
    <w:abstractNumId w:val="71"/>
  </w:num>
  <w:num w:numId="23" w16cid:durableId="1862869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583151">
    <w:abstractNumId w:val="101"/>
  </w:num>
  <w:num w:numId="25" w16cid:durableId="253321677">
    <w:abstractNumId w:val="67"/>
  </w:num>
  <w:num w:numId="26" w16cid:durableId="342629049">
    <w:abstractNumId w:val="89"/>
  </w:num>
  <w:num w:numId="27" w16cid:durableId="325403129">
    <w:abstractNumId w:val="54"/>
  </w:num>
  <w:num w:numId="28" w16cid:durableId="1237352339">
    <w:abstractNumId w:val="90"/>
  </w:num>
  <w:num w:numId="29" w16cid:durableId="2025326893">
    <w:abstractNumId w:val="50"/>
  </w:num>
  <w:num w:numId="30" w16cid:durableId="8917762">
    <w:abstractNumId w:val="84"/>
  </w:num>
  <w:num w:numId="31" w16cid:durableId="1036925685">
    <w:abstractNumId w:val="14"/>
  </w:num>
  <w:num w:numId="32" w16cid:durableId="192960518">
    <w:abstractNumId w:val="48"/>
  </w:num>
  <w:num w:numId="33" w16cid:durableId="1747610323">
    <w:abstractNumId w:val="97"/>
  </w:num>
  <w:num w:numId="34" w16cid:durableId="1829439398">
    <w:abstractNumId w:val="17"/>
  </w:num>
  <w:num w:numId="35" w16cid:durableId="183521770">
    <w:abstractNumId w:val="58"/>
  </w:num>
  <w:num w:numId="36" w16cid:durableId="167332855">
    <w:abstractNumId w:val="7"/>
  </w:num>
  <w:num w:numId="37" w16cid:durableId="1130440462">
    <w:abstractNumId w:val="113"/>
  </w:num>
  <w:num w:numId="38" w16cid:durableId="650326088">
    <w:abstractNumId w:val="100"/>
  </w:num>
  <w:num w:numId="39" w16cid:durableId="1473673294">
    <w:abstractNumId w:val="36"/>
  </w:num>
  <w:num w:numId="40" w16cid:durableId="324747984">
    <w:abstractNumId w:val="108"/>
  </w:num>
  <w:num w:numId="41" w16cid:durableId="1033651906">
    <w:abstractNumId w:val="75"/>
  </w:num>
  <w:num w:numId="42" w16cid:durableId="819619322">
    <w:abstractNumId w:val="27"/>
  </w:num>
  <w:num w:numId="43" w16cid:durableId="1366173566">
    <w:abstractNumId w:val="103"/>
  </w:num>
  <w:num w:numId="44" w16cid:durableId="417412925">
    <w:abstractNumId w:val="98"/>
  </w:num>
  <w:num w:numId="45" w16cid:durableId="151071924">
    <w:abstractNumId w:val="53"/>
  </w:num>
  <w:num w:numId="46" w16cid:durableId="1010450879">
    <w:abstractNumId w:val="0"/>
  </w:num>
  <w:num w:numId="47" w16cid:durableId="1507017743">
    <w:abstractNumId w:val="30"/>
  </w:num>
  <w:num w:numId="48" w16cid:durableId="724571363">
    <w:abstractNumId w:val="111"/>
  </w:num>
  <w:num w:numId="49" w16cid:durableId="1298141463">
    <w:abstractNumId w:val="74"/>
  </w:num>
  <w:num w:numId="50" w16cid:durableId="258608441">
    <w:abstractNumId w:val="73"/>
  </w:num>
  <w:num w:numId="51" w16cid:durableId="760876262">
    <w:abstractNumId w:val="9"/>
  </w:num>
  <w:num w:numId="52" w16cid:durableId="1572426385">
    <w:abstractNumId w:val="60"/>
  </w:num>
  <w:num w:numId="53" w16cid:durableId="527522226">
    <w:abstractNumId w:val="72"/>
  </w:num>
  <w:num w:numId="54" w16cid:durableId="991374808">
    <w:abstractNumId w:val="5"/>
  </w:num>
  <w:num w:numId="55" w16cid:durableId="2053966673">
    <w:abstractNumId w:val="91"/>
  </w:num>
  <w:num w:numId="56" w16cid:durableId="81948803">
    <w:abstractNumId w:val="47"/>
  </w:num>
  <w:num w:numId="57" w16cid:durableId="28143192">
    <w:abstractNumId w:val="99"/>
  </w:num>
  <w:num w:numId="58" w16cid:durableId="589853164">
    <w:abstractNumId w:val="61"/>
  </w:num>
  <w:num w:numId="59" w16cid:durableId="1599604354">
    <w:abstractNumId w:val="102"/>
  </w:num>
  <w:num w:numId="60" w16cid:durableId="2074115556">
    <w:abstractNumId w:val="94"/>
  </w:num>
  <w:num w:numId="61" w16cid:durableId="1384911722">
    <w:abstractNumId w:val="107"/>
  </w:num>
  <w:num w:numId="62" w16cid:durableId="663050591">
    <w:abstractNumId w:val="92"/>
  </w:num>
  <w:num w:numId="63" w16cid:durableId="1021779515">
    <w:abstractNumId w:val="104"/>
  </w:num>
  <w:num w:numId="64" w16cid:durableId="2035576774">
    <w:abstractNumId w:val="79"/>
  </w:num>
  <w:num w:numId="65" w16cid:durableId="354118084">
    <w:abstractNumId w:val="83"/>
  </w:num>
  <w:num w:numId="66" w16cid:durableId="1782067359">
    <w:abstractNumId w:val="114"/>
  </w:num>
  <w:num w:numId="67" w16cid:durableId="635843430">
    <w:abstractNumId w:val="26"/>
  </w:num>
  <w:num w:numId="68" w16cid:durableId="847408645">
    <w:abstractNumId w:val="16"/>
  </w:num>
  <w:num w:numId="69" w16cid:durableId="1575317215">
    <w:abstractNumId w:val="33"/>
  </w:num>
  <w:num w:numId="70" w16cid:durableId="496265066">
    <w:abstractNumId w:val="20"/>
  </w:num>
  <w:num w:numId="71" w16cid:durableId="1937595881">
    <w:abstractNumId w:val="2"/>
  </w:num>
  <w:num w:numId="72" w16cid:durableId="1519078907">
    <w:abstractNumId w:val="80"/>
  </w:num>
  <w:num w:numId="73" w16cid:durableId="973293396">
    <w:abstractNumId w:val="22"/>
  </w:num>
  <w:num w:numId="74" w16cid:durableId="1544370634">
    <w:abstractNumId w:val="45"/>
  </w:num>
  <w:num w:numId="75" w16cid:durableId="596013495">
    <w:abstractNumId w:val="69"/>
  </w:num>
  <w:num w:numId="76" w16cid:durableId="1997031466">
    <w:abstractNumId w:val="44"/>
  </w:num>
  <w:num w:numId="77" w16cid:durableId="170991679">
    <w:abstractNumId w:val="65"/>
  </w:num>
  <w:num w:numId="78" w16cid:durableId="1128277365">
    <w:abstractNumId w:val="56"/>
  </w:num>
  <w:num w:numId="79" w16cid:durableId="310014772">
    <w:abstractNumId w:val="109"/>
  </w:num>
  <w:num w:numId="80" w16cid:durableId="655260954">
    <w:abstractNumId w:val="43"/>
  </w:num>
  <w:num w:numId="81" w16cid:durableId="544610743">
    <w:abstractNumId w:val="55"/>
  </w:num>
  <w:num w:numId="82" w16cid:durableId="264003424">
    <w:abstractNumId w:val="37"/>
  </w:num>
  <w:num w:numId="83" w16cid:durableId="498346042">
    <w:abstractNumId w:val="110"/>
  </w:num>
  <w:num w:numId="84" w16cid:durableId="1377394787">
    <w:abstractNumId w:val="105"/>
  </w:num>
  <w:num w:numId="85" w16cid:durableId="1715693269">
    <w:abstractNumId w:val="66"/>
  </w:num>
  <w:num w:numId="86" w16cid:durableId="2000619277">
    <w:abstractNumId w:val="42"/>
  </w:num>
  <w:num w:numId="87" w16cid:durableId="1561018232">
    <w:abstractNumId w:val="29"/>
  </w:num>
  <w:num w:numId="88" w16cid:durableId="557395559">
    <w:abstractNumId w:val="77"/>
  </w:num>
  <w:num w:numId="89" w16cid:durableId="1109011868">
    <w:abstractNumId w:val="96"/>
  </w:num>
  <w:num w:numId="90" w16cid:durableId="57947908">
    <w:abstractNumId w:val="86"/>
  </w:num>
  <w:num w:numId="91" w16cid:durableId="1695229974">
    <w:abstractNumId w:val="23"/>
  </w:num>
  <w:num w:numId="92" w16cid:durableId="1335188360">
    <w:abstractNumId w:val="59"/>
  </w:num>
  <w:num w:numId="93" w16cid:durableId="49353335">
    <w:abstractNumId w:val="11"/>
  </w:num>
  <w:num w:numId="94" w16cid:durableId="1323851737">
    <w:abstractNumId w:val="78"/>
  </w:num>
  <w:num w:numId="95" w16cid:durableId="176848397">
    <w:abstractNumId w:val="112"/>
  </w:num>
  <w:num w:numId="96" w16cid:durableId="1107195857">
    <w:abstractNumId w:val="93"/>
  </w:num>
  <w:num w:numId="97" w16cid:durableId="2077825512">
    <w:abstractNumId w:val="1"/>
  </w:num>
  <w:num w:numId="98" w16cid:durableId="2006588124">
    <w:abstractNumId w:val="35"/>
  </w:num>
  <w:num w:numId="99" w16cid:durableId="98841233">
    <w:abstractNumId w:val="39"/>
  </w:num>
  <w:num w:numId="100" w16cid:durableId="749429046">
    <w:abstractNumId w:val="13"/>
  </w:num>
  <w:num w:numId="101" w16cid:durableId="350107859">
    <w:abstractNumId w:val="46"/>
  </w:num>
  <w:num w:numId="102" w16cid:durableId="632559209">
    <w:abstractNumId w:val="115"/>
  </w:num>
  <w:num w:numId="103" w16cid:durableId="488442349">
    <w:abstractNumId w:val="28"/>
  </w:num>
  <w:num w:numId="104" w16cid:durableId="2098213005">
    <w:abstractNumId w:val="49"/>
  </w:num>
  <w:num w:numId="105" w16cid:durableId="1312175169">
    <w:abstractNumId w:val="31"/>
  </w:num>
  <w:num w:numId="106" w16cid:durableId="933129343">
    <w:abstractNumId w:val="25"/>
  </w:num>
  <w:num w:numId="107" w16cid:durableId="185753637">
    <w:abstractNumId w:val="24"/>
  </w:num>
  <w:num w:numId="108" w16cid:durableId="1842546367">
    <w:abstractNumId w:val="82"/>
  </w:num>
  <w:num w:numId="109" w16cid:durableId="69498513">
    <w:abstractNumId w:val="34"/>
  </w:num>
  <w:num w:numId="110" w16cid:durableId="961955251">
    <w:abstractNumId w:val="41"/>
  </w:num>
  <w:num w:numId="111" w16cid:durableId="2099057934">
    <w:abstractNumId w:val="51"/>
  </w:num>
  <w:num w:numId="112" w16cid:durableId="846674162">
    <w:abstractNumId w:val="95"/>
  </w:num>
  <w:num w:numId="113" w16cid:durableId="2113668192">
    <w:abstractNumId w:val="8"/>
  </w:num>
  <w:num w:numId="114" w16cid:durableId="1585794911">
    <w:abstractNumId w:val="15"/>
  </w:num>
  <w:num w:numId="115" w16cid:durableId="1254706826">
    <w:abstractNumId w:val="19"/>
  </w:num>
  <w:num w:numId="116" w16cid:durableId="227687859">
    <w:abstractNumId w:val="6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72F"/>
    <w:rsid w:val="00003E33"/>
    <w:rsid w:val="00007C57"/>
    <w:rsid w:val="00016828"/>
    <w:rsid w:val="0004621C"/>
    <w:rsid w:val="00073A51"/>
    <w:rsid w:val="00083D96"/>
    <w:rsid w:val="000B39FE"/>
    <w:rsid w:val="000C4E0F"/>
    <w:rsid w:val="000D1E69"/>
    <w:rsid w:val="00114B06"/>
    <w:rsid w:val="00152F2A"/>
    <w:rsid w:val="001542E4"/>
    <w:rsid w:val="00194D42"/>
    <w:rsid w:val="001C2850"/>
    <w:rsid w:val="001D7AAE"/>
    <w:rsid w:val="001E2AA0"/>
    <w:rsid w:val="001F4BFA"/>
    <w:rsid w:val="00325F1E"/>
    <w:rsid w:val="00332E2A"/>
    <w:rsid w:val="00382043"/>
    <w:rsid w:val="00423D73"/>
    <w:rsid w:val="00455AF9"/>
    <w:rsid w:val="00521E55"/>
    <w:rsid w:val="005808F4"/>
    <w:rsid w:val="005D060C"/>
    <w:rsid w:val="00670AA8"/>
    <w:rsid w:val="006B7F75"/>
    <w:rsid w:val="006C6F6D"/>
    <w:rsid w:val="006F5496"/>
    <w:rsid w:val="00731408"/>
    <w:rsid w:val="007671BD"/>
    <w:rsid w:val="00791442"/>
    <w:rsid w:val="007A3D1F"/>
    <w:rsid w:val="007D7392"/>
    <w:rsid w:val="007F3CB6"/>
    <w:rsid w:val="007F479A"/>
    <w:rsid w:val="00870140"/>
    <w:rsid w:val="00877013"/>
    <w:rsid w:val="008B6551"/>
    <w:rsid w:val="009457E6"/>
    <w:rsid w:val="009653FB"/>
    <w:rsid w:val="00993831"/>
    <w:rsid w:val="009D6E2A"/>
    <w:rsid w:val="009F0E68"/>
    <w:rsid w:val="009F1367"/>
    <w:rsid w:val="00A31C8F"/>
    <w:rsid w:val="00A759E7"/>
    <w:rsid w:val="00A84882"/>
    <w:rsid w:val="00A95222"/>
    <w:rsid w:val="00AD0F58"/>
    <w:rsid w:val="00B224DD"/>
    <w:rsid w:val="00B25F97"/>
    <w:rsid w:val="00BC7725"/>
    <w:rsid w:val="00BE572F"/>
    <w:rsid w:val="00C6550E"/>
    <w:rsid w:val="00CE0F79"/>
    <w:rsid w:val="00D04CE2"/>
    <w:rsid w:val="00D33EE5"/>
    <w:rsid w:val="00E100ED"/>
    <w:rsid w:val="00E10C3F"/>
    <w:rsid w:val="00E23FB0"/>
    <w:rsid w:val="00E752DD"/>
    <w:rsid w:val="00E94FC6"/>
    <w:rsid w:val="00EA2CFE"/>
    <w:rsid w:val="00EE6B2A"/>
    <w:rsid w:val="00F94661"/>
    <w:rsid w:val="00FB4CE7"/>
    <w:rsid w:val="00FC6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2C5A3"/>
  <w15:chartTrackingRefBased/>
  <w15:docId w15:val="{50C10C3E-3A0E-4241-90CC-7830A84C6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1BD"/>
    <w:pPr>
      <w:widowControl w:val="0"/>
      <w:jc w:val="both"/>
    </w:pPr>
  </w:style>
  <w:style w:type="paragraph" w:styleId="1">
    <w:name w:val="heading 1"/>
    <w:aliases w:val="H1,篇,标题 1(章),第一章,h1,L1,boc,Level 1 Topic Heading,标书1,1st level,heading 1,PIM 1,Heading 0,Section Head,l1,1,H11,H12,H13,H14,H15,H16,H17,prop,app heading 1,app heading 11,app heading 12,app heading 111,app heading 13,Heading 11,Arial 14 Fett,(Alt+1)"/>
    <w:basedOn w:val="a"/>
    <w:next w:val="a"/>
    <w:link w:val="10"/>
    <w:uiPriority w:val="9"/>
    <w:qFormat/>
    <w:rsid w:val="00BE572F"/>
    <w:pPr>
      <w:keepNext/>
      <w:keepLines/>
      <w:numPr>
        <w:numId w:val="1"/>
      </w:numPr>
      <w:spacing w:before="340" w:after="330" w:line="578" w:lineRule="auto"/>
      <w:outlineLvl w:val="0"/>
    </w:pPr>
    <w:rPr>
      <w:b/>
      <w:bCs/>
      <w:kern w:val="44"/>
      <w:sz w:val="44"/>
      <w:szCs w:val="44"/>
    </w:rPr>
  </w:style>
  <w:style w:type="paragraph" w:styleId="2">
    <w:name w:val="heading 2"/>
    <w:aliases w:val="H2,章,标题 2(节),标题2,Heading 2 Hidden,Heading 2 CCBS,heading 2,Underrubrik1,prop2,2nd level,h2,2,Header 2,l2,Titre2,Head 2,Heading2,No Number,A,o,H2-Heading 2,Header2,22,heading2,list2,A.B.C.,list 2,Heading Indent No L2,I2,Section Title,Heading 2 John"/>
    <w:basedOn w:val="a"/>
    <w:next w:val="a"/>
    <w:link w:val="20"/>
    <w:uiPriority w:val="9"/>
    <w:unhideWhenUsed/>
    <w:qFormat/>
    <w:rsid w:val="00BE572F"/>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H3,1.1,标题 3(1.1),level_3,PIM 3,Level 3 Head,Heading 3 - old,ISO2,h3,L3,sect1.2.3,sect1.2.31,sect1.2.32,sect1.2.311,sect1.2.33,sect1.2.312,Bold Head,bh,l3,CT,3,3rd level,heading 3,sl3,Heading 3under,- Maj Side,list 3,Head 3,Heading Three,CSS节内1级标记,M"/>
    <w:basedOn w:val="a"/>
    <w:next w:val="a"/>
    <w:link w:val="30"/>
    <w:uiPriority w:val="9"/>
    <w:unhideWhenUsed/>
    <w:qFormat/>
    <w:rsid w:val="00BE572F"/>
    <w:pPr>
      <w:keepNext/>
      <w:keepLines/>
      <w:numPr>
        <w:ilvl w:val="2"/>
        <w:numId w:val="1"/>
      </w:numPr>
      <w:spacing w:before="260" w:after="260" w:line="416" w:lineRule="auto"/>
      <w:outlineLvl w:val="2"/>
    </w:pPr>
    <w:rPr>
      <w:b/>
      <w:bCs/>
      <w:sz w:val="32"/>
      <w:szCs w:val="32"/>
    </w:rPr>
  </w:style>
  <w:style w:type="paragraph" w:styleId="4">
    <w:name w:val="heading 4"/>
    <w:aliases w:val="H4,1.1.1,h4,heading 4,Ref Heading 1,rh1,Heading sql,sect 1.2.3.4,4th level,ITT t4,PA Micro Section,TE Heading 4,4,Heading4,H4-Heading 4,a.,l4,I4,l4+toc4,4heading,PIM 4,bullet,bl,bb,list 4,mh1l,Module heading 1 large (18 points),Head 4,Map Titl,h41"/>
    <w:basedOn w:val="a"/>
    <w:next w:val="a"/>
    <w:link w:val="40"/>
    <w:uiPriority w:val="9"/>
    <w:unhideWhenUsed/>
    <w:qFormat/>
    <w:rsid w:val="00BE572F"/>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H5,1.1.1.1,h5,Block Label,heading 5,ITT t5,PA Pico Section,5,H5-Heading 5,l5,heading5,第四层条,dash,ds,dd,Level 3 - i,分项,CSS节内3级标记,CSS节内3级标记 Char Char Char,CSS节内3级标记 Char,PIM 5,口,h51,heading 51,h52,heading 52,h53,heading 53,标 5,Second Subheading,H51,hm"/>
    <w:basedOn w:val="a"/>
    <w:next w:val="a"/>
    <w:link w:val="50"/>
    <w:uiPriority w:val="9"/>
    <w:unhideWhenUsed/>
    <w:qFormat/>
    <w:rsid w:val="00BE572F"/>
    <w:pPr>
      <w:keepNext/>
      <w:keepLines/>
      <w:numPr>
        <w:ilvl w:val="4"/>
        <w:numId w:val="1"/>
      </w:numPr>
      <w:spacing w:before="280" w:after="290" w:line="376" w:lineRule="auto"/>
      <w:outlineLvl w:val="4"/>
    </w:pPr>
    <w:rPr>
      <w:b/>
      <w:bCs/>
      <w:sz w:val="28"/>
      <w:szCs w:val="28"/>
    </w:rPr>
  </w:style>
  <w:style w:type="paragraph" w:styleId="6">
    <w:name w:val="heading 6"/>
    <w:aliases w:val="H6,1.1.1.1.1,Legal Level 1.,CSS节内4级标记,PIM 6,Bullet (Single Lines),L6,BOD 4,h6,h61,heading 61,Lega...,Third Subheading,第五层条,Bullet list,第六层条目,CSS节内4级标记 Char Char Char,DO NOT USE_h6 Char,DO NOT USE_h6,正文六级标题,标题 6(ALT+6),[Heading 6],原始内容,l6,节内4级标记,Alt"/>
    <w:basedOn w:val="a"/>
    <w:next w:val="a"/>
    <w:link w:val="60"/>
    <w:uiPriority w:val="9"/>
    <w:unhideWhenUsed/>
    <w:qFormat/>
    <w:rsid w:val="00BE572F"/>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H7,Legal Level 1.1.,PIM 7,L7,letter list,不用,st,H TIMES1,◎,h7,标号 7,1.1.1.1.1.1.1标题 7,表名,（1）,Alt+7,SDL title,Level 1.1,1.标题 6,sdf,L71,PIM 71,H TIMES11,1.1.1.1.1.1.1标题 71,letter list1,Legal Level 1.1.1,不用1,表名1,（1）1,Alt+71,h71,SDL title1,Level 1.11,H71"/>
    <w:basedOn w:val="a"/>
    <w:next w:val="a"/>
    <w:link w:val="70"/>
    <w:uiPriority w:val="9"/>
    <w:unhideWhenUsed/>
    <w:qFormat/>
    <w:rsid w:val="00BE572F"/>
    <w:pPr>
      <w:keepNext/>
      <w:keepLines/>
      <w:numPr>
        <w:ilvl w:val="6"/>
        <w:numId w:val="1"/>
      </w:numPr>
      <w:spacing w:before="240" w:after="64" w:line="320" w:lineRule="auto"/>
      <w:outlineLvl w:val="6"/>
    </w:pPr>
    <w:rPr>
      <w:b/>
      <w:bCs/>
      <w:sz w:val="24"/>
      <w:szCs w:val="24"/>
    </w:rPr>
  </w:style>
  <w:style w:type="paragraph" w:styleId="8">
    <w:name w:val="heading 8"/>
    <w:aliases w:val="h8,Legal Level 1.1.1.,注意框体,不用8,标题6,图名,（A）,Alt+8,Legal Level 1.1.1.1,Legal Level 1.1.1.2,Legal Level 1.1.1.3,Legal Level 1.1.1.4,Legal Level 1.1.1.5,Legal Level 1.1.1.6,Legal Level 1.1.1.7,Legal Level 1.1.1.11,Legal Level 1.1.1.21,H8,正文八级标题,tt1,tt2"/>
    <w:basedOn w:val="a"/>
    <w:next w:val="a"/>
    <w:link w:val="80"/>
    <w:uiPriority w:val="9"/>
    <w:unhideWhenUsed/>
    <w:qFormat/>
    <w:rsid w:val="00BE572F"/>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h9,Legal Level 1.1.1.1.,PIM 9,footer,不用9,huh,三级标题,tt,table title,标题 45,Figure Heading,FH,Figure,Appendix,未用,Alt+9,ft,heading 9,HF,H9,figure label,Legal Level 1.1.1.1.1,Legal Level 1.1.1.1.2,Legal Level 1.1.1.1.3,Legal Level 1.1.1.1.4,App Heading,hu"/>
    <w:basedOn w:val="a"/>
    <w:next w:val="a"/>
    <w:link w:val="90"/>
    <w:uiPriority w:val="9"/>
    <w:unhideWhenUsed/>
    <w:qFormat/>
    <w:rsid w:val="00BE572F"/>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H1 字符,篇 字符,标题 1(章) 字符,第一章 字符,h1 字符,L1 字符,boc 字符,Level 1 Topic Heading 字符,标书1 字符,1st level 字符,heading 1 字符,PIM 1 字符,Heading 0 字符,Section Head 字符,l1 字符,1 字符,H11 字符,H12 字符,H13 字符,H14 字符,H15 字符,H16 字符,H17 字符,prop 字符,app heading 1 字符,Heading 11 字符"/>
    <w:basedOn w:val="a0"/>
    <w:link w:val="1"/>
    <w:uiPriority w:val="9"/>
    <w:rsid w:val="00BE572F"/>
    <w:rPr>
      <w:b/>
      <w:bCs/>
      <w:kern w:val="44"/>
      <w:sz w:val="44"/>
      <w:szCs w:val="44"/>
    </w:rPr>
  </w:style>
  <w:style w:type="character" w:customStyle="1" w:styleId="20">
    <w:name w:val="标题 2 字符"/>
    <w:aliases w:val="H2 字符,章 字符,标题 2(节) 字符,标题2 字符,Heading 2 Hidden 字符,Heading 2 CCBS 字符,heading 2 字符,Underrubrik1 字符,prop2 字符,2nd level 字符,h2 字符,2 字符,Header 2 字符,l2 字符,Titre2 字符,Head 2 字符,Heading2 字符,No Number 字符,A 字符,o 字符,H2-Heading 2 字符,Header2 字符,22 字符,list2 字符"/>
    <w:basedOn w:val="a0"/>
    <w:link w:val="2"/>
    <w:uiPriority w:val="9"/>
    <w:rsid w:val="00BE572F"/>
    <w:rPr>
      <w:rFonts w:asciiTheme="majorHAnsi" w:eastAsiaTheme="majorEastAsia" w:hAnsiTheme="majorHAnsi" w:cstheme="majorBidi"/>
      <w:b/>
      <w:bCs/>
      <w:sz w:val="32"/>
      <w:szCs w:val="32"/>
    </w:rPr>
  </w:style>
  <w:style w:type="character" w:customStyle="1" w:styleId="30">
    <w:name w:val="标题 3 字符"/>
    <w:aliases w:val="H3 字符,1.1 字符,标题 3(1.1) 字符,level_3 字符,PIM 3 字符,Level 3 Head 字符,Heading 3 - old 字符,ISO2 字符,h3 字符,L3 字符,sect1.2.3 字符,sect1.2.31 字符,sect1.2.32 字符,sect1.2.311 字符,sect1.2.33 字符,sect1.2.312 字符,Bold Head 字符,bh 字符,l3 字符,CT 字符,3 字符,3rd level 字符,sl3 字符"/>
    <w:basedOn w:val="a0"/>
    <w:link w:val="3"/>
    <w:uiPriority w:val="9"/>
    <w:rsid w:val="00BE572F"/>
    <w:rPr>
      <w:b/>
      <w:bCs/>
      <w:sz w:val="32"/>
      <w:szCs w:val="32"/>
    </w:rPr>
  </w:style>
  <w:style w:type="character" w:customStyle="1" w:styleId="40">
    <w:name w:val="标题 4 字符"/>
    <w:aliases w:val="H4 字符,1.1.1 字符,h4 字符,heading 4 字符,Ref Heading 1 字符,rh1 字符,Heading sql 字符,sect 1.2.3.4 字符,4th level 字符,ITT t4 字符,PA Micro Section 字符,TE Heading 4 字符,4 字符,Heading4 字符,H4-Heading 4 字符,a. 字符,l4 字符,I4 字符,l4+toc4 字符,4heading 字符,PIM 4 字符,bullet 字符"/>
    <w:basedOn w:val="a0"/>
    <w:link w:val="4"/>
    <w:uiPriority w:val="9"/>
    <w:rsid w:val="00BE572F"/>
    <w:rPr>
      <w:rFonts w:asciiTheme="majorHAnsi" w:eastAsiaTheme="majorEastAsia" w:hAnsiTheme="majorHAnsi" w:cstheme="majorBidi"/>
      <w:b/>
      <w:bCs/>
      <w:sz w:val="28"/>
      <w:szCs w:val="28"/>
    </w:rPr>
  </w:style>
  <w:style w:type="character" w:customStyle="1" w:styleId="50">
    <w:name w:val="标题 5 字符"/>
    <w:aliases w:val="H5 字符,1.1.1.1 字符,h5 字符,Block Label 字符,heading 5 字符,ITT t5 字符,PA Pico Section 字符,5 字符,H5-Heading 5 字符,l5 字符,heading5 字符,第四层条 字符,dash 字符,ds 字符,dd 字符,Level 3 - i 字符,分项 字符,CSS节内3级标记 字符,CSS节内3级标记 Char Char Char 字符,CSS节内3级标记 Char 字符,PIM 5 字符,口 字符"/>
    <w:basedOn w:val="a0"/>
    <w:link w:val="5"/>
    <w:uiPriority w:val="9"/>
    <w:rsid w:val="00BE572F"/>
    <w:rPr>
      <w:b/>
      <w:bCs/>
      <w:sz w:val="28"/>
      <w:szCs w:val="28"/>
    </w:rPr>
  </w:style>
  <w:style w:type="character" w:customStyle="1" w:styleId="60">
    <w:name w:val="标题 6 字符"/>
    <w:aliases w:val="H6 字符,1.1.1.1.1 字符,Legal Level 1. 字符,CSS节内4级标记 字符,PIM 6 字符,Bullet (Single Lines) 字符,L6 字符,BOD 4 字符,h6 字符,h61 字符,heading 61 字符,Lega... 字符,Third Subheading 字符,第五层条 字符,Bullet list 字符,第六层条目 字符,CSS节内4级标记 Char Char Char 字符,DO NOT USE_h6 Char 字符,l6 字符"/>
    <w:basedOn w:val="a0"/>
    <w:link w:val="6"/>
    <w:uiPriority w:val="9"/>
    <w:rsid w:val="00BE572F"/>
    <w:rPr>
      <w:rFonts w:asciiTheme="majorHAnsi" w:eastAsiaTheme="majorEastAsia" w:hAnsiTheme="majorHAnsi" w:cstheme="majorBidi"/>
      <w:b/>
      <w:bCs/>
      <w:sz w:val="24"/>
      <w:szCs w:val="24"/>
    </w:rPr>
  </w:style>
  <w:style w:type="character" w:customStyle="1" w:styleId="70">
    <w:name w:val="标题 7 字符"/>
    <w:aliases w:val="H7 字符,Legal Level 1.1. 字符,PIM 7 字符,L7 字符,letter list 字符,不用 字符,st 字符,H TIMES1 字符,◎ 字符,h7 字符,标号 7 字符,1.1.1.1.1.1.1标题 7 字符,表名 字符,（1） 字符,Alt+7 字符,SDL title 字符,Level 1.1 字符,1.标题 6 字符,sdf 字符,L71 字符,PIM 71 字符,H TIMES11 字符,1.1.1.1.1.1.1标题 71 字符,不用1 字符"/>
    <w:basedOn w:val="a0"/>
    <w:link w:val="7"/>
    <w:uiPriority w:val="9"/>
    <w:rsid w:val="00BE572F"/>
    <w:rPr>
      <w:b/>
      <w:bCs/>
      <w:sz w:val="24"/>
      <w:szCs w:val="24"/>
    </w:rPr>
  </w:style>
  <w:style w:type="character" w:customStyle="1" w:styleId="80">
    <w:name w:val="标题 8 字符"/>
    <w:aliases w:val="h8 字符,Legal Level 1.1.1. 字符,注意框体 字符,不用8 字符,标题6 字符,图名 字符,（A） 字符,Alt+8 字符,Legal Level 1.1.1.1 字符,Legal Level 1.1.1.2 字符,Legal Level 1.1.1.3 字符,Legal Level 1.1.1.4 字符,Legal Level 1.1.1.5 字符,Legal Level 1.1.1.6 字符,Legal Level 1.1.1.7 字符,H8 字符,tt1 字符"/>
    <w:basedOn w:val="a0"/>
    <w:link w:val="8"/>
    <w:uiPriority w:val="9"/>
    <w:rsid w:val="00BE572F"/>
    <w:rPr>
      <w:rFonts w:asciiTheme="majorHAnsi" w:eastAsiaTheme="majorEastAsia" w:hAnsiTheme="majorHAnsi" w:cstheme="majorBidi"/>
      <w:sz w:val="24"/>
      <w:szCs w:val="24"/>
    </w:rPr>
  </w:style>
  <w:style w:type="character" w:customStyle="1" w:styleId="90">
    <w:name w:val="标题 9 字符"/>
    <w:aliases w:val="h9 字符,Legal Level 1.1.1.1. 字符,PIM 9 字符,footer 字符,不用9 字符,huh 字符,三级标题 字符,tt 字符,table title 字符,标题 45 字符,Figure Heading 字符,FH 字符,Figure 字符,Appendix 字符,未用 字符,Alt+9 字符,ft 字符,heading 9 字符,HF 字符,H9 字符,figure label 字符,Legal Level 1.1.1.1.1 字符,hu 字符"/>
    <w:basedOn w:val="a0"/>
    <w:link w:val="9"/>
    <w:uiPriority w:val="9"/>
    <w:rsid w:val="00BE572F"/>
    <w:rPr>
      <w:rFonts w:asciiTheme="majorHAnsi" w:eastAsiaTheme="majorEastAsia" w:hAnsiTheme="majorHAnsi" w:cstheme="majorBidi"/>
      <w:szCs w:val="21"/>
    </w:rPr>
  </w:style>
  <w:style w:type="paragraph" w:styleId="a3">
    <w:name w:val="List Paragraph"/>
    <w:aliases w:val="List Paragraph1,List Paragraph11,lp1,List Paragraph2,Figure_name,符号列表,Use Case List Paragraph,List,List1,表格段落,标题 2 + 楷体_GB2312,左侧:  0 厘米,行距: 1.5 倍行距,首行缩进:  1 字符 + Bold,悬挂缩进: 0.63 厘米,1.2.3标题,表格说明样式,目录4,????¨¬??¨¬?o????¡ì????¨¬|D???¡§???¡ì?¡ì???¡ì?a"/>
    <w:basedOn w:val="a"/>
    <w:link w:val="a4"/>
    <w:uiPriority w:val="34"/>
    <w:qFormat/>
    <w:rsid w:val="00BE572F"/>
    <w:pPr>
      <w:ind w:firstLineChars="200" w:firstLine="420"/>
    </w:pPr>
  </w:style>
  <w:style w:type="character" w:customStyle="1" w:styleId="a4">
    <w:name w:val="列表段落 字符"/>
    <w:aliases w:val="List Paragraph1 字符,List Paragraph11 字符,lp1 字符,List Paragraph2 字符,Figure_name 字符,符号列表 字符,Use Case List Paragraph 字符,List 字符,List1 字符,表格段落 字符,标题 2 + 楷体_GB2312 字符,左侧:  0 厘米 字符,行距: 1.5 倍行距 字符,首行缩进:  1 字符 + Bold 字符,悬挂缩进: 0.63 厘米 字符,1.2.3标题 字符,目录4 字符"/>
    <w:link w:val="a3"/>
    <w:uiPriority w:val="34"/>
    <w:qFormat/>
    <w:locked/>
    <w:rsid w:val="00BE572F"/>
  </w:style>
  <w:style w:type="character" w:customStyle="1" w:styleId="Char">
    <w:name w:val="**正文 Char"/>
    <w:link w:val="a5"/>
    <w:locked/>
    <w:rsid w:val="00993831"/>
    <w:rPr>
      <w:sz w:val="24"/>
      <w:szCs w:val="32"/>
    </w:rPr>
  </w:style>
  <w:style w:type="paragraph" w:customStyle="1" w:styleId="a5">
    <w:name w:val="**正文"/>
    <w:basedOn w:val="a"/>
    <w:link w:val="Char"/>
    <w:qFormat/>
    <w:rsid w:val="00993831"/>
    <w:pPr>
      <w:spacing w:afterLines="50" w:line="360" w:lineRule="auto"/>
      <w:ind w:firstLineChars="200" w:firstLine="200"/>
    </w:pPr>
    <w:rPr>
      <w:sz w:val="24"/>
      <w:szCs w:val="32"/>
    </w:rPr>
  </w:style>
  <w:style w:type="character" w:customStyle="1" w:styleId="Char0">
    <w:name w:val="正文应用 Char"/>
    <w:link w:val="a6"/>
    <w:locked/>
    <w:rsid w:val="00993831"/>
    <w:rPr>
      <w:rFonts w:ascii="Arial" w:eastAsia="宋体" w:hAnsi="Arial" w:cs="Times New Roman"/>
      <w:bCs/>
      <w:sz w:val="24"/>
      <w:szCs w:val="24"/>
    </w:rPr>
  </w:style>
  <w:style w:type="paragraph" w:customStyle="1" w:styleId="a6">
    <w:name w:val="正文应用"/>
    <w:basedOn w:val="a"/>
    <w:link w:val="Char0"/>
    <w:rsid w:val="00993831"/>
    <w:pPr>
      <w:spacing w:line="360" w:lineRule="auto"/>
      <w:ind w:firstLineChars="200" w:firstLine="480"/>
      <w:jc w:val="left"/>
    </w:pPr>
    <w:rPr>
      <w:rFonts w:ascii="Arial" w:eastAsia="宋体" w:hAnsi="Arial" w:cs="Times New Roman"/>
      <w:bCs/>
      <w:sz w:val="24"/>
      <w:szCs w:val="24"/>
    </w:rPr>
  </w:style>
  <w:style w:type="character" w:styleId="a7">
    <w:name w:val="Strong"/>
    <w:basedOn w:val="a0"/>
    <w:uiPriority w:val="22"/>
    <w:qFormat/>
    <w:rsid w:val="00993831"/>
    <w:rPr>
      <w:b/>
      <w:bCs/>
    </w:rPr>
  </w:style>
  <w:style w:type="character" w:customStyle="1" w:styleId="a8">
    <w:name w:val="正文缩进 字符"/>
    <w:aliases w:val="特点1 字符,表正文2 字符,正文非缩进2 字符,标题42 字符,四号2 字符,标题43 字符,表正文3 字符,正文非缩进3 字符,四号3 字符,标题44 字符,表正文4 字符,正文非缩进4 字符,四号4 字符,标题45 字符,表正文5 字符,正文非缩进5 字符,四号5 字符,特点2 字符,表正文11 字符,正文非缩进11 字符,标题411 字符,四号11 字符,特点11 字符,表正文21 字符,正文非缩进21 字符,标题421 字符,四号21 字符,标题431 字符,表正文31 字符"/>
    <w:link w:val="a9"/>
    <w:locked/>
    <w:rsid w:val="001C2850"/>
    <w:rPr>
      <w:rFonts w:ascii="Times New Roman" w:eastAsia="宋体" w:hAnsi="Times New Roman" w:cs="Times New Roman"/>
      <w:szCs w:val="20"/>
    </w:rPr>
  </w:style>
  <w:style w:type="paragraph" w:styleId="a9">
    <w:name w:val="Normal Indent"/>
    <w:aliases w:val="特点1,表正文2,正文非缩进2,标题42,四号2,标题43,表正文3,正文非缩进3,四号3,标题44,表正文4,正文非缩进4,四号4,标题45,表正文5,正文非缩进5,四号5,特点2,表正文11,正文非缩进11,标题411,四号11,特点11,表正文21,正文非缩进21,标题421,四号21,标题431,表正文31,正文非缩进31,鋘drad,???änd,正文(首行缩进两字),正文1,正文缩进 Char,body text,正文（首行缩进两字） Char,水上软件,pp,正文（首行缩进两字"/>
    <w:basedOn w:val="a"/>
    <w:link w:val="a8"/>
    <w:unhideWhenUsed/>
    <w:qFormat/>
    <w:rsid w:val="001C2850"/>
    <w:pPr>
      <w:ind w:firstLine="420"/>
    </w:pPr>
    <w:rPr>
      <w:rFonts w:ascii="Times New Roman" w:eastAsia="宋体" w:hAnsi="Times New Roman" w:cs="Times New Roman"/>
      <w:szCs w:val="20"/>
    </w:rPr>
  </w:style>
  <w:style w:type="paragraph" w:customStyle="1" w:styleId="aa">
    <w:name w:val="文档正文"/>
    <w:basedOn w:val="a"/>
    <w:qFormat/>
    <w:rsid w:val="001C2850"/>
    <w:pPr>
      <w:adjustRightInd w:val="0"/>
      <w:spacing w:line="360" w:lineRule="exact"/>
      <w:ind w:firstLine="567"/>
    </w:pPr>
    <w:rPr>
      <w:rFonts w:ascii="Times New Roman" w:eastAsia="宋体" w:hAnsi="Times New Roman" w:cs="Times New Roman"/>
      <w:kern w:val="0"/>
      <w:sz w:val="28"/>
      <w:szCs w:val="20"/>
    </w:rPr>
  </w:style>
  <w:style w:type="paragraph" w:customStyle="1" w:styleId="ab">
    <w:name w:val="表格文字"/>
    <w:qFormat/>
    <w:rsid w:val="001C2850"/>
    <w:rPr>
      <w:rFonts w:ascii="Times New Roman" w:eastAsia="黑体" w:hAnsi="Times New Roman" w:cs="Times New Roman"/>
    </w:rPr>
  </w:style>
  <w:style w:type="paragraph" w:styleId="ac">
    <w:name w:val="Title"/>
    <w:basedOn w:val="a"/>
    <w:link w:val="ad"/>
    <w:qFormat/>
    <w:rsid w:val="009653FB"/>
    <w:pPr>
      <w:keepNext/>
      <w:keepLines/>
      <w:widowControl/>
      <w:tabs>
        <w:tab w:val="num" w:pos="1276"/>
      </w:tabs>
      <w:topLinePunct/>
      <w:adjustRightInd w:val="0"/>
      <w:snapToGrid w:val="0"/>
      <w:spacing w:before="160" w:after="160" w:line="240" w:lineRule="atLeast"/>
      <w:ind w:left="3121" w:rightChars="100" w:right="210" w:hanging="1278"/>
      <w:jc w:val="left"/>
      <w:outlineLvl w:val="3"/>
    </w:pPr>
    <w:rPr>
      <w:rFonts w:ascii="Arial" w:eastAsia="宋体" w:hAnsi="Arial" w:cs="Arial"/>
      <w:b/>
      <w:bCs/>
      <w:sz w:val="22"/>
      <w:szCs w:val="32"/>
    </w:rPr>
  </w:style>
  <w:style w:type="character" w:customStyle="1" w:styleId="ad">
    <w:name w:val="标题 字符"/>
    <w:basedOn w:val="a0"/>
    <w:link w:val="ac"/>
    <w:rsid w:val="009653FB"/>
    <w:rPr>
      <w:rFonts w:ascii="Arial" w:eastAsia="宋体" w:hAnsi="Arial" w:cs="Arial"/>
      <w:b/>
      <w:bCs/>
      <w:sz w:val="22"/>
      <w:szCs w:val="32"/>
    </w:rPr>
  </w:style>
  <w:style w:type="character" w:customStyle="1" w:styleId="FigureChar">
    <w:name w:val="Figure Char"/>
    <w:aliases w:val="标题 9 Char,Legal Level 1.1.1.1. Char,huh Char,三级标题 Char,Appendix Char,PIM 9 Char,不用9 Char,正文九级标题 Char,ITT t9 Char,progress Char,App Heading Char,Titre 10 Char,9 Char,rb Char,req bullet Char,req1 Char,progress1 Char,progress2 Char,标题 45 Char"/>
    <w:basedOn w:val="a0"/>
    <w:locked/>
    <w:rsid w:val="009653FB"/>
    <w:rPr>
      <w:rFonts w:ascii="Arial" w:hAnsi="Arial" w:cs="Arial"/>
      <w:szCs w:val="21"/>
    </w:rPr>
  </w:style>
  <w:style w:type="character" w:customStyle="1" w:styleId="FigureDescriptionChar">
    <w:name w:val="Figure Description Char"/>
    <w:basedOn w:val="a0"/>
    <w:link w:val="FigureDescription"/>
    <w:locked/>
    <w:rsid w:val="009653FB"/>
    <w:rPr>
      <w:rFonts w:ascii="黑体" w:eastAsia="黑体" w:hAnsi="黑体" w:cs="Arial"/>
      <w:spacing w:val="-4"/>
      <w:szCs w:val="21"/>
    </w:rPr>
  </w:style>
  <w:style w:type="paragraph" w:customStyle="1" w:styleId="FigureDescription">
    <w:name w:val="Figure Description"/>
    <w:next w:val="9"/>
    <w:link w:val="FigureDescriptionChar"/>
    <w:qFormat/>
    <w:rsid w:val="009653FB"/>
    <w:pPr>
      <w:keepNext/>
      <w:adjustRightInd w:val="0"/>
      <w:snapToGrid w:val="0"/>
      <w:spacing w:before="320" w:after="80" w:line="240" w:lineRule="atLeast"/>
      <w:ind w:left="3118"/>
      <w:outlineLvl w:val="7"/>
    </w:pPr>
    <w:rPr>
      <w:rFonts w:ascii="黑体" w:eastAsia="黑体" w:hAnsi="黑体" w:cs="Arial"/>
      <w:spacing w:val="-4"/>
      <w:szCs w:val="21"/>
    </w:rPr>
  </w:style>
  <w:style w:type="character" w:customStyle="1" w:styleId="ItemListChar">
    <w:name w:val="Item List Char"/>
    <w:basedOn w:val="a0"/>
    <w:link w:val="ItemList"/>
    <w:uiPriority w:val="2"/>
    <w:locked/>
    <w:rsid w:val="009653FB"/>
    <w:rPr>
      <w:rFonts w:ascii="Arial" w:hAnsi="Arial" w:cs="Arial"/>
      <w:szCs w:val="21"/>
    </w:rPr>
  </w:style>
  <w:style w:type="paragraph" w:customStyle="1" w:styleId="ItemList">
    <w:name w:val="Item List"/>
    <w:link w:val="ItemListChar"/>
    <w:uiPriority w:val="2"/>
    <w:qFormat/>
    <w:rsid w:val="009653FB"/>
    <w:pPr>
      <w:numPr>
        <w:numId w:val="16"/>
      </w:numPr>
      <w:adjustRightInd w:val="0"/>
      <w:snapToGrid w:val="0"/>
      <w:spacing w:before="80" w:after="80" w:line="240" w:lineRule="atLeast"/>
    </w:pPr>
    <w:rPr>
      <w:rFonts w:ascii="Arial" w:hAnsi="Arial" w:cs="Arial"/>
      <w:szCs w:val="21"/>
    </w:rPr>
  </w:style>
  <w:style w:type="paragraph" w:customStyle="1" w:styleId="ItemStep">
    <w:name w:val="Item Step"/>
    <w:rsid w:val="009653FB"/>
    <w:pPr>
      <w:tabs>
        <w:tab w:val="num" w:pos="3543"/>
      </w:tabs>
      <w:adjustRightInd w:val="0"/>
      <w:snapToGrid w:val="0"/>
      <w:spacing w:before="80" w:after="80" w:line="240" w:lineRule="atLeast"/>
      <w:ind w:left="3543" w:hanging="425"/>
      <w:jc w:val="both"/>
      <w:outlineLvl w:val="6"/>
    </w:pPr>
    <w:rPr>
      <w:rFonts w:ascii="Times New Roman" w:eastAsia="宋体" w:hAnsi="Times New Roman" w:cs="Arial"/>
      <w:kern w:val="0"/>
      <w:szCs w:val="21"/>
    </w:rPr>
  </w:style>
  <w:style w:type="paragraph" w:customStyle="1" w:styleId="Step">
    <w:name w:val="Step"/>
    <w:basedOn w:val="a"/>
    <w:rsid w:val="009653FB"/>
    <w:pPr>
      <w:widowControl/>
      <w:tabs>
        <w:tab w:val="num" w:pos="3118"/>
      </w:tabs>
      <w:topLinePunct/>
      <w:adjustRightInd w:val="0"/>
      <w:snapToGrid w:val="0"/>
      <w:spacing w:before="160" w:after="160" w:line="240" w:lineRule="atLeast"/>
      <w:ind w:left="3118" w:hanging="159"/>
      <w:jc w:val="left"/>
      <w:outlineLvl w:val="5"/>
    </w:pPr>
    <w:rPr>
      <w:rFonts w:ascii="Times New Roman" w:eastAsia="宋体" w:hAnsi="Times New Roman" w:cs="Arial"/>
      <w:kern w:val="0"/>
      <w:szCs w:val="21"/>
    </w:rPr>
  </w:style>
  <w:style w:type="paragraph" w:customStyle="1" w:styleId="TableDescription">
    <w:name w:val="Table Description"/>
    <w:basedOn w:val="a"/>
    <w:next w:val="a"/>
    <w:qFormat/>
    <w:rsid w:val="009653FB"/>
    <w:pPr>
      <w:keepNext/>
      <w:widowControl/>
      <w:topLinePunct/>
      <w:adjustRightInd w:val="0"/>
      <w:snapToGrid w:val="0"/>
      <w:spacing w:before="320" w:after="80" w:line="240" w:lineRule="atLeast"/>
      <w:ind w:left="3097"/>
      <w:jc w:val="left"/>
      <w:outlineLvl w:val="7"/>
    </w:pPr>
    <w:rPr>
      <w:rFonts w:ascii="Times New Roman" w:eastAsia="宋体" w:hAnsi="Times New Roman" w:cs="Arial"/>
      <w:spacing w:val="-4"/>
      <w:szCs w:val="21"/>
    </w:rPr>
  </w:style>
  <w:style w:type="character" w:customStyle="1" w:styleId="NotesHeadingChar">
    <w:name w:val="Notes Heading Char"/>
    <w:basedOn w:val="a0"/>
    <w:link w:val="NotesHeading"/>
    <w:locked/>
    <w:rsid w:val="009653FB"/>
    <w:rPr>
      <w:rFonts w:ascii="Book Antiqua" w:eastAsia="黑体" w:hAnsi="Book Antiqua" w:cs="Arial"/>
      <w:bCs/>
      <w:noProof/>
      <w:position w:val="-6"/>
      <w:sz w:val="18"/>
      <w:szCs w:val="18"/>
    </w:rPr>
  </w:style>
  <w:style w:type="paragraph" w:customStyle="1" w:styleId="NotesHeading">
    <w:name w:val="Notes Heading"/>
    <w:basedOn w:val="a"/>
    <w:link w:val="NotesHeadingChar"/>
    <w:rsid w:val="009653FB"/>
    <w:pPr>
      <w:keepNext/>
      <w:widowControl/>
      <w:topLinePunct/>
      <w:adjustRightInd w:val="0"/>
      <w:snapToGrid w:val="0"/>
      <w:spacing w:before="80" w:after="40" w:line="240" w:lineRule="atLeast"/>
      <w:ind w:left="1701"/>
      <w:jc w:val="left"/>
    </w:pPr>
    <w:rPr>
      <w:rFonts w:ascii="Book Antiqua" w:eastAsia="黑体" w:hAnsi="Book Antiqua" w:cs="Arial"/>
      <w:bCs/>
      <w:noProof/>
      <w:position w:val="-6"/>
      <w:sz w:val="18"/>
      <w:szCs w:val="18"/>
    </w:rPr>
  </w:style>
  <w:style w:type="character" w:customStyle="1" w:styleId="NotesTextChar">
    <w:name w:val="Notes Text Char"/>
    <w:basedOn w:val="a0"/>
    <w:link w:val="NotesText"/>
    <w:locked/>
    <w:rsid w:val="009653FB"/>
    <w:rPr>
      <w:rFonts w:ascii="楷体_GB2312" w:eastAsia="楷体_GB2312" w:cs="Arial"/>
      <w:iCs/>
      <w:sz w:val="18"/>
      <w:szCs w:val="18"/>
    </w:rPr>
  </w:style>
  <w:style w:type="paragraph" w:customStyle="1" w:styleId="NotesText">
    <w:name w:val="Notes Text"/>
    <w:basedOn w:val="a"/>
    <w:link w:val="NotesTextChar"/>
    <w:rsid w:val="009653FB"/>
    <w:pPr>
      <w:keepLines/>
      <w:widowControl/>
      <w:topLinePunct/>
      <w:adjustRightInd w:val="0"/>
      <w:snapToGrid w:val="0"/>
      <w:spacing w:before="40" w:after="80" w:line="200" w:lineRule="atLeast"/>
      <w:ind w:left="2075"/>
      <w:jc w:val="left"/>
    </w:pPr>
    <w:rPr>
      <w:rFonts w:ascii="楷体_GB2312" w:eastAsia="楷体_GB2312" w:cs="Arial"/>
      <w:iCs/>
      <w:sz w:val="18"/>
      <w:szCs w:val="18"/>
    </w:rPr>
  </w:style>
  <w:style w:type="paragraph" w:customStyle="1" w:styleId="FUNO1">
    <w:name w:val="FUNO标题1"/>
    <w:next w:val="a"/>
    <w:qFormat/>
    <w:rsid w:val="00670AA8"/>
    <w:pPr>
      <w:numPr>
        <w:numId w:val="28"/>
      </w:numPr>
      <w:spacing w:beforeLines="50" w:afterLines="50"/>
      <w:jc w:val="center"/>
      <w:outlineLvl w:val="0"/>
    </w:pPr>
    <w:rPr>
      <w:rFonts w:ascii="Arial Unicode MS" w:eastAsia="黑体" w:hAnsi="Arial Unicode MS" w:cs="Times New Roman"/>
      <w:b/>
      <w:sz w:val="44"/>
    </w:rPr>
  </w:style>
  <w:style w:type="paragraph" w:customStyle="1" w:styleId="FUNO2">
    <w:name w:val="FUNO标题2"/>
    <w:next w:val="a"/>
    <w:qFormat/>
    <w:rsid w:val="00670AA8"/>
    <w:pPr>
      <w:numPr>
        <w:ilvl w:val="1"/>
        <w:numId w:val="28"/>
      </w:numPr>
      <w:spacing w:beforeLines="50" w:afterLines="50"/>
      <w:outlineLvl w:val="1"/>
    </w:pPr>
    <w:rPr>
      <w:rFonts w:ascii="Arial Unicode MS" w:eastAsia="宋体" w:hAnsi="Arial Unicode MS" w:cs="Times New Roman"/>
      <w:b/>
      <w:sz w:val="36"/>
    </w:rPr>
  </w:style>
  <w:style w:type="paragraph" w:customStyle="1" w:styleId="FUNO3">
    <w:name w:val="FUNO标题3"/>
    <w:next w:val="a"/>
    <w:qFormat/>
    <w:rsid w:val="00670AA8"/>
    <w:pPr>
      <w:numPr>
        <w:ilvl w:val="2"/>
        <w:numId w:val="28"/>
      </w:numPr>
      <w:spacing w:beforeLines="50" w:afterLines="50"/>
      <w:outlineLvl w:val="2"/>
    </w:pPr>
    <w:rPr>
      <w:rFonts w:ascii="Arial Unicode MS" w:eastAsia="宋体" w:hAnsi="Arial Unicode MS" w:cs="Times New Roman"/>
      <w:b/>
      <w:sz w:val="32"/>
    </w:rPr>
  </w:style>
  <w:style w:type="paragraph" w:customStyle="1" w:styleId="FUNO4">
    <w:name w:val="FUNO标题4"/>
    <w:next w:val="a"/>
    <w:qFormat/>
    <w:rsid w:val="00670AA8"/>
    <w:pPr>
      <w:numPr>
        <w:ilvl w:val="3"/>
        <w:numId w:val="28"/>
      </w:numPr>
      <w:spacing w:beforeLines="50" w:afterLines="50"/>
      <w:outlineLvl w:val="3"/>
    </w:pPr>
    <w:rPr>
      <w:rFonts w:ascii="Arial Unicode MS" w:eastAsia="宋体" w:hAnsi="Arial Unicode MS" w:cs="Times New Roman"/>
      <w:b/>
      <w:sz w:val="30"/>
    </w:rPr>
  </w:style>
  <w:style w:type="paragraph" w:styleId="ae">
    <w:name w:val="caption"/>
    <w:aliases w:val="Legend_Figures,Légende_Figure,Légende Car,Caption Char Car,Caption Char1 Char Car,Caption Char Char Char Car,Caption Char1 Char Char Car,Caption Char Char Char Char Char Car,Caption Char Char1 Car,BildBeschriftung, Char1 Char,Caption Table,信息主题"/>
    <w:basedOn w:val="a"/>
    <w:next w:val="a"/>
    <w:link w:val="af"/>
    <w:qFormat/>
    <w:rsid w:val="00670AA8"/>
    <w:pPr>
      <w:widowControl/>
      <w:topLinePunct/>
      <w:adjustRightInd w:val="0"/>
      <w:snapToGrid w:val="0"/>
      <w:spacing w:before="152" w:after="160" w:line="240" w:lineRule="atLeast"/>
      <w:ind w:left="1701"/>
      <w:jc w:val="left"/>
    </w:pPr>
    <w:rPr>
      <w:rFonts w:ascii="Arial" w:eastAsia="黑体" w:hAnsi="Arial" w:cs="Arial"/>
      <w:sz w:val="20"/>
      <w:szCs w:val="20"/>
    </w:rPr>
  </w:style>
  <w:style w:type="character" w:customStyle="1" w:styleId="af">
    <w:name w:val="题注 字符"/>
    <w:aliases w:val="Legend_Figures 字符,Légende_Figure 字符,Légende Car 字符,Caption Char Car 字符,Caption Char1 Char Car 字符,Caption Char Char Char Car 字符,Caption Char1 Char Char Car 字符,Caption Char Char Char Char Char Car 字符,Caption Char Char1 Car 字符,BildBeschriftung 字符"/>
    <w:link w:val="ae"/>
    <w:rsid w:val="00670AA8"/>
    <w:rPr>
      <w:rFonts w:ascii="Arial" w:eastAsia="黑体" w:hAnsi="Arial" w:cs="Arial"/>
      <w:sz w:val="20"/>
      <w:szCs w:val="20"/>
    </w:rPr>
  </w:style>
  <w:style w:type="paragraph" w:customStyle="1" w:styleId="TableHeading">
    <w:name w:val="Table Heading"/>
    <w:link w:val="TableHeadingChar"/>
    <w:uiPriority w:val="2"/>
    <w:qFormat/>
    <w:rsid w:val="00670AA8"/>
    <w:pPr>
      <w:keepNext/>
      <w:snapToGrid w:val="0"/>
      <w:spacing w:before="80" w:after="80"/>
      <w:jc w:val="center"/>
    </w:pPr>
    <w:rPr>
      <w:rFonts w:ascii="Arial" w:eastAsia="黑体" w:hAnsi="Arial" w:cs="Times New Roman"/>
      <w:kern w:val="0"/>
      <w:sz w:val="18"/>
      <w:szCs w:val="20"/>
    </w:rPr>
  </w:style>
  <w:style w:type="character" w:customStyle="1" w:styleId="TableHeadingChar">
    <w:name w:val="Table Heading Char"/>
    <w:link w:val="TableHeading"/>
    <w:uiPriority w:val="2"/>
    <w:rsid w:val="00670AA8"/>
    <w:rPr>
      <w:rFonts w:ascii="Arial" w:eastAsia="黑体" w:hAnsi="Arial" w:cs="Times New Roman"/>
      <w:kern w:val="0"/>
      <w:sz w:val="18"/>
      <w:szCs w:val="20"/>
    </w:rPr>
  </w:style>
  <w:style w:type="paragraph" w:customStyle="1" w:styleId="TableText">
    <w:name w:val="Table Text"/>
    <w:link w:val="TableTextChar1"/>
    <w:uiPriority w:val="2"/>
    <w:qFormat/>
    <w:rsid w:val="00670AA8"/>
    <w:pPr>
      <w:snapToGrid w:val="0"/>
      <w:spacing w:before="80" w:after="80"/>
    </w:pPr>
    <w:rPr>
      <w:rFonts w:ascii="Arial" w:eastAsia="宋体" w:hAnsi="Arial" w:cs="Arial"/>
      <w:kern w:val="0"/>
      <w:sz w:val="18"/>
      <w:szCs w:val="18"/>
    </w:rPr>
  </w:style>
  <w:style w:type="character" w:customStyle="1" w:styleId="TableTextChar1">
    <w:name w:val="Table Text Char1"/>
    <w:basedOn w:val="a0"/>
    <w:link w:val="TableText"/>
    <w:rsid w:val="00670AA8"/>
    <w:rPr>
      <w:rFonts w:ascii="Arial" w:eastAsia="宋体" w:hAnsi="Arial" w:cs="Arial"/>
      <w:kern w:val="0"/>
      <w:sz w:val="18"/>
      <w:szCs w:val="18"/>
    </w:rPr>
  </w:style>
  <w:style w:type="table" w:customStyle="1" w:styleId="Table">
    <w:name w:val="Table"/>
    <w:basedOn w:val="af0"/>
    <w:rsid w:val="00670AA8"/>
    <w:pPr>
      <w:widowControl w:val="0"/>
      <w:snapToGrid w:val="0"/>
    </w:pPr>
    <w:rPr>
      <w:rFonts w:ascii="Times New Roman" w:eastAsia="宋体" w:hAnsi="Times New Roman" w:cs="Times New Roman"/>
      <w:kern w:val="0"/>
      <w:sz w:val="20"/>
      <w:szCs w:val="20"/>
    </w:r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0">
    <w:name w:val="Table Grid"/>
    <w:basedOn w:val="a1"/>
    <w:uiPriority w:val="39"/>
    <w:rsid w:val="00670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ListinTable2">
    <w:name w:val="Item List in Table_2"/>
    <w:basedOn w:val="a"/>
    <w:uiPriority w:val="2"/>
    <w:rsid w:val="0004621C"/>
    <w:pPr>
      <w:widowControl/>
      <w:tabs>
        <w:tab w:val="left" w:pos="680"/>
      </w:tabs>
      <w:spacing w:before="80" w:after="80"/>
      <w:ind w:left="680" w:hanging="283"/>
      <w:jc w:val="left"/>
    </w:pPr>
    <w:rPr>
      <w:rFonts w:ascii="Arial" w:eastAsia="宋体" w:hAnsi="Arial" w:cs="Arial"/>
      <w:sz w:val="18"/>
      <w:szCs w:val="18"/>
      <w:lang w:eastAsia="en-US"/>
    </w:rPr>
  </w:style>
  <w:style w:type="character" w:customStyle="1" w:styleId="ItemListCharChar">
    <w:name w:val="Item List Char Char"/>
    <w:basedOn w:val="a0"/>
    <w:uiPriority w:val="2"/>
    <w:rsid w:val="0004621C"/>
    <w:rPr>
      <w:rFonts w:ascii="Arial" w:eastAsia="宋体" w:hAnsi="Arial" w:cs="Arial"/>
      <w:szCs w:val="20"/>
      <w:lang w:eastAsia="en-US"/>
    </w:rPr>
  </w:style>
  <w:style w:type="paragraph" w:customStyle="1" w:styleId="ItemList2">
    <w:name w:val="Item List_2"/>
    <w:basedOn w:val="ItemList"/>
    <w:uiPriority w:val="2"/>
    <w:rsid w:val="0004621C"/>
    <w:pPr>
      <w:numPr>
        <w:numId w:val="0"/>
      </w:numPr>
      <w:tabs>
        <w:tab w:val="left" w:pos="360"/>
        <w:tab w:val="left" w:pos="1134"/>
      </w:tabs>
      <w:adjustRightInd/>
      <w:snapToGrid/>
      <w:spacing w:before="40" w:after="40" w:line="240" w:lineRule="auto"/>
      <w:ind w:left="1001" w:hanging="576"/>
    </w:pPr>
    <w:rPr>
      <w:rFonts w:eastAsia="宋体"/>
      <w:szCs w:val="20"/>
      <w:lang w:eastAsia="en-US"/>
    </w:rPr>
  </w:style>
  <w:style w:type="paragraph" w:customStyle="1" w:styleId="ItemListinTable">
    <w:name w:val="Item List in Table"/>
    <w:basedOn w:val="a"/>
    <w:link w:val="ItemListinTableCharChar"/>
    <w:uiPriority w:val="2"/>
    <w:qFormat/>
    <w:rsid w:val="0004621C"/>
    <w:pPr>
      <w:widowControl/>
      <w:tabs>
        <w:tab w:val="left" w:pos="397"/>
      </w:tabs>
      <w:spacing w:before="80" w:after="80"/>
      <w:ind w:left="397" w:hanging="397"/>
      <w:jc w:val="left"/>
    </w:pPr>
    <w:rPr>
      <w:rFonts w:ascii="Arial" w:eastAsia="宋体" w:hAnsi="Arial" w:cs="Arial"/>
      <w:sz w:val="18"/>
      <w:szCs w:val="18"/>
      <w:lang w:eastAsia="en-US"/>
    </w:rPr>
  </w:style>
  <w:style w:type="character" w:customStyle="1" w:styleId="ItemListinTableCharChar">
    <w:name w:val="Item List in Table Char Char"/>
    <w:basedOn w:val="a0"/>
    <w:link w:val="ItemListinTable"/>
    <w:uiPriority w:val="2"/>
    <w:rsid w:val="0004621C"/>
    <w:rPr>
      <w:rFonts w:ascii="Arial" w:eastAsia="宋体" w:hAnsi="Arial" w:cs="Arial"/>
      <w:sz w:val="18"/>
      <w:szCs w:val="18"/>
      <w:lang w:eastAsia="en-US"/>
    </w:rPr>
  </w:style>
  <w:style w:type="paragraph" w:customStyle="1" w:styleId="NotesTextListinTable">
    <w:name w:val="Notes Text List in Table"/>
    <w:uiPriority w:val="2"/>
    <w:qFormat/>
    <w:rsid w:val="0004621C"/>
    <w:pPr>
      <w:tabs>
        <w:tab w:val="left" w:pos="397"/>
      </w:tabs>
      <w:spacing w:before="80" w:after="80"/>
      <w:ind w:left="397" w:hanging="397"/>
    </w:pPr>
    <w:rPr>
      <w:rFonts w:ascii="Arial" w:eastAsia="楷体_GB2312" w:hAnsi="Arial" w:cs="楷体_GB2312"/>
      <w:kern w:val="0"/>
      <w:sz w:val="18"/>
      <w:szCs w:val="18"/>
    </w:rPr>
  </w:style>
  <w:style w:type="character" w:customStyle="1" w:styleId="TableTextChar">
    <w:name w:val="Table Text Char"/>
    <w:basedOn w:val="a0"/>
    <w:uiPriority w:val="2"/>
    <w:rsid w:val="0004621C"/>
    <w:rPr>
      <w:rFonts w:ascii="Arial" w:eastAsia="宋体" w:hAnsi="Arial" w:cs="Arial Narrow"/>
      <w:kern w:val="0"/>
      <w:sz w:val="18"/>
      <w:szCs w:val="18"/>
    </w:rPr>
  </w:style>
  <w:style w:type="character" w:customStyle="1" w:styleId="lb">
    <w:name w:val="lb"/>
    <w:basedOn w:val="a0"/>
    <w:rsid w:val="00EA2CFE"/>
  </w:style>
  <w:style w:type="paragraph" w:styleId="af1">
    <w:name w:val="No Spacing"/>
    <w:link w:val="af2"/>
    <w:uiPriority w:val="99"/>
    <w:qFormat/>
    <w:rsid w:val="00A31C8F"/>
    <w:pPr>
      <w:widowControl w:val="0"/>
      <w:jc w:val="both"/>
    </w:pPr>
    <w:rPr>
      <w:rFonts w:ascii="Calibri" w:eastAsia="宋体" w:hAnsi="Calibri" w:cs="Times New Roman"/>
    </w:rPr>
  </w:style>
  <w:style w:type="character" w:customStyle="1" w:styleId="af2">
    <w:name w:val="无间隔 字符"/>
    <w:link w:val="af1"/>
    <w:uiPriority w:val="99"/>
    <w:qFormat/>
    <w:rsid w:val="00A31C8F"/>
    <w:rPr>
      <w:rFonts w:ascii="Calibri" w:eastAsia="宋体" w:hAnsi="Calibri" w:cs="Times New Roman"/>
    </w:rPr>
  </w:style>
  <w:style w:type="paragraph" w:customStyle="1" w:styleId="af3">
    <w:name w:val="款"/>
    <w:basedOn w:val="a"/>
    <w:qFormat/>
    <w:rsid w:val="00A31C8F"/>
    <w:pPr>
      <w:tabs>
        <w:tab w:val="left" w:pos="7380"/>
      </w:tabs>
      <w:adjustRightInd w:val="0"/>
      <w:snapToGrid w:val="0"/>
      <w:spacing w:afterLines="30" w:after="30" w:line="360" w:lineRule="auto"/>
      <w:ind w:right="-38" w:firstLineChars="200" w:firstLine="560"/>
      <w:textAlignment w:val="center"/>
    </w:pPr>
    <w:rPr>
      <w:rFonts w:ascii="宋体" w:eastAsia="宋体" w:hAnsi="宋体"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1598">
      <w:bodyDiv w:val="1"/>
      <w:marLeft w:val="0"/>
      <w:marRight w:val="0"/>
      <w:marTop w:val="0"/>
      <w:marBottom w:val="0"/>
      <w:divBdr>
        <w:top w:val="none" w:sz="0" w:space="0" w:color="auto"/>
        <w:left w:val="none" w:sz="0" w:space="0" w:color="auto"/>
        <w:bottom w:val="none" w:sz="0" w:space="0" w:color="auto"/>
        <w:right w:val="none" w:sz="0" w:space="0" w:color="auto"/>
      </w:divBdr>
      <w:divsChild>
        <w:div w:id="994529873">
          <w:marLeft w:val="0"/>
          <w:marRight w:val="0"/>
          <w:marTop w:val="0"/>
          <w:marBottom w:val="0"/>
          <w:divBdr>
            <w:top w:val="none" w:sz="0" w:space="0" w:color="auto"/>
            <w:left w:val="none" w:sz="0" w:space="0" w:color="auto"/>
            <w:bottom w:val="none" w:sz="0" w:space="0" w:color="auto"/>
            <w:right w:val="none" w:sz="0" w:space="0" w:color="auto"/>
          </w:divBdr>
        </w:div>
        <w:div w:id="320623005">
          <w:marLeft w:val="0"/>
          <w:marRight w:val="0"/>
          <w:marTop w:val="0"/>
          <w:marBottom w:val="0"/>
          <w:divBdr>
            <w:top w:val="none" w:sz="0" w:space="0" w:color="auto"/>
            <w:left w:val="none" w:sz="0" w:space="0" w:color="auto"/>
            <w:bottom w:val="none" w:sz="0" w:space="0" w:color="auto"/>
            <w:right w:val="none" w:sz="0" w:space="0" w:color="auto"/>
          </w:divBdr>
        </w:div>
        <w:div w:id="257174719">
          <w:marLeft w:val="0"/>
          <w:marRight w:val="0"/>
          <w:marTop w:val="0"/>
          <w:marBottom w:val="0"/>
          <w:divBdr>
            <w:top w:val="none" w:sz="0" w:space="0" w:color="auto"/>
            <w:left w:val="none" w:sz="0" w:space="0" w:color="auto"/>
            <w:bottom w:val="none" w:sz="0" w:space="0" w:color="auto"/>
            <w:right w:val="none" w:sz="0" w:space="0" w:color="auto"/>
          </w:divBdr>
        </w:div>
        <w:div w:id="821972996">
          <w:marLeft w:val="0"/>
          <w:marRight w:val="0"/>
          <w:marTop w:val="0"/>
          <w:marBottom w:val="0"/>
          <w:divBdr>
            <w:top w:val="none" w:sz="0" w:space="0" w:color="auto"/>
            <w:left w:val="none" w:sz="0" w:space="0" w:color="auto"/>
            <w:bottom w:val="none" w:sz="0" w:space="0" w:color="auto"/>
            <w:right w:val="none" w:sz="0" w:space="0" w:color="auto"/>
          </w:divBdr>
        </w:div>
        <w:div w:id="927078171">
          <w:marLeft w:val="0"/>
          <w:marRight w:val="0"/>
          <w:marTop w:val="0"/>
          <w:marBottom w:val="0"/>
          <w:divBdr>
            <w:top w:val="none" w:sz="0" w:space="0" w:color="auto"/>
            <w:left w:val="none" w:sz="0" w:space="0" w:color="auto"/>
            <w:bottom w:val="none" w:sz="0" w:space="0" w:color="auto"/>
            <w:right w:val="none" w:sz="0" w:space="0" w:color="auto"/>
          </w:divBdr>
        </w:div>
        <w:div w:id="1715085068">
          <w:marLeft w:val="0"/>
          <w:marRight w:val="0"/>
          <w:marTop w:val="0"/>
          <w:marBottom w:val="0"/>
          <w:divBdr>
            <w:top w:val="none" w:sz="0" w:space="0" w:color="auto"/>
            <w:left w:val="none" w:sz="0" w:space="0" w:color="auto"/>
            <w:bottom w:val="none" w:sz="0" w:space="0" w:color="auto"/>
            <w:right w:val="none" w:sz="0" w:space="0" w:color="auto"/>
          </w:divBdr>
        </w:div>
        <w:div w:id="761494414">
          <w:marLeft w:val="0"/>
          <w:marRight w:val="0"/>
          <w:marTop w:val="0"/>
          <w:marBottom w:val="0"/>
          <w:divBdr>
            <w:top w:val="none" w:sz="0" w:space="0" w:color="auto"/>
            <w:left w:val="none" w:sz="0" w:space="0" w:color="auto"/>
            <w:bottom w:val="none" w:sz="0" w:space="0" w:color="auto"/>
            <w:right w:val="none" w:sz="0" w:space="0" w:color="auto"/>
          </w:divBdr>
        </w:div>
        <w:div w:id="811097568">
          <w:marLeft w:val="0"/>
          <w:marRight w:val="0"/>
          <w:marTop w:val="0"/>
          <w:marBottom w:val="0"/>
          <w:divBdr>
            <w:top w:val="none" w:sz="0" w:space="0" w:color="auto"/>
            <w:left w:val="none" w:sz="0" w:space="0" w:color="auto"/>
            <w:bottom w:val="none" w:sz="0" w:space="0" w:color="auto"/>
            <w:right w:val="none" w:sz="0" w:space="0" w:color="auto"/>
          </w:divBdr>
        </w:div>
        <w:div w:id="61026118">
          <w:marLeft w:val="0"/>
          <w:marRight w:val="0"/>
          <w:marTop w:val="0"/>
          <w:marBottom w:val="0"/>
          <w:divBdr>
            <w:top w:val="none" w:sz="0" w:space="0" w:color="auto"/>
            <w:left w:val="none" w:sz="0" w:space="0" w:color="auto"/>
            <w:bottom w:val="none" w:sz="0" w:space="0" w:color="auto"/>
            <w:right w:val="none" w:sz="0" w:space="0" w:color="auto"/>
          </w:divBdr>
        </w:div>
        <w:div w:id="630792177">
          <w:marLeft w:val="0"/>
          <w:marRight w:val="0"/>
          <w:marTop w:val="0"/>
          <w:marBottom w:val="0"/>
          <w:divBdr>
            <w:top w:val="none" w:sz="0" w:space="0" w:color="auto"/>
            <w:left w:val="none" w:sz="0" w:space="0" w:color="auto"/>
            <w:bottom w:val="none" w:sz="0" w:space="0" w:color="auto"/>
            <w:right w:val="none" w:sz="0" w:space="0" w:color="auto"/>
          </w:divBdr>
        </w:div>
        <w:div w:id="2146506820">
          <w:marLeft w:val="0"/>
          <w:marRight w:val="0"/>
          <w:marTop w:val="0"/>
          <w:marBottom w:val="0"/>
          <w:divBdr>
            <w:top w:val="none" w:sz="0" w:space="0" w:color="auto"/>
            <w:left w:val="none" w:sz="0" w:space="0" w:color="auto"/>
            <w:bottom w:val="none" w:sz="0" w:space="0" w:color="auto"/>
            <w:right w:val="none" w:sz="0" w:space="0" w:color="auto"/>
          </w:divBdr>
        </w:div>
      </w:divsChild>
    </w:div>
    <w:div w:id="20937872">
      <w:bodyDiv w:val="1"/>
      <w:marLeft w:val="0"/>
      <w:marRight w:val="0"/>
      <w:marTop w:val="0"/>
      <w:marBottom w:val="0"/>
      <w:divBdr>
        <w:top w:val="none" w:sz="0" w:space="0" w:color="auto"/>
        <w:left w:val="none" w:sz="0" w:space="0" w:color="auto"/>
        <w:bottom w:val="none" w:sz="0" w:space="0" w:color="auto"/>
        <w:right w:val="none" w:sz="0" w:space="0" w:color="auto"/>
      </w:divBdr>
      <w:divsChild>
        <w:div w:id="1502046569">
          <w:marLeft w:val="0"/>
          <w:marRight w:val="0"/>
          <w:marTop w:val="0"/>
          <w:marBottom w:val="0"/>
          <w:divBdr>
            <w:top w:val="none" w:sz="0" w:space="0" w:color="auto"/>
            <w:left w:val="none" w:sz="0" w:space="0" w:color="auto"/>
            <w:bottom w:val="none" w:sz="0" w:space="0" w:color="auto"/>
            <w:right w:val="none" w:sz="0" w:space="0" w:color="auto"/>
          </w:divBdr>
          <w:divsChild>
            <w:div w:id="644236282">
              <w:marLeft w:val="0"/>
              <w:marRight w:val="0"/>
              <w:marTop w:val="0"/>
              <w:marBottom w:val="0"/>
              <w:divBdr>
                <w:top w:val="none" w:sz="0" w:space="0" w:color="auto"/>
                <w:left w:val="none" w:sz="0" w:space="0" w:color="auto"/>
                <w:bottom w:val="none" w:sz="0" w:space="0" w:color="auto"/>
                <w:right w:val="none" w:sz="0" w:space="0" w:color="auto"/>
              </w:divBdr>
              <w:divsChild>
                <w:div w:id="1533299838">
                  <w:marLeft w:val="0"/>
                  <w:marRight w:val="0"/>
                  <w:marTop w:val="0"/>
                  <w:marBottom w:val="0"/>
                  <w:divBdr>
                    <w:top w:val="none" w:sz="0" w:space="0" w:color="auto"/>
                    <w:left w:val="none" w:sz="0" w:space="0" w:color="auto"/>
                    <w:bottom w:val="none" w:sz="0" w:space="0" w:color="auto"/>
                    <w:right w:val="none" w:sz="0" w:space="0" w:color="auto"/>
                  </w:divBdr>
                  <w:divsChild>
                    <w:div w:id="14045345">
                      <w:marLeft w:val="0"/>
                      <w:marRight w:val="0"/>
                      <w:marTop w:val="0"/>
                      <w:marBottom w:val="0"/>
                      <w:divBdr>
                        <w:top w:val="none" w:sz="0" w:space="0" w:color="auto"/>
                        <w:left w:val="none" w:sz="0" w:space="0" w:color="auto"/>
                        <w:bottom w:val="none" w:sz="0" w:space="0" w:color="auto"/>
                        <w:right w:val="none" w:sz="0" w:space="0" w:color="auto"/>
                      </w:divBdr>
                      <w:divsChild>
                        <w:div w:id="1644963456">
                          <w:marLeft w:val="0"/>
                          <w:marRight w:val="0"/>
                          <w:marTop w:val="180"/>
                          <w:marBottom w:val="0"/>
                          <w:divBdr>
                            <w:top w:val="none" w:sz="0" w:space="0" w:color="auto"/>
                            <w:left w:val="none" w:sz="0" w:space="0" w:color="auto"/>
                            <w:bottom w:val="none" w:sz="0" w:space="0" w:color="auto"/>
                            <w:right w:val="none" w:sz="0" w:space="0" w:color="auto"/>
                          </w:divBdr>
                          <w:divsChild>
                            <w:div w:id="1802650721">
                              <w:marLeft w:val="0"/>
                              <w:marRight w:val="0"/>
                              <w:marTop w:val="0"/>
                              <w:marBottom w:val="0"/>
                              <w:divBdr>
                                <w:top w:val="none" w:sz="0" w:space="0" w:color="auto"/>
                                <w:left w:val="none" w:sz="0" w:space="0" w:color="auto"/>
                                <w:bottom w:val="none" w:sz="0" w:space="0" w:color="auto"/>
                                <w:right w:val="none" w:sz="0" w:space="0" w:color="auto"/>
                              </w:divBdr>
                              <w:divsChild>
                                <w:div w:id="1981301811">
                                  <w:marLeft w:val="0"/>
                                  <w:marRight w:val="0"/>
                                  <w:marTop w:val="0"/>
                                  <w:marBottom w:val="0"/>
                                  <w:divBdr>
                                    <w:top w:val="none" w:sz="0" w:space="0" w:color="auto"/>
                                    <w:left w:val="none" w:sz="0" w:space="0" w:color="auto"/>
                                    <w:bottom w:val="none" w:sz="0" w:space="0" w:color="auto"/>
                                    <w:right w:val="none" w:sz="0" w:space="0" w:color="auto"/>
                                  </w:divBdr>
                                  <w:divsChild>
                                    <w:div w:id="1077557175">
                                      <w:marLeft w:val="0"/>
                                      <w:marRight w:val="0"/>
                                      <w:marTop w:val="0"/>
                                      <w:marBottom w:val="0"/>
                                      <w:divBdr>
                                        <w:top w:val="none" w:sz="0" w:space="0" w:color="auto"/>
                                        <w:left w:val="none" w:sz="0" w:space="0" w:color="auto"/>
                                        <w:bottom w:val="none" w:sz="0" w:space="0" w:color="auto"/>
                                        <w:right w:val="none" w:sz="0" w:space="0" w:color="auto"/>
                                      </w:divBdr>
                                      <w:divsChild>
                                        <w:div w:id="1729575005">
                                          <w:marLeft w:val="0"/>
                                          <w:marRight w:val="0"/>
                                          <w:marTop w:val="0"/>
                                          <w:marBottom w:val="0"/>
                                          <w:divBdr>
                                            <w:top w:val="none" w:sz="0" w:space="0" w:color="auto"/>
                                            <w:left w:val="none" w:sz="0" w:space="0" w:color="auto"/>
                                            <w:bottom w:val="none" w:sz="0" w:space="0" w:color="auto"/>
                                            <w:right w:val="none" w:sz="0" w:space="0" w:color="auto"/>
                                          </w:divBdr>
                                          <w:divsChild>
                                            <w:div w:id="2144496820">
                                              <w:marLeft w:val="0"/>
                                              <w:marRight w:val="0"/>
                                              <w:marTop w:val="0"/>
                                              <w:marBottom w:val="0"/>
                                              <w:divBdr>
                                                <w:top w:val="none" w:sz="0" w:space="0" w:color="auto"/>
                                                <w:left w:val="none" w:sz="0" w:space="0" w:color="auto"/>
                                                <w:bottom w:val="none" w:sz="0" w:space="0" w:color="auto"/>
                                                <w:right w:val="none" w:sz="0" w:space="0" w:color="auto"/>
                                              </w:divBdr>
                                              <w:divsChild>
                                                <w:div w:id="1039670437">
                                                  <w:marLeft w:val="0"/>
                                                  <w:marRight w:val="0"/>
                                                  <w:marTop w:val="0"/>
                                                  <w:marBottom w:val="0"/>
                                                  <w:divBdr>
                                                    <w:top w:val="none" w:sz="0" w:space="0" w:color="auto"/>
                                                    <w:left w:val="none" w:sz="0" w:space="0" w:color="auto"/>
                                                    <w:bottom w:val="none" w:sz="0" w:space="0" w:color="auto"/>
                                                    <w:right w:val="none" w:sz="0" w:space="0" w:color="auto"/>
                                                  </w:divBdr>
                                                  <w:divsChild>
                                                    <w:div w:id="156269145">
                                                      <w:marLeft w:val="0"/>
                                                      <w:marRight w:val="0"/>
                                                      <w:marTop w:val="0"/>
                                                      <w:marBottom w:val="0"/>
                                                      <w:divBdr>
                                                        <w:top w:val="none" w:sz="0" w:space="0" w:color="auto"/>
                                                        <w:left w:val="none" w:sz="0" w:space="0" w:color="auto"/>
                                                        <w:bottom w:val="none" w:sz="0" w:space="0" w:color="auto"/>
                                                        <w:right w:val="none" w:sz="0" w:space="0" w:color="auto"/>
                                                      </w:divBdr>
                                                    </w:div>
                                                    <w:div w:id="1235123394">
                                                      <w:marLeft w:val="0"/>
                                                      <w:marRight w:val="0"/>
                                                      <w:marTop w:val="0"/>
                                                      <w:marBottom w:val="0"/>
                                                      <w:divBdr>
                                                        <w:top w:val="none" w:sz="0" w:space="0" w:color="auto"/>
                                                        <w:left w:val="none" w:sz="0" w:space="0" w:color="auto"/>
                                                        <w:bottom w:val="none" w:sz="0" w:space="0" w:color="auto"/>
                                                        <w:right w:val="none" w:sz="0" w:space="0" w:color="auto"/>
                                                      </w:divBdr>
                                                    </w:div>
                                                    <w:div w:id="1396853131">
                                                      <w:marLeft w:val="0"/>
                                                      <w:marRight w:val="0"/>
                                                      <w:marTop w:val="0"/>
                                                      <w:marBottom w:val="0"/>
                                                      <w:divBdr>
                                                        <w:top w:val="none" w:sz="0" w:space="0" w:color="auto"/>
                                                        <w:left w:val="none" w:sz="0" w:space="0" w:color="auto"/>
                                                        <w:bottom w:val="none" w:sz="0" w:space="0" w:color="auto"/>
                                                        <w:right w:val="none" w:sz="0" w:space="0" w:color="auto"/>
                                                      </w:divBdr>
                                                    </w:div>
                                                    <w:div w:id="1356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1812">
                                          <w:marLeft w:val="0"/>
                                          <w:marRight w:val="0"/>
                                          <w:marTop w:val="0"/>
                                          <w:marBottom w:val="0"/>
                                          <w:divBdr>
                                            <w:top w:val="none" w:sz="0" w:space="0" w:color="auto"/>
                                            <w:left w:val="none" w:sz="0" w:space="0" w:color="auto"/>
                                            <w:bottom w:val="none" w:sz="0" w:space="0" w:color="auto"/>
                                            <w:right w:val="none" w:sz="0" w:space="0" w:color="auto"/>
                                          </w:divBdr>
                                          <w:divsChild>
                                            <w:div w:id="698161139">
                                              <w:marLeft w:val="0"/>
                                              <w:marRight w:val="0"/>
                                              <w:marTop w:val="0"/>
                                              <w:marBottom w:val="0"/>
                                              <w:divBdr>
                                                <w:top w:val="none" w:sz="0" w:space="0" w:color="auto"/>
                                                <w:left w:val="none" w:sz="0" w:space="0" w:color="auto"/>
                                                <w:bottom w:val="none" w:sz="0" w:space="0" w:color="auto"/>
                                                <w:right w:val="none" w:sz="0" w:space="0" w:color="auto"/>
                                              </w:divBdr>
                                              <w:divsChild>
                                                <w:div w:id="961031426">
                                                  <w:marLeft w:val="0"/>
                                                  <w:marRight w:val="0"/>
                                                  <w:marTop w:val="0"/>
                                                  <w:marBottom w:val="0"/>
                                                  <w:divBdr>
                                                    <w:top w:val="none" w:sz="0" w:space="0" w:color="auto"/>
                                                    <w:left w:val="none" w:sz="0" w:space="0" w:color="auto"/>
                                                    <w:bottom w:val="none" w:sz="0" w:space="0" w:color="auto"/>
                                                    <w:right w:val="none" w:sz="0" w:space="0" w:color="auto"/>
                                                  </w:divBdr>
                                                  <w:divsChild>
                                                    <w:div w:id="1495145789">
                                                      <w:marLeft w:val="0"/>
                                                      <w:marRight w:val="0"/>
                                                      <w:marTop w:val="0"/>
                                                      <w:marBottom w:val="0"/>
                                                      <w:divBdr>
                                                        <w:top w:val="none" w:sz="0" w:space="0" w:color="auto"/>
                                                        <w:left w:val="none" w:sz="0" w:space="0" w:color="auto"/>
                                                        <w:bottom w:val="none" w:sz="0" w:space="0" w:color="auto"/>
                                                        <w:right w:val="none" w:sz="0" w:space="0" w:color="auto"/>
                                                      </w:divBdr>
                                                      <w:divsChild>
                                                        <w:div w:id="14424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679171">
                                          <w:marLeft w:val="0"/>
                                          <w:marRight w:val="0"/>
                                          <w:marTop w:val="360"/>
                                          <w:marBottom w:val="0"/>
                                          <w:divBdr>
                                            <w:top w:val="none" w:sz="0" w:space="0" w:color="auto"/>
                                            <w:left w:val="none" w:sz="0" w:space="0" w:color="auto"/>
                                            <w:bottom w:val="none" w:sz="0" w:space="0" w:color="auto"/>
                                            <w:right w:val="none" w:sz="0" w:space="0" w:color="auto"/>
                                          </w:divBdr>
                                          <w:divsChild>
                                            <w:div w:id="1206217906">
                                              <w:marLeft w:val="0"/>
                                              <w:marRight w:val="0"/>
                                              <w:marTop w:val="0"/>
                                              <w:marBottom w:val="0"/>
                                              <w:divBdr>
                                                <w:top w:val="none" w:sz="0" w:space="0" w:color="auto"/>
                                                <w:left w:val="none" w:sz="0" w:space="0" w:color="auto"/>
                                                <w:bottom w:val="none" w:sz="0" w:space="0" w:color="auto"/>
                                                <w:right w:val="none" w:sz="0" w:space="0" w:color="auto"/>
                                              </w:divBdr>
                                            </w:div>
                                            <w:div w:id="428813265">
                                              <w:marLeft w:val="0"/>
                                              <w:marRight w:val="0"/>
                                              <w:marTop w:val="0"/>
                                              <w:marBottom w:val="0"/>
                                              <w:divBdr>
                                                <w:top w:val="none" w:sz="0" w:space="0" w:color="auto"/>
                                                <w:left w:val="none" w:sz="0" w:space="0" w:color="auto"/>
                                                <w:bottom w:val="none" w:sz="0" w:space="0" w:color="auto"/>
                                                <w:right w:val="none" w:sz="0" w:space="0" w:color="auto"/>
                                              </w:divBdr>
                                            </w:div>
                                            <w:div w:id="2655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413011">
      <w:bodyDiv w:val="1"/>
      <w:marLeft w:val="0"/>
      <w:marRight w:val="0"/>
      <w:marTop w:val="0"/>
      <w:marBottom w:val="0"/>
      <w:divBdr>
        <w:top w:val="none" w:sz="0" w:space="0" w:color="auto"/>
        <w:left w:val="none" w:sz="0" w:space="0" w:color="auto"/>
        <w:bottom w:val="none" w:sz="0" w:space="0" w:color="auto"/>
        <w:right w:val="none" w:sz="0" w:space="0" w:color="auto"/>
      </w:divBdr>
      <w:divsChild>
        <w:div w:id="484397006">
          <w:marLeft w:val="0"/>
          <w:marRight w:val="0"/>
          <w:marTop w:val="0"/>
          <w:marBottom w:val="0"/>
          <w:divBdr>
            <w:top w:val="none" w:sz="0" w:space="0" w:color="auto"/>
            <w:left w:val="none" w:sz="0" w:space="0" w:color="auto"/>
            <w:bottom w:val="none" w:sz="0" w:space="0" w:color="auto"/>
            <w:right w:val="none" w:sz="0" w:space="0" w:color="auto"/>
          </w:divBdr>
        </w:div>
        <w:div w:id="996886253">
          <w:marLeft w:val="0"/>
          <w:marRight w:val="0"/>
          <w:marTop w:val="0"/>
          <w:marBottom w:val="0"/>
          <w:divBdr>
            <w:top w:val="none" w:sz="0" w:space="0" w:color="auto"/>
            <w:left w:val="none" w:sz="0" w:space="0" w:color="auto"/>
            <w:bottom w:val="none" w:sz="0" w:space="0" w:color="auto"/>
            <w:right w:val="none" w:sz="0" w:space="0" w:color="auto"/>
          </w:divBdr>
        </w:div>
        <w:div w:id="105124252">
          <w:marLeft w:val="0"/>
          <w:marRight w:val="0"/>
          <w:marTop w:val="0"/>
          <w:marBottom w:val="0"/>
          <w:divBdr>
            <w:top w:val="none" w:sz="0" w:space="0" w:color="auto"/>
            <w:left w:val="none" w:sz="0" w:space="0" w:color="auto"/>
            <w:bottom w:val="none" w:sz="0" w:space="0" w:color="auto"/>
            <w:right w:val="none" w:sz="0" w:space="0" w:color="auto"/>
          </w:divBdr>
        </w:div>
        <w:div w:id="518011351">
          <w:marLeft w:val="0"/>
          <w:marRight w:val="0"/>
          <w:marTop w:val="0"/>
          <w:marBottom w:val="0"/>
          <w:divBdr>
            <w:top w:val="none" w:sz="0" w:space="0" w:color="auto"/>
            <w:left w:val="none" w:sz="0" w:space="0" w:color="auto"/>
            <w:bottom w:val="none" w:sz="0" w:space="0" w:color="auto"/>
            <w:right w:val="none" w:sz="0" w:space="0" w:color="auto"/>
          </w:divBdr>
        </w:div>
      </w:divsChild>
    </w:div>
    <w:div w:id="36440275">
      <w:bodyDiv w:val="1"/>
      <w:marLeft w:val="0"/>
      <w:marRight w:val="0"/>
      <w:marTop w:val="0"/>
      <w:marBottom w:val="0"/>
      <w:divBdr>
        <w:top w:val="none" w:sz="0" w:space="0" w:color="auto"/>
        <w:left w:val="none" w:sz="0" w:space="0" w:color="auto"/>
        <w:bottom w:val="none" w:sz="0" w:space="0" w:color="auto"/>
        <w:right w:val="none" w:sz="0" w:space="0" w:color="auto"/>
      </w:divBdr>
      <w:divsChild>
        <w:div w:id="654142837">
          <w:marLeft w:val="0"/>
          <w:marRight w:val="0"/>
          <w:marTop w:val="0"/>
          <w:marBottom w:val="0"/>
          <w:divBdr>
            <w:top w:val="none" w:sz="0" w:space="0" w:color="auto"/>
            <w:left w:val="none" w:sz="0" w:space="0" w:color="auto"/>
            <w:bottom w:val="none" w:sz="0" w:space="0" w:color="auto"/>
            <w:right w:val="none" w:sz="0" w:space="0" w:color="auto"/>
          </w:divBdr>
        </w:div>
        <w:div w:id="951588639">
          <w:marLeft w:val="0"/>
          <w:marRight w:val="0"/>
          <w:marTop w:val="0"/>
          <w:marBottom w:val="0"/>
          <w:divBdr>
            <w:top w:val="none" w:sz="0" w:space="0" w:color="auto"/>
            <w:left w:val="none" w:sz="0" w:space="0" w:color="auto"/>
            <w:bottom w:val="none" w:sz="0" w:space="0" w:color="auto"/>
            <w:right w:val="none" w:sz="0" w:space="0" w:color="auto"/>
          </w:divBdr>
        </w:div>
        <w:div w:id="630401098">
          <w:marLeft w:val="0"/>
          <w:marRight w:val="0"/>
          <w:marTop w:val="0"/>
          <w:marBottom w:val="0"/>
          <w:divBdr>
            <w:top w:val="none" w:sz="0" w:space="0" w:color="auto"/>
            <w:left w:val="none" w:sz="0" w:space="0" w:color="auto"/>
            <w:bottom w:val="none" w:sz="0" w:space="0" w:color="auto"/>
            <w:right w:val="none" w:sz="0" w:space="0" w:color="auto"/>
          </w:divBdr>
          <w:divsChild>
            <w:div w:id="2004237109">
              <w:marLeft w:val="0"/>
              <w:marRight w:val="0"/>
              <w:marTop w:val="120"/>
              <w:marBottom w:val="0"/>
              <w:divBdr>
                <w:top w:val="none" w:sz="0" w:space="0" w:color="auto"/>
                <w:left w:val="none" w:sz="0" w:space="0" w:color="auto"/>
                <w:bottom w:val="none" w:sz="0" w:space="0" w:color="auto"/>
                <w:right w:val="none" w:sz="0" w:space="0" w:color="auto"/>
              </w:divBdr>
              <w:divsChild>
                <w:div w:id="1621447359">
                  <w:marLeft w:val="0"/>
                  <w:marRight w:val="0"/>
                  <w:marTop w:val="0"/>
                  <w:marBottom w:val="0"/>
                  <w:divBdr>
                    <w:top w:val="none" w:sz="0" w:space="0" w:color="auto"/>
                    <w:left w:val="none" w:sz="0" w:space="0" w:color="auto"/>
                    <w:bottom w:val="none" w:sz="0" w:space="0" w:color="auto"/>
                    <w:right w:val="none" w:sz="0" w:space="0" w:color="auto"/>
                  </w:divBdr>
                  <w:divsChild>
                    <w:div w:id="1790976194">
                      <w:marLeft w:val="0"/>
                      <w:marRight w:val="0"/>
                      <w:marTop w:val="0"/>
                      <w:marBottom w:val="0"/>
                      <w:divBdr>
                        <w:top w:val="none" w:sz="0" w:space="0" w:color="auto"/>
                        <w:left w:val="none" w:sz="0" w:space="0" w:color="auto"/>
                        <w:bottom w:val="none" w:sz="0" w:space="0" w:color="auto"/>
                        <w:right w:val="none" w:sz="0" w:space="0" w:color="auto"/>
                      </w:divBdr>
                      <w:divsChild>
                        <w:div w:id="2077626258">
                          <w:marLeft w:val="0"/>
                          <w:marRight w:val="0"/>
                          <w:marTop w:val="0"/>
                          <w:marBottom w:val="0"/>
                          <w:divBdr>
                            <w:top w:val="none" w:sz="0" w:space="0" w:color="auto"/>
                            <w:left w:val="none" w:sz="0" w:space="0" w:color="auto"/>
                            <w:bottom w:val="none" w:sz="0" w:space="5" w:color="auto"/>
                            <w:right w:val="none" w:sz="0" w:space="0" w:color="auto"/>
                          </w:divBdr>
                          <w:divsChild>
                            <w:div w:id="1112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89198">
                      <w:marLeft w:val="0"/>
                      <w:marRight w:val="0"/>
                      <w:marTop w:val="0"/>
                      <w:marBottom w:val="0"/>
                      <w:divBdr>
                        <w:top w:val="single" w:sz="2" w:space="9" w:color="auto"/>
                        <w:left w:val="single" w:sz="6" w:space="12" w:color="auto"/>
                        <w:bottom w:val="single" w:sz="6" w:space="12" w:color="auto"/>
                        <w:right w:val="single" w:sz="6" w:space="12" w:color="auto"/>
                      </w:divBdr>
                    </w:div>
                  </w:divsChild>
                </w:div>
              </w:divsChild>
            </w:div>
            <w:div w:id="378285700">
              <w:marLeft w:val="0"/>
              <w:marRight w:val="0"/>
              <w:marTop w:val="0"/>
              <w:marBottom w:val="0"/>
              <w:divBdr>
                <w:top w:val="none" w:sz="0" w:space="0" w:color="auto"/>
                <w:left w:val="none" w:sz="0" w:space="0" w:color="auto"/>
                <w:bottom w:val="none" w:sz="0" w:space="0" w:color="auto"/>
                <w:right w:val="none" w:sz="0" w:space="0" w:color="auto"/>
              </w:divBdr>
              <w:divsChild>
                <w:div w:id="1596085318">
                  <w:marLeft w:val="0"/>
                  <w:marRight w:val="0"/>
                  <w:marTop w:val="0"/>
                  <w:marBottom w:val="0"/>
                  <w:divBdr>
                    <w:top w:val="none" w:sz="0" w:space="0" w:color="auto"/>
                    <w:left w:val="none" w:sz="0" w:space="0" w:color="auto"/>
                    <w:bottom w:val="none" w:sz="0" w:space="0" w:color="auto"/>
                    <w:right w:val="none" w:sz="0" w:space="0" w:color="auto"/>
                  </w:divBdr>
                  <w:divsChild>
                    <w:div w:id="2081782305">
                      <w:marLeft w:val="0"/>
                      <w:marRight w:val="0"/>
                      <w:marTop w:val="0"/>
                      <w:marBottom w:val="0"/>
                      <w:divBdr>
                        <w:top w:val="none" w:sz="0" w:space="0" w:color="auto"/>
                        <w:left w:val="none" w:sz="0" w:space="0" w:color="auto"/>
                        <w:bottom w:val="none" w:sz="0" w:space="0" w:color="auto"/>
                        <w:right w:val="none" w:sz="0" w:space="0" w:color="auto"/>
                      </w:divBdr>
                      <w:divsChild>
                        <w:div w:id="1473717994">
                          <w:marLeft w:val="0"/>
                          <w:marRight w:val="0"/>
                          <w:marTop w:val="0"/>
                          <w:marBottom w:val="0"/>
                          <w:divBdr>
                            <w:top w:val="none" w:sz="0" w:space="0" w:color="auto"/>
                            <w:left w:val="none" w:sz="0" w:space="0" w:color="auto"/>
                            <w:bottom w:val="none" w:sz="0" w:space="0" w:color="auto"/>
                            <w:right w:val="none" w:sz="0" w:space="0" w:color="auto"/>
                          </w:divBdr>
                          <w:divsChild>
                            <w:div w:id="691611019">
                              <w:marLeft w:val="0"/>
                              <w:marRight w:val="0"/>
                              <w:marTop w:val="0"/>
                              <w:marBottom w:val="0"/>
                              <w:divBdr>
                                <w:top w:val="none" w:sz="0" w:space="0" w:color="auto"/>
                                <w:left w:val="none" w:sz="0" w:space="0" w:color="auto"/>
                                <w:bottom w:val="none" w:sz="0" w:space="0" w:color="auto"/>
                                <w:right w:val="none" w:sz="0" w:space="0" w:color="auto"/>
                              </w:divBdr>
                              <w:divsChild>
                                <w:div w:id="58595831">
                                  <w:marLeft w:val="0"/>
                                  <w:marRight w:val="0"/>
                                  <w:marTop w:val="0"/>
                                  <w:marBottom w:val="0"/>
                                  <w:divBdr>
                                    <w:top w:val="none" w:sz="0" w:space="0" w:color="auto"/>
                                    <w:left w:val="none" w:sz="0" w:space="0" w:color="auto"/>
                                    <w:bottom w:val="none" w:sz="0" w:space="0" w:color="auto"/>
                                    <w:right w:val="none" w:sz="0" w:space="0" w:color="auto"/>
                                  </w:divBdr>
                                  <w:divsChild>
                                    <w:div w:id="1016734819">
                                      <w:marLeft w:val="0"/>
                                      <w:marRight w:val="0"/>
                                      <w:marTop w:val="0"/>
                                      <w:marBottom w:val="0"/>
                                      <w:divBdr>
                                        <w:top w:val="none" w:sz="0" w:space="0" w:color="auto"/>
                                        <w:left w:val="none" w:sz="0" w:space="0" w:color="auto"/>
                                        <w:bottom w:val="none" w:sz="0" w:space="0" w:color="auto"/>
                                        <w:right w:val="none" w:sz="0" w:space="0" w:color="auto"/>
                                      </w:divBdr>
                                      <w:divsChild>
                                        <w:div w:id="1883790020">
                                          <w:marLeft w:val="0"/>
                                          <w:marRight w:val="0"/>
                                          <w:marTop w:val="0"/>
                                          <w:marBottom w:val="0"/>
                                          <w:divBdr>
                                            <w:top w:val="none" w:sz="0" w:space="0" w:color="auto"/>
                                            <w:left w:val="none" w:sz="0" w:space="0" w:color="auto"/>
                                            <w:bottom w:val="none" w:sz="0" w:space="0" w:color="auto"/>
                                            <w:right w:val="none" w:sz="0" w:space="0" w:color="auto"/>
                                          </w:divBdr>
                                          <w:divsChild>
                                            <w:div w:id="911503147">
                                              <w:marLeft w:val="0"/>
                                              <w:marRight w:val="0"/>
                                              <w:marTop w:val="0"/>
                                              <w:marBottom w:val="0"/>
                                              <w:divBdr>
                                                <w:top w:val="none" w:sz="0" w:space="0" w:color="auto"/>
                                                <w:left w:val="none" w:sz="0" w:space="0" w:color="auto"/>
                                                <w:bottom w:val="none" w:sz="0" w:space="0" w:color="auto"/>
                                                <w:right w:val="none" w:sz="0" w:space="0" w:color="auto"/>
                                              </w:divBdr>
                                              <w:divsChild>
                                                <w:div w:id="1360159389">
                                                  <w:marLeft w:val="0"/>
                                                  <w:marRight w:val="0"/>
                                                  <w:marTop w:val="0"/>
                                                  <w:marBottom w:val="0"/>
                                                  <w:divBdr>
                                                    <w:top w:val="none" w:sz="0" w:space="0" w:color="auto"/>
                                                    <w:left w:val="none" w:sz="0" w:space="0" w:color="auto"/>
                                                    <w:bottom w:val="none" w:sz="0" w:space="0" w:color="auto"/>
                                                    <w:right w:val="none" w:sz="0" w:space="0" w:color="auto"/>
                                                  </w:divBdr>
                                                  <w:divsChild>
                                                    <w:div w:id="1177965102">
                                                      <w:marLeft w:val="0"/>
                                                      <w:marRight w:val="0"/>
                                                      <w:marTop w:val="0"/>
                                                      <w:marBottom w:val="0"/>
                                                      <w:divBdr>
                                                        <w:top w:val="none" w:sz="0" w:space="0" w:color="auto"/>
                                                        <w:left w:val="none" w:sz="0" w:space="0" w:color="auto"/>
                                                        <w:bottom w:val="none" w:sz="0" w:space="0" w:color="auto"/>
                                                        <w:right w:val="none" w:sz="0" w:space="0" w:color="auto"/>
                                                      </w:divBdr>
                                                      <w:divsChild>
                                                        <w:div w:id="656880725">
                                                          <w:marLeft w:val="0"/>
                                                          <w:marRight w:val="0"/>
                                                          <w:marTop w:val="0"/>
                                                          <w:marBottom w:val="0"/>
                                                          <w:divBdr>
                                                            <w:top w:val="none" w:sz="0" w:space="0" w:color="auto"/>
                                                            <w:left w:val="none" w:sz="0" w:space="0" w:color="auto"/>
                                                            <w:bottom w:val="none" w:sz="0" w:space="0" w:color="auto"/>
                                                            <w:right w:val="none" w:sz="0" w:space="0" w:color="auto"/>
                                                          </w:divBdr>
                                                          <w:divsChild>
                                                            <w:div w:id="1315796177">
                                                              <w:marLeft w:val="0"/>
                                                              <w:marRight w:val="0"/>
                                                              <w:marTop w:val="180"/>
                                                              <w:marBottom w:val="0"/>
                                                              <w:divBdr>
                                                                <w:top w:val="none" w:sz="0" w:space="0" w:color="auto"/>
                                                                <w:left w:val="none" w:sz="0" w:space="0" w:color="auto"/>
                                                                <w:bottom w:val="none" w:sz="0" w:space="0" w:color="auto"/>
                                                                <w:right w:val="none" w:sz="0" w:space="0" w:color="auto"/>
                                                              </w:divBdr>
                                                              <w:divsChild>
                                                                <w:div w:id="892618763">
                                                                  <w:marLeft w:val="0"/>
                                                                  <w:marRight w:val="0"/>
                                                                  <w:marTop w:val="0"/>
                                                                  <w:marBottom w:val="0"/>
                                                                  <w:divBdr>
                                                                    <w:top w:val="none" w:sz="0" w:space="0" w:color="auto"/>
                                                                    <w:left w:val="none" w:sz="0" w:space="0" w:color="auto"/>
                                                                    <w:bottom w:val="none" w:sz="0" w:space="0" w:color="auto"/>
                                                                    <w:right w:val="none" w:sz="0" w:space="0" w:color="auto"/>
                                                                  </w:divBdr>
                                                                  <w:divsChild>
                                                                    <w:div w:id="1476020918">
                                                                      <w:marLeft w:val="0"/>
                                                                      <w:marRight w:val="0"/>
                                                                      <w:marTop w:val="0"/>
                                                                      <w:marBottom w:val="0"/>
                                                                      <w:divBdr>
                                                                        <w:top w:val="none" w:sz="0" w:space="0" w:color="auto"/>
                                                                        <w:left w:val="none" w:sz="0" w:space="0" w:color="auto"/>
                                                                        <w:bottom w:val="none" w:sz="0" w:space="0" w:color="auto"/>
                                                                        <w:right w:val="none" w:sz="0" w:space="0" w:color="auto"/>
                                                                      </w:divBdr>
                                                                      <w:divsChild>
                                                                        <w:div w:id="972715435">
                                                                          <w:marLeft w:val="0"/>
                                                                          <w:marRight w:val="0"/>
                                                                          <w:marTop w:val="0"/>
                                                                          <w:marBottom w:val="0"/>
                                                                          <w:divBdr>
                                                                            <w:top w:val="none" w:sz="0" w:space="0" w:color="auto"/>
                                                                            <w:left w:val="none" w:sz="0" w:space="0" w:color="auto"/>
                                                                            <w:bottom w:val="none" w:sz="0" w:space="0" w:color="auto"/>
                                                                            <w:right w:val="none" w:sz="0" w:space="0" w:color="auto"/>
                                                                          </w:divBdr>
                                                                          <w:divsChild>
                                                                            <w:div w:id="150799188">
                                                                              <w:marLeft w:val="0"/>
                                                                              <w:marRight w:val="0"/>
                                                                              <w:marTop w:val="0"/>
                                                                              <w:marBottom w:val="0"/>
                                                                              <w:divBdr>
                                                                                <w:top w:val="none" w:sz="0" w:space="0" w:color="auto"/>
                                                                                <w:left w:val="none" w:sz="0" w:space="0" w:color="auto"/>
                                                                                <w:bottom w:val="none" w:sz="0" w:space="0" w:color="auto"/>
                                                                                <w:right w:val="none" w:sz="0" w:space="0" w:color="auto"/>
                                                                              </w:divBdr>
                                                                              <w:divsChild>
                                                                                <w:div w:id="350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786343">
      <w:bodyDiv w:val="1"/>
      <w:marLeft w:val="0"/>
      <w:marRight w:val="0"/>
      <w:marTop w:val="0"/>
      <w:marBottom w:val="0"/>
      <w:divBdr>
        <w:top w:val="none" w:sz="0" w:space="0" w:color="auto"/>
        <w:left w:val="none" w:sz="0" w:space="0" w:color="auto"/>
        <w:bottom w:val="none" w:sz="0" w:space="0" w:color="auto"/>
        <w:right w:val="none" w:sz="0" w:space="0" w:color="auto"/>
      </w:divBdr>
      <w:divsChild>
        <w:div w:id="488405043">
          <w:marLeft w:val="0"/>
          <w:marRight w:val="0"/>
          <w:marTop w:val="0"/>
          <w:marBottom w:val="0"/>
          <w:divBdr>
            <w:top w:val="none" w:sz="0" w:space="0" w:color="auto"/>
            <w:left w:val="none" w:sz="0" w:space="0" w:color="auto"/>
            <w:bottom w:val="none" w:sz="0" w:space="0" w:color="auto"/>
            <w:right w:val="none" w:sz="0" w:space="0" w:color="auto"/>
          </w:divBdr>
        </w:div>
        <w:div w:id="1909265495">
          <w:marLeft w:val="0"/>
          <w:marRight w:val="0"/>
          <w:marTop w:val="0"/>
          <w:marBottom w:val="0"/>
          <w:divBdr>
            <w:top w:val="none" w:sz="0" w:space="0" w:color="auto"/>
            <w:left w:val="none" w:sz="0" w:space="0" w:color="auto"/>
            <w:bottom w:val="none" w:sz="0" w:space="0" w:color="auto"/>
            <w:right w:val="none" w:sz="0" w:space="0" w:color="auto"/>
          </w:divBdr>
        </w:div>
        <w:div w:id="1385955406">
          <w:marLeft w:val="0"/>
          <w:marRight w:val="0"/>
          <w:marTop w:val="0"/>
          <w:marBottom w:val="0"/>
          <w:divBdr>
            <w:top w:val="none" w:sz="0" w:space="0" w:color="auto"/>
            <w:left w:val="none" w:sz="0" w:space="0" w:color="auto"/>
            <w:bottom w:val="none" w:sz="0" w:space="0" w:color="auto"/>
            <w:right w:val="none" w:sz="0" w:space="0" w:color="auto"/>
          </w:divBdr>
        </w:div>
        <w:div w:id="778792605">
          <w:marLeft w:val="0"/>
          <w:marRight w:val="0"/>
          <w:marTop w:val="0"/>
          <w:marBottom w:val="0"/>
          <w:divBdr>
            <w:top w:val="none" w:sz="0" w:space="0" w:color="auto"/>
            <w:left w:val="none" w:sz="0" w:space="0" w:color="auto"/>
            <w:bottom w:val="none" w:sz="0" w:space="0" w:color="auto"/>
            <w:right w:val="none" w:sz="0" w:space="0" w:color="auto"/>
          </w:divBdr>
        </w:div>
        <w:div w:id="509105185">
          <w:marLeft w:val="0"/>
          <w:marRight w:val="0"/>
          <w:marTop w:val="0"/>
          <w:marBottom w:val="0"/>
          <w:divBdr>
            <w:top w:val="none" w:sz="0" w:space="0" w:color="auto"/>
            <w:left w:val="none" w:sz="0" w:space="0" w:color="auto"/>
            <w:bottom w:val="none" w:sz="0" w:space="0" w:color="auto"/>
            <w:right w:val="none" w:sz="0" w:space="0" w:color="auto"/>
          </w:divBdr>
        </w:div>
        <w:div w:id="439687508">
          <w:marLeft w:val="0"/>
          <w:marRight w:val="0"/>
          <w:marTop w:val="0"/>
          <w:marBottom w:val="0"/>
          <w:divBdr>
            <w:top w:val="none" w:sz="0" w:space="0" w:color="auto"/>
            <w:left w:val="none" w:sz="0" w:space="0" w:color="auto"/>
            <w:bottom w:val="none" w:sz="0" w:space="0" w:color="auto"/>
            <w:right w:val="none" w:sz="0" w:space="0" w:color="auto"/>
          </w:divBdr>
        </w:div>
        <w:div w:id="1094473991">
          <w:marLeft w:val="0"/>
          <w:marRight w:val="0"/>
          <w:marTop w:val="0"/>
          <w:marBottom w:val="0"/>
          <w:divBdr>
            <w:top w:val="none" w:sz="0" w:space="0" w:color="auto"/>
            <w:left w:val="none" w:sz="0" w:space="0" w:color="auto"/>
            <w:bottom w:val="none" w:sz="0" w:space="0" w:color="auto"/>
            <w:right w:val="none" w:sz="0" w:space="0" w:color="auto"/>
          </w:divBdr>
        </w:div>
        <w:div w:id="32118000">
          <w:marLeft w:val="0"/>
          <w:marRight w:val="0"/>
          <w:marTop w:val="0"/>
          <w:marBottom w:val="0"/>
          <w:divBdr>
            <w:top w:val="none" w:sz="0" w:space="0" w:color="auto"/>
            <w:left w:val="none" w:sz="0" w:space="0" w:color="auto"/>
            <w:bottom w:val="none" w:sz="0" w:space="0" w:color="auto"/>
            <w:right w:val="none" w:sz="0" w:space="0" w:color="auto"/>
          </w:divBdr>
        </w:div>
        <w:div w:id="226040924">
          <w:marLeft w:val="0"/>
          <w:marRight w:val="0"/>
          <w:marTop w:val="0"/>
          <w:marBottom w:val="0"/>
          <w:divBdr>
            <w:top w:val="none" w:sz="0" w:space="0" w:color="auto"/>
            <w:left w:val="none" w:sz="0" w:space="0" w:color="auto"/>
            <w:bottom w:val="none" w:sz="0" w:space="0" w:color="auto"/>
            <w:right w:val="none" w:sz="0" w:space="0" w:color="auto"/>
          </w:divBdr>
        </w:div>
      </w:divsChild>
    </w:div>
    <w:div w:id="47653988">
      <w:bodyDiv w:val="1"/>
      <w:marLeft w:val="0"/>
      <w:marRight w:val="0"/>
      <w:marTop w:val="0"/>
      <w:marBottom w:val="0"/>
      <w:divBdr>
        <w:top w:val="none" w:sz="0" w:space="0" w:color="auto"/>
        <w:left w:val="none" w:sz="0" w:space="0" w:color="auto"/>
        <w:bottom w:val="none" w:sz="0" w:space="0" w:color="auto"/>
        <w:right w:val="none" w:sz="0" w:space="0" w:color="auto"/>
      </w:divBdr>
      <w:divsChild>
        <w:div w:id="1592011039">
          <w:marLeft w:val="0"/>
          <w:marRight w:val="0"/>
          <w:marTop w:val="0"/>
          <w:marBottom w:val="0"/>
          <w:divBdr>
            <w:top w:val="none" w:sz="0" w:space="0" w:color="auto"/>
            <w:left w:val="none" w:sz="0" w:space="0" w:color="auto"/>
            <w:bottom w:val="none" w:sz="0" w:space="0" w:color="auto"/>
            <w:right w:val="none" w:sz="0" w:space="0" w:color="auto"/>
          </w:divBdr>
        </w:div>
      </w:divsChild>
    </w:div>
    <w:div w:id="89129992">
      <w:bodyDiv w:val="1"/>
      <w:marLeft w:val="0"/>
      <w:marRight w:val="0"/>
      <w:marTop w:val="0"/>
      <w:marBottom w:val="0"/>
      <w:divBdr>
        <w:top w:val="none" w:sz="0" w:space="0" w:color="auto"/>
        <w:left w:val="none" w:sz="0" w:space="0" w:color="auto"/>
        <w:bottom w:val="none" w:sz="0" w:space="0" w:color="auto"/>
        <w:right w:val="none" w:sz="0" w:space="0" w:color="auto"/>
      </w:divBdr>
      <w:divsChild>
        <w:div w:id="1474908942">
          <w:marLeft w:val="0"/>
          <w:marRight w:val="0"/>
          <w:marTop w:val="0"/>
          <w:marBottom w:val="0"/>
          <w:divBdr>
            <w:top w:val="none" w:sz="0" w:space="0" w:color="auto"/>
            <w:left w:val="none" w:sz="0" w:space="0" w:color="auto"/>
            <w:bottom w:val="none" w:sz="0" w:space="0" w:color="auto"/>
            <w:right w:val="none" w:sz="0" w:space="0" w:color="auto"/>
          </w:divBdr>
        </w:div>
        <w:div w:id="1876694743">
          <w:marLeft w:val="0"/>
          <w:marRight w:val="0"/>
          <w:marTop w:val="0"/>
          <w:marBottom w:val="0"/>
          <w:divBdr>
            <w:top w:val="none" w:sz="0" w:space="0" w:color="auto"/>
            <w:left w:val="none" w:sz="0" w:space="0" w:color="auto"/>
            <w:bottom w:val="none" w:sz="0" w:space="0" w:color="auto"/>
            <w:right w:val="none" w:sz="0" w:space="0" w:color="auto"/>
          </w:divBdr>
        </w:div>
        <w:div w:id="1092162899">
          <w:marLeft w:val="0"/>
          <w:marRight w:val="0"/>
          <w:marTop w:val="0"/>
          <w:marBottom w:val="0"/>
          <w:divBdr>
            <w:top w:val="none" w:sz="0" w:space="0" w:color="auto"/>
            <w:left w:val="none" w:sz="0" w:space="0" w:color="auto"/>
            <w:bottom w:val="none" w:sz="0" w:space="0" w:color="auto"/>
            <w:right w:val="none" w:sz="0" w:space="0" w:color="auto"/>
          </w:divBdr>
        </w:div>
        <w:div w:id="320427201">
          <w:marLeft w:val="0"/>
          <w:marRight w:val="0"/>
          <w:marTop w:val="0"/>
          <w:marBottom w:val="0"/>
          <w:divBdr>
            <w:top w:val="none" w:sz="0" w:space="0" w:color="auto"/>
            <w:left w:val="none" w:sz="0" w:space="0" w:color="auto"/>
            <w:bottom w:val="none" w:sz="0" w:space="0" w:color="auto"/>
            <w:right w:val="none" w:sz="0" w:space="0" w:color="auto"/>
          </w:divBdr>
        </w:div>
      </w:divsChild>
    </w:div>
    <w:div w:id="95953430">
      <w:bodyDiv w:val="1"/>
      <w:marLeft w:val="0"/>
      <w:marRight w:val="0"/>
      <w:marTop w:val="0"/>
      <w:marBottom w:val="0"/>
      <w:divBdr>
        <w:top w:val="none" w:sz="0" w:space="0" w:color="auto"/>
        <w:left w:val="none" w:sz="0" w:space="0" w:color="auto"/>
        <w:bottom w:val="none" w:sz="0" w:space="0" w:color="auto"/>
        <w:right w:val="none" w:sz="0" w:space="0" w:color="auto"/>
      </w:divBdr>
      <w:divsChild>
        <w:div w:id="2127385610">
          <w:marLeft w:val="0"/>
          <w:marRight w:val="0"/>
          <w:marTop w:val="0"/>
          <w:marBottom w:val="0"/>
          <w:divBdr>
            <w:top w:val="none" w:sz="0" w:space="0" w:color="auto"/>
            <w:left w:val="none" w:sz="0" w:space="0" w:color="auto"/>
            <w:bottom w:val="none" w:sz="0" w:space="0" w:color="auto"/>
            <w:right w:val="none" w:sz="0" w:space="0" w:color="auto"/>
          </w:divBdr>
        </w:div>
      </w:divsChild>
    </w:div>
    <w:div w:id="115607686">
      <w:bodyDiv w:val="1"/>
      <w:marLeft w:val="0"/>
      <w:marRight w:val="0"/>
      <w:marTop w:val="0"/>
      <w:marBottom w:val="0"/>
      <w:divBdr>
        <w:top w:val="none" w:sz="0" w:space="0" w:color="auto"/>
        <w:left w:val="none" w:sz="0" w:space="0" w:color="auto"/>
        <w:bottom w:val="none" w:sz="0" w:space="0" w:color="auto"/>
        <w:right w:val="none" w:sz="0" w:space="0" w:color="auto"/>
      </w:divBdr>
      <w:divsChild>
        <w:div w:id="1576041171">
          <w:marLeft w:val="0"/>
          <w:marRight w:val="0"/>
          <w:marTop w:val="0"/>
          <w:marBottom w:val="0"/>
          <w:divBdr>
            <w:top w:val="none" w:sz="0" w:space="0" w:color="auto"/>
            <w:left w:val="none" w:sz="0" w:space="0" w:color="auto"/>
            <w:bottom w:val="none" w:sz="0" w:space="0" w:color="auto"/>
            <w:right w:val="none" w:sz="0" w:space="0" w:color="auto"/>
          </w:divBdr>
        </w:div>
        <w:div w:id="729112757">
          <w:marLeft w:val="0"/>
          <w:marRight w:val="0"/>
          <w:marTop w:val="0"/>
          <w:marBottom w:val="0"/>
          <w:divBdr>
            <w:top w:val="none" w:sz="0" w:space="0" w:color="auto"/>
            <w:left w:val="none" w:sz="0" w:space="0" w:color="auto"/>
            <w:bottom w:val="none" w:sz="0" w:space="0" w:color="auto"/>
            <w:right w:val="none" w:sz="0" w:space="0" w:color="auto"/>
          </w:divBdr>
        </w:div>
        <w:div w:id="620842270">
          <w:marLeft w:val="0"/>
          <w:marRight w:val="0"/>
          <w:marTop w:val="0"/>
          <w:marBottom w:val="0"/>
          <w:divBdr>
            <w:top w:val="none" w:sz="0" w:space="0" w:color="auto"/>
            <w:left w:val="none" w:sz="0" w:space="0" w:color="auto"/>
            <w:bottom w:val="none" w:sz="0" w:space="0" w:color="auto"/>
            <w:right w:val="none" w:sz="0" w:space="0" w:color="auto"/>
          </w:divBdr>
        </w:div>
        <w:div w:id="293877570">
          <w:marLeft w:val="0"/>
          <w:marRight w:val="0"/>
          <w:marTop w:val="0"/>
          <w:marBottom w:val="0"/>
          <w:divBdr>
            <w:top w:val="none" w:sz="0" w:space="0" w:color="auto"/>
            <w:left w:val="none" w:sz="0" w:space="0" w:color="auto"/>
            <w:bottom w:val="none" w:sz="0" w:space="0" w:color="auto"/>
            <w:right w:val="none" w:sz="0" w:space="0" w:color="auto"/>
          </w:divBdr>
        </w:div>
        <w:div w:id="4064385">
          <w:marLeft w:val="0"/>
          <w:marRight w:val="0"/>
          <w:marTop w:val="0"/>
          <w:marBottom w:val="0"/>
          <w:divBdr>
            <w:top w:val="none" w:sz="0" w:space="0" w:color="auto"/>
            <w:left w:val="none" w:sz="0" w:space="0" w:color="auto"/>
            <w:bottom w:val="none" w:sz="0" w:space="0" w:color="auto"/>
            <w:right w:val="none" w:sz="0" w:space="0" w:color="auto"/>
          </w:divBdr>
        </w:div>
        <w:div w:id="1255432759">
          <w:marLeft w:val="0"/>
          <w:marRight w:val="0"/>
          <w:marTop w:val="0"/>
          <w:marBottom w:val="0"/>
          <w:divBdr>
            <w:top w:val="none" w:sz="0" w:space="0" w:color="auto"/>
            <w:left w:val="none" w:sz="0" w:space="0" w:color="auto"/>
            <w:bottom w:val="none" w:sz="0" w:space="0" w:color="auto"/>
            <w:right w:val="none" w:sz="0" w:space="0" w:color="auto"/>
          </w:divBdr>
        </w:div>
        <w:div w:id="1935820689">
          <w:marLeft w:val="0"/>
          <w:marRight w:val="0"/>
          <w:marTop w:val="0"/>
          <w:marBottom w:val="0"/>
          <w:divBdr>
            <w:top w:val="none" w:sz="0" w:space="0" w:color="auto"/>
            <w:left w:val="none" w:sz="0" w:space="0" w:color="auto"/>
            <w:bottom w:val="none" w:sz="0" w:space="0" w:color="auto"/>
            <w:right w:val="none" w:sz="0" w:space="0" w:color="auto"/>
          </w:divBdr>
        </w:div>
      </w:divsChild>
    </w:div>
    <w:div w:id="126554846">
      <w:bodyDiv w:val="1"/>
      <w:marLeft w:val="0"/>
      <w:marRight w:val="0"/>
      <w:marTop w:val="0"/>
      <w:marBottom w:val="0"/>
      <w:divBdr>
        <w:top w:val="none" w:sz="0" w:space="0" w:color="auto"/>
        <w:left w:val="none" w:sz="0" w:space="0" w:color="auto"/>
        <w:bottom w:val="none" w:sz="0" w:space="0" w:color="auto"/>
        <w:right w:val="none" w:sz="0" w:space="0" w:color="auto"/>
      </w:divBdr>
      <w:divsChild>
        <w:div w:id="2052025620">
          <w:marLeft w:val="0"/>
          <w:marRight w:val="0"/>
          <w:marTop w:val="0"/>
          <w:marBottom w:val="0"/>
          <w:divBdr>
            <w:top w:val="none" w:sz="0" w:space="0" w:color="auto"/>
            <w:left w:val="none" w:sz="0" w:space="0" w:color="auto"/>
            <w:bottom w:val="none" w:sz="0" w:space="0" w:color="auto"/>
            <w:right w:val="none" w:sz="0" w:space="0" w:color="auto"/>
          </w:divBdr>
        </w:div>
        <w:div w:id="1070736823">
          <w:marLeft w:val="0"/>
          <w:marRight w:val="0"/>
          <w:marTop w:val="0"/>
          <w:marBottom w:val="0"/>
          <w:divBdr>
            <w:top w:val="none" w:sz="0" w:space="0" w:color="auto"/>
            <w:left w:val="none" w:sz="0" w:space="0" w:color="auto"/>
            <w:bottom w:val="none" w:sz="0" w:space="0" w:color="auto"/>
            <w:right w:val="none" w:sz="0" w:space="0" w:color="auto"/>
          </w:divBdr>
        </w:div>
        <w:div w:id="2043750708">
          <w:marLeft w:val="0"/>
          <w:marRight w:val="0"/>
          <w:marTop w:val="0"/>
          <w:marBottom w:val="0"/>
          <w:divBdr>
            <w:top w:val="none" w:sz="0" w:space="0" w:color="auto"/>
            <w:left w:val="none" w:sz="0" w:space="0" w:color="auto"/>
            <w:bottom w:val="none" w:sz="0" w:space="0" w:color="auto"/>
            <w:right w:val="none" w:sz="0" w:space="0" w:color="auto"/>
          </w:divBdr>
        </w:div>
        <w:div w:id="676032420">
          <w:marLeft w:val="0"/>
          <w:marRight w:val="0"/>
          <w:marTop w:val="0"/>
          <w:marBottom w:val="0"/>
          <w:divBdr>
            <w:top w:val="none" w:sz="0" w:space="0" w:color="auto"/>
            <w:left w:val="none" w:sz="0" w:space="0" w:color="auto"/>
            <w:bottom w:val="none" w:sz="0" w:space="0" w:color="auto"/>
            <w:right w:val="none" w:sz="0" w:space="0" w:color="auto"/>
          </w:divBdr>
        </w:div>
        <w:div w:id="1866629098">
          <w:marLeft w:val="0"/>
          <w:marRight w:val="0"/>
          <w:marTop w:val="0"/>
          <w:marBottom w:val="0"/>
          <w:divBdr>
            <w:top w:val="none" w:sz="0" w:space="0" w:color="auto"/>
            <w:left w:val="none" w:sz="0" w:space="0" w:color="auto"/>
            <w:bottom w:val="none" w:sz="0" w:space="0" w:color="auto"/>
            <w:right w:val="none" w:sz="0" w:space="0" w:color="auto"/>
          </w:divBdr>
        </w:div>
        <w:div w:id="1273629566">
          <w:marLeft w:val="0"/>
          <w:marRight w:val="0"/>
          <w:marTop w:val="0"/>
          <w:marBottom w:val="0"/>
          <w:divBdr>
            <w:top w:val="none" w:sz="0" w:space="0" w:color="auto"/>
            <w:left w:val="none" w:sz="0" w:space="0" w:color="auto"/>
            <w:bottom w:val="none" w:sz="0" w:space="0" w:color="auto"/>
            <w:right w:val="none" w:sz="0" w:space="0" w:color="auto"/>
          </w:divBdr>
        </w:div>
      </w:divsChild>
    </w:div>
    <w:div w:id="135800775">
      <w:bodyDiv w:val="1"/>
      <w:marLeft w:val="0"/>
      <w:marRight w:val="0"/>
      <w:marTop w:val="0"/>
      <w:marBottom w:val="0"/>
      <w:divBdr>
        <w:top w:val="none" w:sz="0" w:space="0" w:color="auto"/>
        <w:left w:val="none" w:sz="0" w:space="0" w:color="auto"/>
        <w:bottom w:val="none" w:sz="0" w:space="0" w:color="auto"/>
        <w:right w:val="none" w:sz="0" w:space="0" w:color="auto"/>
      </w:divBdr>
      <w:divsChild>
        <w:div w:id="31195532">
          <w:marLeft w:val="0"/>
          <w:marRight w:val="0"/>
          <w:marTop w:val="120"/>
          <w:marBottom w:val="120"/>
          <w:divBdr>
            <w:top w:val="none" w:sz="0" w:space="0" w:color="auto"/>
            <w:left w:val="none" w:sz="0" w:space="0" w:color="auto"/>
            <w:bottom w:val="none" w:sz="0" w:space="0" w:color="auto"/>
            <w:right w:val="none" w:sz="0" w:space="0" w:color="auto"/>
          </w:divBdr>
        </w:div>
        <w:div w:id="1879316703">
          <w:marLeft w:val="0"/>
          <w:marRight w:val="0"/>
          <w:marTop w:val="540"/>
          <w:marBottom w:val="270"/>
          <w:divBdr>
            <w:top w:val="none" w:sz="0" w:space="0" w:color="auto"/>
            <w:left w:val="none" w:sz="0" w:space="0" w:color="auto"/>
            <w:bottom w:val="none" w:sz="0" w:space="0" w:color="auto"/>
            <w:right w:val="none" w:sz="0" w:space="0" w:color="auto"/>
          </w:divBdr>
        </w:div>
        <w:div w:id="596644350">
          <w:marLeft w:val="0"/>
          <w:marRight w:val="0"/>
          <w:marTop w:val="120"/>
          <w:marBottom w:val="120"/>
          <w:divBdr>
            <w:top w:val="none" w:sz="0" w:space="0" w:color="auto"/>
            <w:left w:val="none" w:sz="0" w:space="0" w:color="auto"/>
            <w:bottom w:val="none" w:sz="0" w:space="0" w:color="auto"/>
            <w:right w:val="none" w:sz="0" w:space="0" w:color="auto"/>
          </w:divBdr>
        </w:div>
        <w:div w:id="1193614443">
          <w:marLeft w:val="0"/>
          <w:marRight w:val="0"/>
          <w:marTop w:val="540"/>
          <w:marBottom w:val="270"/>
          <w:divBdr>
            <w:top w:val="none" w:sz="0" w:space="0" w:color="auto"/>
            <w:left w:val="none" w:sz="0" w:space="0" w:color="auto"/>
            <w:bottom w:val="none" w:sz="0" w:space="0" w:color="auto"/>
            <w:right w:val="none" w:sz="0" w:space="0" w:color="auto"/>
          </w:divBdr>
        </w:div>
        <w:div w:id="1410931462">
          <w:marLeft w:val="0"/>
          <w:marRight w:val="0"/>
          <w:marTop w:val="120"/>
          <w:marBottom w:val="120"/>
          <w:divBdr>
            <w:top w:val="none" w:sz="0" w:space="0" w:color="auto"/>
            <w:left w:val="none" w:sz="0" w:space="0" w:color="auto"/>
            <w:bottom w:val="none" w:sz="0" w:space="0" w:color="auto"/>
            <w:right w:val="none" w:sz="0" w:space="0" w:color="auto"/>
          </w:divBdr>
        </w:div>
        <w:div w:id="1368070771">
          <w:marLeft w:val="0"/>
          <w:marRight w:val="0"/>
          <w:marTop w:val="540"/>
          <w:marBottom w:val="270"/>
          <w:divBdr>
            <w:top w:val="none" w:sz="0" w:space="0" w:color="auto"/>
            <w:left w:val="none" w:sz="0" w:space="0" w:color="auto"/>
            <w:bottom w:val="none" w:sz="0" w:space="0" w:color="auto"/>
            <w:right w:val="none" w:sz="0" w:space="0" w:color="auto"/>
          </w:divBdr>
        </w:div>
        <w:div w:id="1153251260">
          <w:marLeft w:val="0"/>
          <w:marRight w:val="0"/>
          <w:marTop w:val="120"/>
          <w:marBottom w:val="120"/>
          <w:divBdr>
            <w:top w:val="none" w:sz="0" w:space="0" w:color="auto"/>
            <w:left w:val="none" w:sz="0" w:space="0" w:color="auto"/>
            <w:bottom w:val="none" w:sz="0" w:space="0" w:color="auto"/>
            <w:right w:val="none" w:sz="0" w:space="0" w:color="auto"/>
          </w:divBdr>
        </w:div>
        <w:div w:id="784347637">
          <w:marLeft w:val="0"/>
          <w:marRight w:val="0"/>
          <w:marTop w:val="540"/>
          <w:marBottom w:val="270"/>
          <w:divBdr>
            <w:top w:val="none" w:sz="0" w:space="0" w:color="auto"/>
            <w:left w:val="none" w:sz="0" w:space="0" w:color="auto"/>
            <w:bottom w:val="none" w:sz="0" w:space="0" w:color="auto"/>
            <w:right w:val="none" w:sz="0" w:space="0" w:color="auto"/>
          </w:divBdr>
        </w:div>
        <w:div w:id="655845534">
          <w:marLeft w:val="0"/>
          <w:marRight w:val="0"/>
          <w:marTop w:val="120"/>
          <w:marBottom w:val="120"/>
          <w:divBdr>
            <w:top w:val="none" w:sz="0" w:space="0" w:color="auto"/>
            <w:left w:val="none" w:sz="0" w:space="0" w:color="auto"/>
            <w:bottom w:val="none" w:sz="0" w:space="0" w:color="auto"/>
            <w:right w:val="none" w:sz="0" w:space="0" w:color="auto"/>
          </w:divBdr>
        </w:div>
        <w:div w:id="482817064">
          <w:marLeft w:val="0"/>
          <w:marRight w:val="0"/>
          <w:marTop w:val="540"/>
          <w:marBottom w:val="270"/>
          <w:divBdr>
            <w:top w:val="none" w:sz="0" w:space="0" w:color="auto"/>
            <w:left w:val="none" w:sz="0" w:space="0" w:color="auto"/>
            <w:bottom w:val="none" w:sz="0" w:space="0" w:color="auto"/>
            <w:right w:val="none" w:sz="0" w:space="0" w:color="auto"/>
          </w:divBdr>
        </w:div>
        <w:div w:id="2026177259">
          <w:marLeft w:val="0"/>
          <w:marRight w:val="0"/>
          <w:marTop w:val="120"/>
          <w:marBottom w:val="120"/>
          <w:divBdr>
            <w:top w:val="none" w:sz="0" w:space="0" w:color="auto"/>
            <w:left w:val="none" w:sz="0" w:space="0" w:color="auto"/>
            <w:bottom w:val="none" w:sz="0" w:space="0" w:color="auto"/>
            <w:right w:val="none" w:sz="0" w:space="0" w:color="auto"/>
          </w:divBdr>
        </w:div>
        <w:div w:id="1825200855">
          <w:marLeft w:val="0"/>
          <w:marRight w:val="0"/>
          <w:marTop w:val="120"/>
          <w:marBottom w:val="120"/>
          <w:divBdr>
            <w:top w:val="none" w:sz="0" w:space="0" w:color="auto"/>
            <w:left w:val="none" w:sz="0" w:space="0" w:color="auto"/>
            <w:bottom w:val="none" w:sz="0" w:space="0" w:color="auto"/>
            <w:right w:val="none" w:sz="0" w:space="0" w:color="auto"/>
          </w:divBdr>
        </w:div>
        <w:div w:id="314335943">
          <w:marLeft w:val="0"/>
          <w:marRight w:val="0"/>
          <w:marTop w:val="120"/>
          <w:marBottom w:val="120"/>
          <w:divBdr>
            <w:top w:val="none" w:sz="0" w:space="0" w:color="auto"/>
            <w:left w:val="none" w:sz="0" w:space="0" w:color="auto"/>
            <w:bottom w:val="none" w:sz="0" w:space="0" w:color="auto"/>
            <w:right w:val="none" w:sz="0" w:space="0" w:color="auto"/>
          </w:divBdr>
        </w:div>
      </w:divsChild>
    </w:div>
    <w:div w:id="136800575">
      <w:bodyDiv w:val="1"/>
      <w:marLeft w:val="0"/>
      <w:marRight w:val="0"/>
      <w:marTop w:val="0"/>
      <w:marBottom w:val="0"/>
      <w:divBdr>
        <w:top w:val="none" w:sz="0" w:space="0" w:color="auto"/>
        <w:left w:val="none" w:sz="0" w:space="0" w:color="auto"/>
        <w:bottom w:val="none" w:sz="0" w:space="0" w:color="auto"/>
        <w:right w:val="none" w:sz="0" w:space="0" w:color="auto"/>
      </w:divBdr>
      <w:divsChild>
        <w:div w:id="941306859">
          <w:marLeft w:val="0"/>
          <w:marRight w:val="0"/>
          <w:marTop w:val="0"/>
          <w:marBottom w:val="0"/>
          <w:divBdr>
            <w:top w:val="none" w:sz="0" w:space="0" w:color="auto"/>
            <w:left w:val="none" w:sz="0" w:space="0" w:color="auto"/>
            <w:bottom w:val="none" w:sz="0" w:space="0" w:color="auto"/>
            <w:right w:val="none" w:sz="0" w:space="0" w:color="auto"/>
          </w:divBdr>
        </w:div>
        <w:div w:id="1254778609">
          <w:marLeft w:val="0"/>
          <w:marRight w:val="0"/>
          <w:marTop w:val="0"/>
          <w:marBottom w:val="0"/>
          <w:divBdr>
            <w:top w:val="none" w:sz="0" w:space="0" w:color="auto"/>
            <w:left w:val="none" w:sz="0" w:space="0" w:color="auto"/>
            <w:bottom w:val="none" w:sz="0" w:space="0" w:color="auto"/>
            <w:right w:val="none" w:sz="0" w:space="0" w:color="auto"/>
          </w:divBdr>
        </w:div>
        <w:div w:id="1537619465">
          <w:marLeft w:val="0"/>
          <w:marRight w:val="0"/>
          <w:marTop w:val="0"/>
          <w:marBottom w:val="0"/>
          <w:divBdr>
            <w:top w:val="none" w:sz="0" w:space="0" w:color="auto"/>
            <w:left w:val="none" w:sz="0" w:space="0" w:color="auto"/>
            <w:bottom w:val="none" w:sz="0" w:space="0" w:color="auto"/>
            <w:right w:val="none" w:sz="0" w:space="0" w:color="auto"/>
          </w:divBdr>
        </w:div>
      </w:divsChild>
    </w:div>
    <w:div w:id="148979951">
      <w:bodyDiv w:val="1"/>
      <w:marLeft w:val="0"/>
      <w:marRight w:val="0"/>
      <w:marTop w:val="0"/>
      <w:marBottom w:val="0"/>
      <w:divBdr>
        <w:top w:val="none" w:sz="0" w:space="0" w:color="auto"/>
        <w:left w:val="none" w:sz="0" w:space="0" w:color="auto"/>
        <w:bottom w:val="none" w:sz="0" w:space="0" w:color="auto"/>
        <w:right w:val="none" w:sz="0" w:space="0" w:color="auto"/>
      </w:divBdr>
    </w:div>
    <w:div w:id="149520342">
      <w:bodyDiv w:val="1"/>
      <w:marLeft w:val="0"/>
      <w:marRight w:val="0"/>
      <w:marTop w:val="0"/>
      <w:marBottom w:val="0"/>
      <w:divBdr>
        <w:top w:val="none" w:sz="0" w:space="0" w:color="auto"/>
        <w:left w:val="none" w:sz="0" w:space="0" w:color="auto"/>
        <w:bottom w:val="none" w:sz="0" w:space="0" w:color="auto"/>
        <w:right w:val="none" w:sz="0" w:space="0" w:color="auto"/>
      </w:divBdr>
      <w:divsChild>
        <w:div w:id="164520874">
          <w:marLeft w:val="0"/>
          <w:marRight w:val="0"/>
          <w:marTop w:val="0"/>
          <w:marBottom w:val="0"/>
          <w:divBdr>
            <w:top w:val="none" w:sz="0" w:space="0" w:color="auto"/>
            <w:left w:val="none" w:sz="0" w:space="0" w:color="auto"/>
            <w:bottom w:val="none" w:sz="0" w:space="0" w:color="auto"/>
            <w:right w:val="none" w:sz="0" w:space="0" w:color="auto"/>
          </w:divBdr>
        </w:div>
      </w:divsChild>
    </w:div>
    <w:div w:id="154877355">
      <w:bodyDiv w:val="1"/>
      <w:marLeft w:val="0"/>
      <w:marRight w:val="0"/>
      <w:marTop w:val="0"/>
      <w:marBottom w:val="0"/>
      <w:divBdr>
        <w:top w:val="none" w:sz="0" w:space="0" w:color="auto"/>
        <w:left w:val="none" w:sz="0" w:space="0" w:color="auto"/>
        <w:bottom w:val="none" w:sz="0" w:space="0" w:color="auto"/>
        <w:right w:val="none" w:sz="0" w:space="0" w:color="auto"/>
      </w:divBdr>
      <w:divsChild>
        <w:div w:id="1144346720">
          <w:marLeft w:val="0"/>
          <w:marRight w:val="0"/>
          <w:marTop w:val="0"/>
          <w:marBottom w:val="0"/>
          <w:divBdr>
            <w:top w:val="none" w:sz="0" w:space="0" w:color="auto"/>
            <w:left w:val="none" w:sz="0" w:space="0" w:color="auto"/>
            <w:bottom w:val="none" w:sz="0" w:space="0" w:color="auto"/>
            <w:right w:val="none" w:sz="0" w:space="0" w:color="auto"/>
          </w:divBdr>
        </w:div>
      </w:divsChild>
    </w:div>
    <w:div w:id="156960458">
      <w:bodyDiv w:val="1"/>
      <w:marLeft w:val="0"/>
      <w:marRight w:val="0"/>
      <w:marTop w:val="0"/>
      <w:marBottom w:val="0"/>
      <w:divBdr>
        <w:top w:val="none" w:sz="0" w:space="0" w:color="auto"/>
        <w:left w:val="none" w:sz="0" w:space="0" w:color="auto"/>
        <w:bottom w:val="none" w:sz="0" w:space="0" w:color="auto"/>
        <w:right w:val="none" w:sz="0" w:space="0" w:color="auto"/>
      </w:divBdr>
      <w:divsChild>
        <w:div w:id="2105294795">
          <w:marLeft w:val="0"/>
          <w:marRight w:val="0"/>
          <w:marTop w:val="0"/>
          <w:marBottom w:val="0"/>
          <w:divBdr>
            <w:top w:val="none" w:sz="0" w:space="0" w:color="auto"/>
            <w:left w:val="none" w:sz="0" w:space="0" w:color="auto"/>
            <w:bottom w:val="none" w:sz="0" w:space="0" w:color="auto"/>
            <w:right w:val="none" w:sz="0" w:space="0" w:color="auto"/>
          </w:divBdr>
        </w:div>
        <w:div w:id="2069037502">
          <w:marLeft w:val="0"/>
          <w:marRight w:val="0"/>
          <w:marTop w:val="0"/>
          <w:marBottom w:val="0"/>
          <w:divBdr>
            <w:top w:val="none" w:sz="0" w:space="0" w:color="auto"/>
            <w:left w:val="none" w:sz="0" w:space="0" w:color="auto"/>
            <w:bottom w:val="none" w:sz="0" w:space="0" w:color="auto"/>
            <w:right w:val="none" w:sz="0" w:space="0" w:color="auto"/>
          </w:divBdr>
        </w:div>
        <w:div w:id="1319963210">
          <w:marLeft w:val="0"/>
          <w:marRight w:val="0"/>
          <w:marTop w:val="0"/>
          <w:marBottom w:val="0"/>
          <w:divBdr>
            <w:top w:val="none" w:sz="0" w:space="0" w:color="auto"/>
            <w:left w:val="none" w:sz="0" w:space="0" w:color="auto"/>
            <w:bottom w:val="none" w:sz="0" w:space="0" w:color="auto"/>
            <w:right w:val="none" w:sz="0" w:space="0" w:color="auto"/>
          </w:divBdr>
        </w:div>
        <w:div w:id="1234730393">
          <w:marLeft w:val="0"/>
          <w:marRight w:val="0"/>
          <w:marTop w:val="0"/>
          <w:marBottom w:val="0"/>
          <w:divBdr>
            <w:top w:val="none" w:sz="0" w:space="0" w:color="auto"/>
            <w:left w:val="none" w:sz="0" w:space="0" w:color="auto"/>
            <w:bottom w:val="none" w:sz="0" w:space="0" w:color="auto"/>
            <w:right w:val="none" w:sz="0" w:space="0" w:color="auto"/>
          </w:divBdr>
        </w:div>
        <w:div w:id="204870547">
          <w:marLeft w:val="0"/>
          <w:marRight w:val="0"/>
          <w:marTop w:val="0"/>
          <w:marBottom w:val="0"/>
          <w:divBdr>
            <w:top w:val="none" w:sz="0" w:space="0" w:color="auto"/>
            <w:left w:val="none" w:sz="0" w:space="0" w:color="auto"/>
            <w:bottom w:val="none" w:sz="0" w:space="0" w:color="auto"/>
            <w:right w:val="none" w:sz="0" w:space="0" w:color="auto"/>
          </w:divBdr>
        </w:div>
        <w:div w:id="59249812">
          <w:marLeft w:val="0"/>
          <w:marRight w:val="0"/>
          <w:marTop w:val="0"/>
          <w:marBottom w:val="0"/>
          <w:divBdr>
            <w:top w:val="none" w:sz="0" w:space="0" w:color="auto"/>
            <w:left w:val="none" w:sz="0" w:space="0" w:color="auto"/>
            <w:bottom w:val="none" w:sz="0" w:space="0" w:color="auto"/>
            <w:right w:val="none" w:sz="0" w:space="0" w:color="auto"/>
          </w:divBdr>
        </w:div>
        <w:div w:id="83959804">
          <w:marLeft w:val="0"/>
          <w:marRight w:val="0"/>
          <w:marTop w:val="0"/>
          <w:marBottom w:val="0"/>
          <w:divBdr>
            <w:top w:val="none" w:sz="0" w:space="0" w:color="auto"/>
            <w:left w:val="none" w:sz="0" w:space="0" w:color="auto"/>
            <w:bottom w:val="none" w:sz="0" w:space="0" w:color="auto"/>
            <w:right w:val="none" w:sz="0" w:space="0" w:color="auto"/>
          </w:divBdr>
        </w:div>
      </w:divsChild>
    </w:div>
    <w:div w:id="177279687">
      <w:bodyDiv w:val="1"/>
      <w:marLeft w:val="0"/>
      <w:marRight w:val="0"/>
      <w:marTop w:val="0"/>
      <w:marBottom w:val="0"/>
      <w:divBdr>
        <w:top w:val="none" w:sz="0" w:space="0" w:color="auto"/>
        <w:left w:val="none" w:sz="0" w:space="0" w:color="auto"/>
        <w:bottom w:val="none" w:sz="0" w:space="0" w:color="auto"/>
        <w:right w:val="none" w:sz="0" w:space="0" w:color="auto"/>
      </w:divBdr>
      <w:divsChild>
        <w:div w:id="546332852">
          <w:marLeft w:val="0"/>
          <w:marRight w:val="0"/>
          <w:marTop w:val="0"/>
          <w:marBottom w:val="0"/>
          <w:divBdr>
            <w:top w:val="none" w:sz="0" w:space="0" w:color="auto"/>
            <w:left w:val="none" w:sz="0" w:space="0" w:color="auto"/>
            <w:bottom w:val="none" w:sz="0" w:space="0" w:color="auto"/>
            <w:right w:val="none" w:sz="0" w:space="0" w:color="auto"/>
          </w:divBdr>
        </w:div>
      </w:divsChild>
    </w:div>
    <w:div w:id="203366753">
      <w:bodyDiv w:val="1"/>
      <w:marLeft w:val="0"/>
      <w:marRight w:val="0"/>
      <w:marTop w:val="0"/>
      <w:marBottom w:val="0"/>
      <w:divBdr>
        <w:top w:val="none" w:sz="0" w:space="0" w:color="auto"/>
        <w:left w:val="none" w:sz="0" w:space="0" w:color="auto"/>
        <w:bottom w:val="none" w:sz="0" w:space="0" w:color="auto"/>
        <w:right w:val="none" w:sz="0" w:space="0" w:color="auto"/>
      </w:divBdr>
      <w:divsChild>
        <w:div w:id="988292292">
          <w:marLeft w:val="0"/>
          <w:marRight w:val="0"/>
          <w:marTop w:val="0"/>
          <w:marBottom w:val="0"/>
          <w:divBdr>
            <w:top w:val="none" w:sz="0" w:space="0" w:color="auto"/>
            <w:left w:val="none" w:sz="0" w:space="0" w:color="auto"/>
            <w:bottom w:val="none" w:sz="0" w:space="0" w:color="auto"/>
            <w:right w:val="none" w:sz="0" w:space="0" w:color="auto"/>
          </w:divBdr>
        </w:div>
        <w:div w:id="68427083">
          <w:marLeft w:val="0"/>
          <w:marRight w:val="0"/>
          <w:marTop w:val="0"/>
          <w:marBottom w:val="0"/>
          <w:divBdr>
            <w:top w:val="none" w:sz="0" w:space="0" w:color="auto"/>
            <w:left w:val="none" w:sz="0" w:space="0" w:color="auto"/>
            <w:bottom w:val="none" w:sz="0" w:space="0" w:color="auto"/>
            <w:right w:val="none" w:sz="0" w:space="0" w:color="auto"/>
          </w:divBdr>
        </w:div>
        <w:div w:id="1170213429">
          <w:marLeft w:val="0"/>
          <w:marRight w:val="0"/>
          <w:marTop w:val="0"/>
          <w:marBottom w:val="0"/>
          <w:divBdr>
            <w:top w:val="none" w:sz="0" w:space="0" w:color="auto"/>
            <w:left w:val="none" w:sz="0" w:space="0" w:color="auto"/>
            <w:bottom w:val="none" w:sz="0" w:space="0" w:color="auto"/>
            <w:right w:val="none" w:sz="0" w:space="0" w:color="auto"/>
          </w:divBdr>
        </w:div>
      </w:divsChild>
    </w:div>
    <w:div w:id="210579645">
      <w:bodyDiv w:val="1"/>
      <w:marLeft w:val="0"/>
      <w:marRight w:val="0"/>
      <w:marTop w:val="0"/>
      <w:marBottom w:val="0"/>
      <w:divBdr>
        <w:top w:val="none" w:sz="0" w:space="0" w:color="auto"/>
        <w:left w:val="none" w:sz="0" w:space="0" w:color="auto"/>
        <w:bottom w:val="none" w:sz="0" w:space="0" w:color="auto"/>
        <w:right w:val="none" w:sz="0" w:space="0" w:color="auto"/>
      </w:divBdr>
      <w:divsChild>
        <w:div w:id="1597130891">
          <w:marLeft w:val="0"/>
          <w:marRight w:val="0"/>
          <w:marTop w:val="0"/>
          <w:marBottom w:val="0"/>
          <w:divBdr>
            <w:top w:val="none" w:sz="0" w:space="0" w:color="auto"/>
            <w:left w:val="none" w:sz="0" w:space="0" w:color="auto"/>
            <w:bottom w:val="none" w:sz="0" w:space="0" w:color="auto"/>
            <w:right w:val="none" w:sz="0" w:space="0" w:color="auto"/>
          </w:divBdr>
        </w:div>
      </w:divsChild>
    </w:div>
    <w:div w:id="247232995">
      <w:bodyDiv w:val="1"/>
      <w:marLeft w:val="0"/>
      <w:marRight w:val="0"/>
      <w:marTop w:val="0"/>
      <w:marBottom w:val="0"/>
      <w:divBdr>
        <w:top w:val="none" w:sz="0" w:space="0" w:color="auto"/>
        <w:left w:val="none" w:sz="0" w:space="0" w:color="auto"/>
        <w:bottom w:val="none" w:sz="0" w:space="0" w:color="auto"/>
        <w:right w:val="none" w:sz="0" w:space="0" w:color="auto"/>
      </w:divBdr>
      <w:divsChild>
        <w:div w:id="1805661609">
          <w:marLeft w:val="0"/>
          <w:marRight w:val="0"/>
          <w:marTop w:val="0"/>
          <w:marBottom w:val="120"/>
          <w:divBdr>
            <w:top w:val="none" w:sz="0" w:space="0" w:color="auto"/>
            <w:left w:val="none" w:sz="0" w:space="0" w:color="auto"/>
            <w:bottom w:val="none" w:sz="0" w:space="0" w:color="auto"/>
            <w:right w:val="none" w:sz="0" w:space="0" w:color="auto"/>
          </w:divBdr>
        </w:div>
        <w:div w:id="1708097250">
          <w:marLeft w:val="0"/>
          <w:marRight w:val="0"/>
          <w:marTop w:val="120"/>
          <w:marBottom w:val="120"/>
          <w:divBdr>
            <w:top w:val="none" w:sz="0" w:space="0" w:color="auto"/>
            <w:left w:val="none" w:sz="0" w:space="0" w:color="auto"/>
            <w:bottom w:val="none" w:sz="0" w:space="0" w:color="auto"/>
            <w:right w:val="none" w:sz="0" w:space="0" w:color="auto"/>
          </w:divBdr>
        </w:div>
        <w:div w:id="90317362">
          <w:marLeft w:val="0"/>
          <w:marRight w:val="0"/>
          <w:marTop w:val="120"/>
          <w:marBottom w:val="120"/>
          <w:divBdr>
            <w:top w:val="none" w:sz="0" w:space="0" w:color="auto"/>
            <w:left w:val="none" w:sz="0" w:space="0" w:color="auto"/>
            <w:bottom w:val="none" w:sz="0" w:space="0" w:color="auto"/>
            <w:right w:val="none" w:sz="0" w:space="0" w:color="auto"/>
          </w:divBdr>
        </w:div>
        <w:div w:id="1590651865">
          <w:marLeft w:val="0"/>
          <w:marRight w:val="0"/>
          <w:marTop w:val="120"/>
          <w:marBottom w:val="120"/>
          <w:divBdr>
            <w:top w:val="none" w:sz="0" w:space="0" w:color="auto"/>
            <w:left w:val="none" w:sz="0" w:space="0" w:color="auto"/>
            <w:bottom w:val="none" w:sz="0" w:space="0" w:color="auto"/>
            <w:right w:val="none" w:sz="0" w:space="0" w:color="auto"/>
          </w:divBdr>
        </w:div>
        <w:div w:id="2129661880">
          <w:marLeft w:val="0"/>
          <w:marRight w:val="0"/>
          <w:marTop w:val="120"/>
          <w:marBottom w:val="120"/>
          <w:divBdr>
            <w:top w:val="none" w:sz="0" w:space="0" w:color="auto"/>
            <w:left w:val="none" w:sz="0" w:space="0" w:color="auto"/>
            <w:bottom w:val="none" w:sz="0" w:space="0" w:color="auto"/>
            <w:right w:val="none" w:sz="0" w:space="0" w:color="auto"/>
          </w:divBdr>
        </w:div>
      </w:divsChild>
    </w:div>
    <w:div w:id="248271004">
      <w:bodyDiv w:val="1"/>
      <w:marLeft w:val="0"/>
      <w:marRight w:val="0"/>
      <w:marTop w:val="0"/>
      <w:marBottom w:val="0"/>
      <w:divBdr>
        <w:top w:val="none" w:sz="0" w:space="0" w:color="auto"/>
        <w:left w:val="none" w:sz="0" w:space="0" w:color="auto"/>
        <w:bottom w:val="none" w:sz="0" w:space="0" w:color="auto"/>
        <w:right w:val="none" w:sz="0" w:space="0" w:color="auto"/>
      </w:divBdr>
      <w:divsChild>
        <w:div w:id="1742825181">
          <w:marLeft w:val="0"/>
          <w:marRight w:val="0"/>
          <w:marTop w:val="0"/>
          <w:marBottom w:val="0"/>
          <w:divBdr>
            <w:top w:val="none" w:sz="0" w:space="0" w:color="auto"/>
            <w:left w:val="none" w:sz="0" w:space="0" w:color="auto"/>
            <w:bottom w:val="none" w:sz="0" w:space="0" w:color="auto"/>
            <w:right w:val="none" w:sz="0" w:space="0" w:color="auto"/>
          </w:divBdr>
        </w:div>
        <w:div w:id="1403025747">
          <w:marLeft w:val="0"/>
          <w:marRight w:val="0"/>
          <w:marTop w:val="0"/>
          <w:marBottom w:val="0"/>
          <w:divBdr>
            <w:top w:val="none" w:sz="0" w:space="0" w:color="auto"/>
            <w:left w:val="none" w:sz="0" w:space="0" w:color="auto"/>
            <w:bottom w:val="none" w:sz="0" w:space="0" w:color="auto"/>
            <w:right w:val="none" w:sz="0" w:space="0" w:color="auto"/>
          </w:divBdr>
        </w:div>
      </w:divsChild>
    </w:div>
    <w:div w:id="281308621">
      <w:bodyDiv w:val="1"/>
      <w:marLeft w:val="0"/>
      <w:marRight w:val="0"/>
      <w:marTop w:val="0"/>
      <w:marBottom w:val="0"/>
      <w:divBdr>
        <w:top w:val="none" w:sz="0" w:space="0" w:color="auto"/>
        <w:left w:val="none" w:sz="0" w:space="0" w:color="auto"/>
        <w:bottom w:val="none" w:sz="0" w:space="0" w:color="auto"/>
        <w:right w:val="none" w:sz="0" w:space="0" w:color="auto"/>
      </w:divBdr>
    </w:div>
    <w:div w:id="296961136">
      <w:bodyDiv w:val="1"/>
      <w:marLeft w:val="0"/>
      <w:marRight w:val="0"/>
      <w:marTop w:val="0"/>
      <w:marBottom w:val="0"/>
      <w:divBdr>
        <w:top w:val="none" w:sz="0" w:space="0" w:color="auto"/>
        <w:left w:val="none" w:sz="0" w:space="0" w:color="auto"/>
        <w:bottom w:val="none" w:sz="0" w:space="0" w:color="auto"/>
        <w:right w:val="none" w:sz="0" w:space="0" w:color="auto"/>
      </w:divBdr>
      <w:divsChild>
        <w:div w:id="450784649">
          <w:marLeft w:val="0"/>
          <w:marRight w:val="0"/>
          <w:marTop w:val="0"/>
          <w:marBottom w:val="0"/>
          <w:divBdr>
            <w:top w:val="none" w:sz="0" w:space="0" w:color="auto"/>
            <w:left w:val="none" w:sz="0" w:space="0" w:color="auto"/>
            <w:bottom w:val="none" w:sz="0" w:space="0" w:color="auto"/>
            <w:right w:val="none" w:sz="0" w:space="0" w:color="auto"/>
          </w:divBdr>
        </w:div>
        <w:div w:id="2126653678">
          <w:marLeft w:val="0"/>
          <w:marRight w:val="0"/>
          <w:marTop w:val="0"/>
          <w:marBottom w:val="0"/>
          <w:divBdr>
            <w:top w:val="none" w:sz="0" w:space="0" w:color="auto"/>
            <w:left w:val="none" w:sz="0" w:space="0" w:color="auto"/>
            <w:bottom w:val="none" w:sz="0" w:space="0" w:color="auto"/>
            <w:right w:val="none" w:sz="0" w:space="0" w:color="auto"/>
          </w:divBdr>
        </w:div>
        <w:div w:id="1457143043">
          <w:marLeft w:val="0"/>
          <w:marRight w:val="0"/>
          <w:marTop w:val="0"/>
          <w:marBottom w:val="0"/>
          <w:divBdr>
            <w:top w:val="none" w:sz="0" w:space="0" w:color="auto"/>
            <w:left w:val="none" w:sz="0" w:space="0" w:color="auto"/>
            <w:bottom w:val="none" w:sz="0" w:space="0" w:color="auto"/>
            <w:right w:val="none" w:sz="0" w:space="0" w:color="auto"/>
          </w:divBdr>
        </w:div>
        <w:div w:id="602105702">
          <w:marLeft w:val="0"/>
          <w:marRight w:val="0"/>
          <w:marTop w:val="0"/>
          <w:marBottom w:val="0"/>
          <w:divBdr>
            <w:top w:val="none" w:sz="0" w:space="0" w:color="auto"/>
            <w:left w:val="none" w:sz="0" w:space="0" w:color="auto"/>
            <w:bottom w:val="none" w:sz="0" w:space="0" w:color="auto"/>
            <w:right w:val="none" w:sz="0" w:space="0" w:color="auto"/>
          </w:divBdr>
        </w:div>
        <w:div w:id="688288485">
          <w:marLeft w:val="0"/>
          <w:marRight w:val="0"/>
          <w:marTop w:val="0"/>
          <w:marBottom w:val="0"/>
          <w:divBdr>
            <w:top w:val="none" w:sz="0" w:space="0" w:color="auto"/>
            <w:left w:val="none" w:sz="0" w:space="0" w:color="auto"/>
            <w:bottom w:val="none" w:sz="0" w:space="0" w:color="auto"/>
            <w:right w:val="none" w:sz="0" w:space="0" w:color="auto"/>
          </w:divBdr>
        </w:div>
        <w:div w:id="1501508415">
          <w:marLeft w:val="0"/>
          <w:marRight w:val="0"/>
          <w:marTop w:val="0"/>
          <w:marBottom w:val="0"/>
          <w:divBdr>
            <w:top w:val="none" w:sz="0" w:space="0" w:color="auto"/>
            <w:left w:val="none" w:sz="0" w:space="0" w:color="auto"/>
            <w:bottom w:val="none" w:sz="0" w:space="0" w:color="auto"/>
            <w:right w:val="none" w:sz="0" w:space="0" w:color="auto"/>
          </w:divBdr>
        </w:div>
        <w:div w:id="2083601149">
          <w:marLeft w:val="0"/>
          <w:marRight w:val="0"/>
          <w:marTop w:val="0"/>
          <w:marBottom w:val="0"/>
          <w:divBdr>
            <w:top w:val="none" w:sz="0" w:space="0" w:color="auto"/>
            <w:left w:val="none" w:sz="0" w:space="0" w:color="auto"/>
            <w:bottom w:val="none" w:sz="0" w:space="0" w:color="auto"/>
            <w:right w:val="none" w:sz="0" w:space="0" w:color="auto"/>
          </w:divBdr>
        </w:div>
        <w:div w:id="614169018">
          <w:marLeft w:val="0"/>
          <w:marRight w:val="0"/>
          <w:marTop w:val="0"/>
          <w:marBottom w:val="0"/>
          <w:divBdr>
            <w:top w:val="none" w:sz="0" w:space="0" w:color="auto"/>
            <w:left w:val="none" w:sz="0" w:space="0" w:color="auto"/>
            <w:bottom w:val="none" w:sz="0" w:space="0" w:color="auto"/>
            <w:right w:val="none" w:sz="0" w:space="0" w:color="auto"/>
          </w:divBdr>
        </w:div>
        <w:div w:id="1856457709">
          <w:marLeft w:val="0"/>
          <w:marRight w:val="0"/>
          <w:marTop w:val="0"/>
          <w:marBottom w:val="0"/>
          <w:divBdr>
            <w:top w:val="none" w:sz="0" w:space="0" w:color="auto"/>
            <w:left w:val="none" w:sz="0" w:space="0" w:color="auto"/>
            <w:bottom w:val="none" w:sz="0" w:space="0" w:color="auto"/>
            <w:right w:val="none" w:sz="0" w:space="0" w:color="auto"/>
          </w:divBdr>
        </w:div>
      </w:divsChild>
    </w:div>
    <w:div w:id="313266153">
      <w:bodyDiv w:val="1"/>
      <w:marLeft w:val="0"/>
      <w:marRight w:val="0"/>
      <w:marTop w:val="0"/>
      <w:marBottom w:val="0"/>
      <w:divBdr>
        <w:top w:val="none" w:sz="0" w:space="0" w:color="auto"/>
        <w:left w:val="none" w:sz="0" w:space="0" w:color="auto"/>
        <w:bottom w:val="none" w:sz="0" w:space="0" w:color="auto"/>
        <w:right w:val="none" w:sz="0" w:space="0" w:color="auto"/>
      </w:divBdr>
      <w:divsChild>
        <w:div w:id="1950428611">
          <w:marLeft w:val="0"/>
          <w:marRight w:val="0"/>
          <w:marTop w:val="0"/>
          <w:marBottom w:val="0"/>
          <w:divBdr>
            <w:top w:val="none" w:sz="0" w:space="0" w:color="auto"/>
            <w:left w:val="none" w:sz="0" w:space="0" w:color="auto"/>
            <w:bottom w:val="none" w:sz="0" w:space="0" w:color="auto"/>
            <w:right w:val="none" w:sz="0" w:space="0" w:color="auto"/>
          </w:divBdr>
        </w:div>
        <w:div w:id="742945696">
          <w:marLeft w:val="0"/>
          <w:marRight w:val="0"/>
          <w:marTop w:val="0"/>
          <w:marBottom w:val="0"/>
          <w:divBdr>
            <w:top w:val="none" w:sz="0" w:space="0" w:color="auto"/>
            <w:left w:val="none" w:sz="0" w:space="0" w:color="auto"/>
            <w:bottom w:val="none" w:sz="0" w:space="0" w:color="auto"/>
            <w:right w:val="none" w:sz="0" w:space="0" w:color="auto"/>
          </w:divBdr>
        </w:div>
        <w:div w:id="1571843649">
          <w:marLeft w:val="0"/>
          <w:marRight w:val="0"/>
          <w:marTop w:val="0"/>
          <w:marBottom w:val="0"/>
          <w:divBdr>
            <w:top w:val="none" w:sz="0" w:space="0" w:color="auto"/>
            <w:left w:val="none" w:sz="0" w:space="0" w:color="auto"/>
            <w:bottom w:val="none" w:sz="0" w:space="0" w:color="auto"/>
            <w:right w:val="none" w:sz="0" w:space="0" w:color="auto"/>
          </w:divBdr>
        </w:div>
        <w:div w:id="1642349870">
          <w:marLeft w:val="0"/>
          <w:marRight w:val="0"/>
          <w:marTop w:val="0"/>
          <w:marBottom w:val="0"/>
          <w:divBdr>
            <w:top w:val="none" w:sz="0" w:space="0" w:color="auto"/>
            <w:left w:val="none" w:sz="0" w:space="0" w:color="auto"/>
            <w:bottom w:val="none" w:sz="0" w:space="0" w:color="auto"/>
            <w:right w:val="none" w:sz="0" w:space="0" w:color="auto"/>
          </w:divBdr>
        </w:div>
        <w:div w:id="381565287">
          <w:marLeft w:val="0"/>
          <w:marRight w:val="0"/>
          <w:marTop w:val="0"/>
          <w:marBottom w:val="0"/>
          <w:divBdr>
            <w:top w:val="none" w:sz="0" w:space="0" w:color="auto"/>
            <w:left w:val="none" w:sz="0" w:space="0" w:color="auto"/>
            <w:bottom w:val="none" w:sz="0" w:space="0" w:color="auto"/>
            <w:right w:val="none" w:sz="0" w:space="0" w:color="auto"/>
          </w:divBdr>
        </w:div>
        <w:div w:id="1045255426">
          <w:marLeft w:val="0"/>
          <w:marRight w:val="0"/>
          <w:marTop w:val="0"/>
          <w:marBottom w:val="0"/>
          <w:divBdr>
            <w:top w:val="none" w:sz="0" w:space="0" w:color="auto"/>
            <w:left w:val="none" w:sz="0" w:space="0" w:color="auto"/>
            <w:bottom w:val="none" w:sz="0" w:space="0" w:color="auto"/>
            <w:right w:val="none" w:sz="0" w:space="0" w:color="auto"/>
          </w:divBdr>
        </w:div>
        <w:div w:id="1331368073">
          <w:marLeft w:val="0"/>
          <w:marRight w:val="0"/>
          <w:marTop w:val="0"/>
          <w:marBottom w:val="0"/>
          <w:divBdr>
            <w:top w:val="none" w:sz="0" w:space="0" w:color="auto"/>
            <w:left w:val="none" w:sz="0" w:space="0" w:color="auto"/>
            <w:bottom w:val="none" w:sz="0" w:space="0" w:color="auto"/>
            <w:right w:val="none" w:sz="0" w:space="0" w:color="auto"/>
          </w:divBdr>
        </w:div>
        <w:div w:id="1764035428">
          <w:marLeft w:val="0"/>
          <w:marRight w:val="0"/>
          <w:marTop w:val="0"/>
          <w:marBottom w:val="0"/>
          <w:divBdr>
            <w:top w:val="none" w:sz="0" w:space="0" w:color="auto"/>
            <w:left w:val="none" w:sz="0" w:space="0" w:color="auto"/>
            <w:bottom w:val="none" w:sz="0" w:space="0" w:color="auto"/>
            <w:right w:val="none" w:sz="0" w:space="0" w:color="auto"/>
          </w:divBdr>
        </w:div>
      </w:divsChild>
    </w:div>
    <w:div w:id="317270748">
      <w:bodyDiv w:val="1"/>
      <w:marLeft w:val="0"/>
      <w:marRight w:val="0"/>
      <w:marTop w:val="0"/>
      <w:marBottom w:val="0"/>
      <w:divBdr>
        <w:top w:val="none" w:sz="0" w:space="0" w:color="auto"/>
        <w:left w:val="none" w:sz="0" w:space="0" w:color="auto"/>
        <w:bottom w:val="none" w:sz="0" w:space="0" w:color="auto"/>
        <w:right w:val="none" w:sz="0" w:space="0" w:color="auto"/>
      </w:divBdr>
      <w:divsChild>
        <w:div w:id="501315072">
          <w:marLeft w:val="0"/>
          <w:marRight w:val="0"/>
          <w:marTop w:val="0"/>
          <w:marBottom w:val="0"/>
          <w:divBdr>
            <w:top w:val="none" w:sz="0" w:space="0" w:color="auto"/>
            <w:left w:val="none" w:sz="0" w:space="0" w:color="auto"/>
            <w:bottom w:val="none" w:sz="0" w:space="0" w:color="auto"/>
            <w:right w:val="none" w:sz="0" w:space="0" w:color="auto"/>
          </w:divBdr>
        </w:div>
        <w:div w:id="169638506">
          <w:marLeft w:val="0"/>
          <w:marRight w:val="0"/>
          <w:marTop w:val="0"/>
          <w:marBottom w:val="0"/>
          <w:divBdr>
            <w:top w:val="none" w:sz="0" w:space="0" w:color="auto"/>
            <w:left w:val="none" w:sz="0" w:space="0" w:color="auto"/>
            <w:bottom w:val="none" w:sz="0" w:space="0" w:color="auto"/>
            <w:right w:val="none" w:sz="0" w:space="0" w:color="auto"/>
          </w:divBdr>
        </w:div>
        <w:div w:id="1777553082">
          <w:marLeft w:val="0"/>
          <w:marRight w:val="0"/>
          <w:marTop w:val="0"/>
          <w:marBottom w:val="0"/>
          <w:divBdr>
            <w:top w:val="none" w:sz="0" w:space="0" w:color="auto"/>
            <w:left w:val="none" w:sz="0" w:space="0" w:color="auto"/>
            <w:bottom w:val="none" w:sz="0" w:space="0" w:color="auto"/>
            <w:right w:val="none" w:sz="0" w:space="0" w:color="auto"/>
          </w:divBdr>
        </w:div>
        <w:div w:id="1530488592">
          <w:marLeft w:val="0"/>
          <w:marRight w:val="0"/>
          <w:marTop w:val="0"/>
          <w:marBottom w:val="0"/>
          <w:divBdr>
            <w:top w:val="none" w:sz="0" w:space="0" w:color="auto"/>
            <w:left w:val="none" w:sz="0" w:space="0" w:color="auto"/>
            <w:bottom w:val="none" w:sz="0" w:space="0" w:color="auto"/>
            <w:right w:val="none" w:sz="0" w:space="0" w:color="auto"/>
          </w:divBdr>
        </w:div>
        <w:div w:id="63265508">
          <w:marLeft w:val="0"/>
          <w:marRight w:val="0"/>
          <w:marTop w:val="0"/>
          <w:marBottom w:val="0"/>
          <w:divBdr>
            <w:top w:val="none" w:sz="0" w:space="0" w:color="auto"/>
            <w:left w:val="none" w:sz="0" w:space="0" w:color="auto"/>
            <w:bottom w:val="none" w:sz="0" w:space="0" w:color="auto"/>
            <w:right w:val="none" w:sz="0" w:space="0" w:color="auto"/>
          </w:divBdr>
        </w:div>
        <w:div w:id="62920720">
          <w:marLeft w:val="0"/>
          <w:marRight w:val="0"/>
          <w:marTop w:val="0"/>
          <w:marBottom w:val="0"/>
          <w:divBdr>
            <w:top w:val="none" w:sz="0" w:space="0" w:color="auto"/>
            <w:left w:val="none" w:sz="0" w:space="0" w:color="auto"/>
            <w:bottom w:val="none" w:sz="0" w:space="0" w:color="auto"/>
            <w:right w:val="none" w:sz="0" w:space="0" w:color="auto"/>
          </w:divBdr>
        </w:div>
        <w:div w:id="945384332">
          <w:marLeft w:val="0"/>
          <w:marRight w:val="0"/>
          <w:marTop w:val="0"/>
          <w:marBottom w:val="0"/>
          <w:divBdr>
            <w:top w:val="none" w:sz="0" w:space="0" w:color="auto"/>
            <w:left w:val="none" w:sz="0" w:space="0" w:color="auto"/>
            <w:bottom w:val="none" w:sz="0" w:space="0" w:color="auto"/>
            <w:right w:val="none" w:sz="0" w:space="0" w:color="auto"/>
          </w:divBdr>
        </w:div>
      </w:divsChild>
    </w:div>
    <w:div w:id="322707884">
      <w:bodyDiv w:val="1"/>
      <w:marLeft w:val="0"/>
      <w:marRight w:val="0"/>
      <w:marTop w:val="0"/>
      <w:marBottom w:val="0"/>
      <w:divBdr>
        <w:top w:val="none" w:sz="0" w:space="0" w:color="auto"/>
        <w:left w:val="none" w:sz="0" w:space="0" w:color="auto"/>
        <w:bottom w:val="none" w:sz="0" w:space="0" w:color="auto"/>
        <w:right w:val="none" w:sz="0" w:space="0" w:color="auto"/>
      </w:divBdr>
      <w:divsChild>
        <w:div w:id="651251199">
          <w:marLeft w:val="0"/>
          <w:marRight w:val="0"/>
          <w:marTop w:val="0"/>
          <w:marBottom w:val="0"/>
          <w:divBdr>
            <w:top w:val="none" w:sz="0" w:space="0" w:color="auto"/>
            <w:left w:val="none" w:sz="0" w:space="0" w:color="auto"/>
            <w:bottom w:val="none" w:sz="0" w:space="0" w:color="auto"/>
            <w:right w:val="none" w:sz="0" w:space="0" w:color="auto"/>
          </w:divBdr>
        </w:div>
        <w:div w:id="1636255349">
          <w:marLeft w:val="0"/>
          <w:marRight w:val="0"/>
          <w:marTop w:val="0"/>
          <w:marBottom w:val="0"/>
          <w:divBdr>
            <w:top w:val="none" w:sz="0" w:space="0" w:color="auto"/>
            <w:left w:val="none" w:sz="0" w:space="0" w:color="auto"/>
            <w:bottom w:val="none" w:sz="0" w:space="0" w:color="auto"/>
            <w:right w:val="none" w:sz="0" w:space="0" w:color="auto"/>
          </w:divBdr>
        </w:div>
        <w:div w:id="395783699">
          <w:marLeft w:val="0"/>
          <w:marRight w:val="0"/>
          <w:marTop w:val="0"/>
          <w:marBottom w:val="0"/>
          <w:divBdr>
            <w:top w:val="none" w:sz="0" w:space="0" w:color="auto"/>
            <w:left w:val="none" w:sz="0" w:space="0" w:color="auto"/>
            <w:bottom w:val="none" w:sz="0" w:space="0" w:color="auto"/>
            <w:right w:val="none" w:sz="0" w:space="0" w:color="auto"/>
          </w:divBdr>
        </w:div>
      </w:divsChild>
    </w:div>
    <w:div w:id="346712522">
      <w:bodyDiv w:val="1"/>
      <w:marLeft w:val="0"/>
      <w:marRight w:val="0"/>
      <w:marTop w:val="0"/>
      <w:marBottom w:val="0"/>
      <w:divBdr>
        <w:top w:val="none" w:sz="0" w:space="0" w:color="auto"/>
        <w:left w:val="none" w:sz="0" w:space="0" w:color="auto"/>
        <w:bottom w:val="none" w:sz="0" w:space="0" w:color="auto"/>
        <w:right w:val="none" w:sz="0" w:space="0" w:color="auto"/>
      </w:divBdr>
      <w:divsChild>
        <w:div w:id="984774568">
          <w:marLeft w:val="0"/>
          <w:marRight w:val="0"/>
          <w:marTop w:val="0"/>
          <w:marBottom w:val="120"/>
          <w:divBdr>
            <w:top w:val="none" w:sz="0" w:space="0" w:color="auto"/>
            <w:left w:val="none" w:sz="0" w:space="0" w:color="auto"/>
            <w:bottom w:val="none" w:sz="0" w:space="0" w:color="auto"/>
            <w:right w:val="none" w:sz="0" w:space="0" w:color="auto"/>
          </w:divBdr>
        </w:div>
      </w:divsChild>
    </w:div>
    <w:div w:id="350112714">
      <w:bodyDiv w:val="1"/>
      <w:marLeft w:val="0"/>
      <w:marRight w:val="0"/>
      <w:marTop w:val="0"/>
      <w:marBottom w:val="0"/>
      <w:divBdr>
        <w:top w:val="none" w:sz="0" w:space="0" w:color="auto"/>
        <w:left w:val="none" w:sz="0" w:space="0" w:color="auto"/>
        <w:bottom w:val="none" w:sz="0" w:space="0" w:color="auto"/>
        <w:right w:val="none" w:sz="0" w:space="0" w:color="auto"/>
      </w:divBdr>
      <w:divsChild>
        <w:div w:id="1001587560">
          <w:marLeft w:val="0"/>
          <w:marRight w:val="0"/>
          <w:marTop w:val="0"/>
          <w:marBottom w:val="0"/>
          <w:divBdr>
            <w:top w:val="none" w:sz="0" w:space="0" w:color="auto"/>
            <w:left w:val="none" w:sz="0" w:space="0" w:color="auto"/>
            <w:bottom w:val="none" w:sz="0" w:space="0" w:color="auto"/>
            <w:right w:val="none" w:sz="0" w:space="0" w:color="auto"/>
          </w:divBdr>
        </w:div>
        <w:div w:id="632251552">
          <w:marLeft w:val="0"/>
          <w:marRight w:val="0"/>
          <w:marTop w:val="0"/>
          <w:marBottom w:val="0"/>
          <w:divBdr>
            <w:top w:val="none" w:sz="0" w:space="0" w:color="auto"/>
            <w:left w:val="none" w:sz="0" w:space="0" w:color="auto"/>
            <w:bottom w:val="none" w:sz="0" w:space="0" w:color="auto"/>
            <w:right w:val="none" w:sz="0" w:space="0" w:color="auto"/>
          </w:divBdr>
        </w:div>
        <w:div w:id="1841197436">
          <w:marLeft w:val="0"/>
          <w:marRight w:val="0"/>
          <w:marTop w:val="0"/>
          <w:marBottom w:val="0"/>
          <w:divBdr>
            <w:top w:val="none" w:sz="0" w:space="0" w:color="auto"/>
            <w:left w:val="none" w:sz="0" w:space="0" w:color="auto"/>
            <w:bottom w:val="none" w:sz="0" w:space="0" w:color="auto"/>
            <w:right w:val="none" w:sz="0" w:space="0" w:color="auto"/>
          </w:divBdr>
        </w:div>
        <w:div w:id="1569730279">
          <w:marLeft w:val="0"/>
          <w:marRight w:val="0"/>
          <w:marTop w:val="0"/>
          <w:marBottom w:val="0"/>
          <w:divBdr>
            <w:top w:val="none" w:sz="0" w:space="0" w:color="auto"/>
            <w:left w:val="none" w:sz="0" w:space="0" w:color="auto"/>
            <w:bottom w:val="none" w:sz="0" w:space="0" w:color="auto"/>
            <w:right w:val="none" w:sz="0" w:space="0" w:color="auto"/>
          </w:divBdr>
        </w:div>
        <w:div w:id="1805272161">
          <w:marLeft w:val="0"/>
          <w:marRight w:val="0"/>
          <w:marTop w:val="0"/>
          <w:marBottom w:val="0"/>
          <w:divBdr>
            <w:top w:val="none" w:sz="0" w:space="0" w:color="auto"/>
            <w:left w:val="none" w:sz="0" w:space="0" w:color="auto"/>
            <w:bottom w:val="none" w:sz="0" w:space="0" w:color="auto"/>
            <w:right w:val="none" w:sz="0" w:space="0" w:color="auto"/>
          </w:divBdr>
        </w:div>
        <w:div w:id="623268209">
          <w:marLeft w:val="0"/>
          <w:marRight w:val="0"/>
          <w:marTop w:val="0"/>
          <w:marBottom w:val="0"/>
          <w:divBdr>
            <w:top w:val="none" w:sz="0" w:space="0" w:color="auto"/>
            <w:left w:val="none" w:sz="0" w:space="0" w:color="auto"/>
            <w:bottom w:val="none" w:sz="0" w:space="0" w:color="auto"/>
            <w:right w:val="none" w:sz="0" w:space="0" w:color="auto"/>
          </w:divBdr>
        </w:div>
        <w:div w:id="2139489859">
          <w:marLeft w:val="0"/>
          <w:marRight w:val="0"/>
          <w:marTop w:val="0"/>
          <w:marBottom w:val="0"/>
          <w:divBdr>
            <w:top w:val="none" w:sz="0" w:space="0" w:color="auto"/>
            <w:left w:val="none" w:sz="0" w:space="0" w:color="auto"/>
            <w:bottom w:val="none" w:sz="0" w:space="0" w:color="auto"/>
            <w:right w:val="none" w:sz="0" w:space="0" w:color="auto"/>
          </w:divBdr>
        </w:div>
      </w:divsChild>
    </w:div>
    <w:div w:id="367687107">
      <w:bodyDiv w:val="1"/>
      <w:marLeft w:val="0"/>
      <w:marRight w:val="0"/>
      <w:marTop w:val="0"/>
      <w:marBottom w:val="0"/>
      <w:divBdr>
        <w:top w:val="none" w:sz="0" w:space="0" w:color="auto"/>
        <w:left w:val="none" w:sz="0" w:space="0" w:color="auto"/>
        <w:bottom w:val="none" w:sz="0" w:space="0" w:color="auto"/>
        <w:right w:val="none" w:sz="0" w:space="0" w:color="auto"/>
      </w:divBdr>
      <w:divsChild>
        <w:div w:id="1413698850">
          <w:marLeft w:val="0"/>
          <w:marRight w:val="0"/>
          <w:marTop w:val="0"/>
          <w:marBottom w:val="0"/>
          <w:divBdr>
            <w:top w:val="none" w:sz="0" w:space="0" w:color="auto"/>
            <w:left w:val="none" w:sz="0" w:space="0" w:color="auto"/>
            <w:bottom w:val="none" w:sz="0" w:space="0" w:color="auto"/>
            <w:right w:val="none" w:sz="0" w:space="0" w:color="auto"/>
          </w:divBdr>
          <w:divsChild>
            <w:div w:id="611865258">
              <w:marLeft w:val="0"/>
              <w:marRight w:val="0"/>
              <w:marTop w:val="0"/>
              <w:marBottom w:val="0"/>
              <w:divBdr>
                <w:top w:val="none" w:sz="0" w:space="0" w:color="auto"/>
                <w:left w:val="none" w:sz="0" w:space="0" w:color="auto"/>
                <w:bottom w:val="none" w:sz="0" w:space="0" w:color="auto"/>
                <w:right w:val="none" w:sz="0" w:space="0" w:color="auto"/>
              </w:divBdr>
              <w:divsChild>
                <w:div w:id="2009944624">
                  <w:marLeft w:val="0"/>
                  <w:marRight w:val="0"/>
                  <w:marTop w:val="0"/>
                  <w:marBottom w:val="0"/>
                  <w:divBdr>
                    <w:top w:val="none" w:sz="0" w:space="0" w:color="auto"/>
                    <w:left w:val="none" w:sz="0" w:space="0" w:color="auto"/>
                    <w:bottom w:val="none" w:sz="0" w:space="0" w:color="auto"/>
                    <w:right w:val="none" w:sz="0" w:space="0" w:color="auto"/>
                  </w:divBdr>
                  <w:divsChild>
                    <w:div w:id="1060207533">
                      <w:marLeft w:val="0"/>
                      <w:marRight w:val="0"/>
                      <w:marTop w:val="0"/>
                      <w:marBottom w:val="0"/>
                      <w:divBdr>
                        <w:top w:val="none" w:sz="0" w:space="0" w:color="auto"/>
                        <w:left w:val="none" w:sz="0" w:space="0" w:color="auto"/>
                        <w:bottom w:val="none" w:sz="0" w:space="0" w:color="auto"/>
                        <w:right w:val="none" w:sz="0" w:space="0" w:color="auto"/>
                      </w:divBdr>
                    </w:div>
                    <w:div w:id="1122652564">
                      <w:marLeft w:val="0"/>
                      <w:marRight w:val="0"/>
                      <w:marTop w:val="0"/>
                      <w:marBottom w:val="0"/>
                      <w:divBdr>
                        <w:top w:val="none" w:sz="0" w:space="0" w:color="auto"/>
                        <w:left w:val="none" w:sz="0" w:space="0" w:color="auto"/>
                        <w:bottom w:val="none" w:sz="0" w:space="0" w:color="auto"/>
                        <w:right w:val="none" w:sz="0" w:space="0" w:color="auto"/>
                      </w:divBdr>
                    </w:div>
                    <w:div w:id="1220478663">
                      <w:marLeft w:val="0"/>
                      <w:marRight w:val="0"/>
                      <w:marTop w:val="0"/>
                      <w:marBottom w:val="0"/>
                      <w:divBdr>
                        <w:top w:val="none" w:sz="0" w:space="0" w:color="auto"/>
                        <w:left w:val="none" w:sz="0" w:space="0" w:color="auto"/>
                        <w:bottom w:val="none" w:sz="0" w:space="0" w:color="auto"/>
                        <w:right w:val="none" w:sz="0" w:space="0" w:color="auto"/>
                      </w:divBdr>
                    </w:div>
                    <w:div w:id="4134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473976">
          <w:marLeft w:val="0"/>
          <w:marRight w:val="0"/>
          <w:marTop w:val="0"/>
          <w:marBottom w:val="0"/>
          <w:divBdr>
            <w:top w:val="none" w:sz="0" w:space="0" w:color="auto"/>
            <w:left w:val="none" w:sz="0" w:space="0" w:color="auto"/>
            <w:bottom w:val="none" w:sz="0" w:space="0" w:color="auto"/>
            <w:right w:val="none" w:sz="0" w:space="0" w:color="auto"/>
          </w:divBdr>
          <w:divsChild>
            <w:div w:id="1613441970">
              <w:marLeft w:val="0"/>
              <w:marRight w:val="0"/>
              <w:marTop w:val="0"/>
              <w:marBottom w:val="0"/>
              <w:divBdr>
                <w:top w:val="none" w:sz="0" w:space="0" w:color="auto"/>
                <w:left w:val="none" w:sz="0" w:space="0" w:color="auto"/>
                <w:bottom w:val="none" w:sz="0" w:space="0" w:color="auto"/>
                <w:right w:val="none" w:sz="0" w:space="0" w:color="auto"/>
              </w:divBdr>
              <w:divsChild>
                <w:div w:id="1276056370">
                  <w:marLeft w:val="0"/>
                  <w:marRight w:val="0"/>
                  <w:marTop w:val="0"/>
                  <w:marBottom w:val="0"/>
                  <w:divBdr>
                    <w:top w:val="none" w:sz="0" w:space="0" w:color="auto"/>
                    <w:left w:val="none" w:sz="0" w:space="0" w:color="auto"/>
                    <w:bottom w:val="none" w:sz="0" w:space="0" w:color="auto"/>
                    <w:right w:val="none" w:sz="0" w:space="0" w:color="auto"/>
                  </w:divBdr>
                  <w:divsChild>
                    <w:div w:id="1785810237">
                      <w:marLeft w:val="0"/>
                      <w:marRight w:val="0"/>
                      <w:marTop w:val="0"/>
                      <w:marBottom w:val="0"/>
                      <w:divBdr>
                        <w:top w:val="none" w:sz="0" w:space="0" w:color="auto"/>
                        <w:left w:val="none" w:sz="0" w:space="0" w:color="auto"/>
                        <w:bottom w:val="none" w:sz="0" w:space="0" w:color="auto"/>
                        <w:right w:val="none" w:sz="0" w:space="0" w:color="auto"/>
                      </w:divBdr>
                      <w:divsChild>
                        <w:div w:id="23432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019342">
      <w:bodyDiv w:val="1"/>
      <w:marLeft w:val="0"/>
      <w:marRight w:val="0"/>
      <w:marTop w:val="0"/>
      <w:marBottom w:val="0"/>
      <w:divBdr>
        <w:top w:val="none" w:sz="0" w:space="0" w:color="auto"/>
        <w:left w:val="none" w:sz="0" w:space="0" w:color="auto"/>
        <w:bottom w:val="none" w:sz="0" w:space="0" w:color="auto"/>
        <w:right w:val="none" w:sz="0" w:space="0" w:color="auto"/>
      </w:divBdr>
      <w:divsChild>
        <w:div w:id="1763377894">
          <w:marLeft w:val="0"/>
          <w:marRight w:val="0"/>
          <w:marTop w:val="0"/>
          <w:marBottom w:val="0"/>
          <w:divBdr>
            <w:top w:val="none" w:sz="0" w:space="0" w:color="auto"/>
            <w:left w:val="none" w:sz="0" w:space="0" w:color="auto"/>
            <w:bottom w:val="none" w:sz="0" w:space="0" w:color="auto"/>
            <w:right w:val="none" w:sz="0" w:space="0" w:color="auto"/>
          </w:divBdr>
        </w:div>
        <w:div w:id="1046417795">
          <w:marLeft w:val="0"/>
          <w:marRight w:val="0"/>
          <w:marTop w:val="0"/>
          <w:marBottom w:val="0"/>
          <w:divBdr>
            <w:top w:val="none" w:sz="0" w:space="0" w:color="auto"/>
            <w:left w:val="none" w:sz="0" w:space="0" w:color="auto"/>
            <w:bottom w:val="none" w:sz="0" w:space="0" w:color="auto"/>
            <w:right w:val="none" w:sz="0" w:space="0" w:color="auto"/>
          </w:divBdr>
        </w:div>
        <w:div w:id="911812494">
          <w:marLeft w:val="0"/>
          <w:marRight w:val="0"/>
          <w:marTop w:val="0"/>
          <w:marBottom w:val="0"/>
          <w:divBdr>
            <w:top w:val="none" w:sz="0" w:space="0" w:color="auto"/>
            <w:left w:val="none" w:sz="0" w:space="0" w:color="auto"/>
            <w:bottom w:val="none" w:sz="0" w:space="0" w:color="auto"/>
            <w:right w:val="none" w:sz="0" w:space="0" w:color="auto"/>
          </w:divBdr>
        </w:div>
      </w:divsChild>
    </w:div>
    <w:div w:id="381952893">
      <w:bodyDiv w:val="1"/>
      <w:marLeft w:val="0"/>
      <w:marRight w:val="0"/>
      <w:marTop w:val="0"/>
      <w:marBottom w:val="0"/>
      <w:divBdr>
        <w:top w:val="none" w:sz="0" w:space="0" w:color="auto"/>
        <w:left w:val="none" w:sz="0" w:space="0" w:color="auto"/>
        <w:bottom w:val="none" w:sz="0" w:space="0" w:color="auto"/>
        <w:right w:val="none" w:sz="0" w:space="0" w:color="auto"/>
      </w:divBdr>
      <w:divsChild>
        <w:div w:id="1100880361">
          <w:marLeft w:val="0"/>
          <w:marRight w:val="0"/>
          <w:marTop w:val="0"/>
          <w:marBottom w:val="0"/>
          <w:divBdr>
            <w:top w:val="none" w:sz="0" w:space="0" w:color="auto"/>
            <w:left w:val="none" w:sz="0" w:space="0" w:color="auto"/>
            <w:bottom w:val="none" w:sz="0" w:space="0" w:color="auto"/>
            <w:right w:val="none" w:sz="0" w:space="0" w:color="auto"/>
          </w:divBdr>
        </w:div>
        <w:div w:id="90125626">
          <w:marLeft w:val="0"/>
          <w:marRight w:val="0"/>
          <w:marTop w:val="0"/>
          <w:marBottom w:val="0"/>
          <w:divBdr>
            <w:top w:val="none" w:sz="0" w:space="0" w:color="auto"/>
            <w:left w:val="none" w:sz="0" w:space="0" w:color="auto"/>
            <w:bottom w:val="none" w:sz="0" w:space="0" w:color="auto"/>
            <w:right w:val="none" w:sz="0" w:space="0" w:color="auto"/>
          </w:divBdr>
        </w:div>
      </w:divsChild>
    </w:div>
    <w:div w:id="398212355">
      <w:bodyDiv w:val="1"/>
      <w:marLeft w:val="0"/>
      <w:marRight w:val="0"/>
      <w:marTop w:val="0"/>
      <w:marBottom w:val="0"/>
      <w:divBdr>
        <w:top w:val="none" w:sz="0" w:space="0" w:color="auto"/>
        <w:left w:val="none" w:sz="0" w:space="0" w:color="auto"/>
        <w:bottom w:val="none" w:sz="0" w:space="0" w:color="auto"/>
        <w:right w:val="none" w:sz="0" w:space="0" w:color="auto"/>
      </w:divBdr>
      <w:divsChild>
        <w:div w:id="1403287491">
          <w:marLeft w:val="0"/>
          <w:marRight w:val="0"/>
          <w:marTop w:val="0"/>
          <w:marBottom w:val="0"/>
          <w:divBdr>
            <w:top w:val="none" w:sz="0" w:space="0" w:color="auto"/>
            <w:left w:val="none" w:sz="0" w:space="0" w:color="auto"/>
            <w:bottom w:val="none" w:sz="0" w:space="0" w:color="auto"/>
            <w:right w:val="none" w:sz="0" w:space="0" w:color="auto"/>
          </w:divBdr>
        </w:div>
        <w:div w:id="321353950">
          <w:marLeft w:val="0"/>
          <w:marRight w:val="0"/>
          <w:marTop w:val="0"/>
          <w:marBottom w:val="0"/>
          <w:divBdr>
            <w:top w:val="none" w:sz="0" w:space="0" w:color="auto"/>
            <w:left w:val="none" w:sz="0" w:space="0" w:color="auto"/>
            <w:bottom w:val="none" w:sz="0" w:space="0" w:color="auto"/>
            <w:right w:val="none" w:sz="0" w:space="0" w:color="auto"/>
          </w:divBdr>
        </w:div>
        <w:div w:id="133181282">
          <w:marLeft w:val="0"/>
          <w:marRight w:val="0"/>
          <w:marTop w:val="0"/>
          <w:marBottom w:val="0"/>
          <w:divBdr>
            <w:top w:val="none" w:sz="0" w:space="0" w:color="auto"/>
            <w:left w:val="none" w:sz="0" w:space="0" w:color="auto"/>
            <w:bottom w:val="none" w:sz="0" w:space="0" w:color="auto"/>
            <w:right w:val="none" w:sz="0" w:space="0" w:color="auto"/>
          </w:divBdr>
        </w:div>
        <w:div w:id="1705672577">
          <w:marLeft w:val="0"/>
          <w:marRight w:val="0"/>
          <w:marTop w:val="0"/>
          <w:marBottom w:val="0"/>
          <w:divBdr>
            <w:top w:val="none" w:sz="0" w:space="0" w:color="auto"/>
            <w:left w:val="none" w:sz="0" w:space="0" w:color="auto"/>
            <w:bottom w:val="none" w:sz="0" w:space="0" w:color="auto"/>
            <w:right w:val="none" w:sz="0" w:space="0" w:color="auto"/>
          </w:divBdr>
        </w:div>
      </w:divsChild>
    </w:div>
    <w:div w:id="431168673">
      <w:bodyDiv w:val="1"/>
      <w:marLeft w:val="0"/>
      <w:marRight w:val="0"/>
      <w:marTop w:val="0"/>
      <w:marBottom w:val="0"/>
      <w:divBdr>
        <w:top w:val="none" w:sz="0" w:space="0" w:color="auto"/>
        <w:left w:val="none" w:sz="0" w:space="0" w:color="auto"/>
        <w:bottom w:val="none" w:sz="0" w:space="0" w:color="auto"/>
        <w:right w:val="none" w:sz="0" w:space="0" w:color="auto"/>
      </w:divBdr>
    </w:div>
    <w:div w:id="477233922">
      <w:bodyDiv w:val="1"/>
      <w:marLeft w:val="0"/>
      <w:marRight w:val="0"/>
      <w:marTop w:val="0"/>
      <w:marBottom w:val="0"/>
      <w:divBdr>
        <w:top w:val="none" w:sz="0" w:space="0" w:color="auto"/>
        <w:left w:val="none" w:sz="0" w:space="0" w:color="auto"/>
        <w:bottom w:val="none" w:sz="0" w:space="0" w:color="auto"/>
        <w:right w:val="none" w:sz="0" w:space="0" w:color="auto"/>
      </w:divBdr>
      <w:divsChild>
        <w:div w:id="744760278">
          <w:marLeft w:val="0"/>
          <w:marRight w:val="0"/>
          <w:marTop w:val="0"/>
          <w:marBottom w:val="0"/>
          <w:divBdr>
            <w:top w:val="none" w:sz="0" w:space="0" w:color="auto"/>
            <w:left w:val="none" w:sz="0" w:space="0" w:color="auto"/>
            <w:bottom w:val="none" w:sz="0" w:space="0" w:color="auto"/>
            <w:right w:val="none" w:sz="0" w:space="0" w:color="auto"/>
          </w:divBdr>
        </w:div>
        <w:div w:id="1640500610">
          <w:marLeft w:val="0"/>
          <w:marRight w:val="0"/>
          <w:marTop w:val="0"/>
          <w:marBottom w:val="0"/>
          <w:divBdr>
            <w:top w:val="none" w:sz="0" w:space="0" w:color="auto"/>
            <w:left w:val="none" w:sz="0" w:space="0" w:color="auto"/>
            <w:bottom w:val="none" w:sz="0" w:space="0" w:color="auto"/>
            <w:right w:val="none" w:sz="0" w:space="0" w:color="auto"/>
          </w:divBdr>
        </w:div>
        <w:div w:id="1259214600">
          <w:marLeft w:val="0"/>
          <w:marRight w:val="0"/>
          <w:marTop w:val="0"/>
          <w:marBottom w:val="0"/>
          <w:divBdr>
            <w:top w:val="none" w:sz="0" w:space="0" w:color="auto"/>
            <w:left w:val="none" w:sz="0" w:space="0" w:color="auto"/>
            <w:bottom w:val="none" w:sz="0" w:space="0" w:color="auto"/>
            <w:right w:val="none" w:sz="0" w:space="0" w:color="auto"/>
          </w:divBdr>
        </w:div>
      </w:divsChild>
    </w:div>
    <w:div w:id="481123417">
      <w:bodyDiv w:val="1"/>
      <w:marLeft w:val="0"/>
      <w:marRight w:val="0"/>
      <w:marTop w:val="0"/>
      <w:marBottom w:val="0"/>
      <w:divBdr>
        <w:top w:val="none" w:sz="0" w:space="0" w:color="auto"/>
        <w:left w:val="none" w:sz="0" w:space="0" w:color="auto"/>
        <w:bottom w:val="none" w:sz="0" w:space="0" w:color="auto"/>
        <w:right w:val="none" w:sz="0" w:space="0" w:color="auto"/>
      </w:divBdr>
      <w:divsChild>
        <w:div w:id="887034382">
          <w:marLeft w:val="0"/>
          <w:marRight w:val="0"/>
          <w:marTop w:val="0"/>
          <w:marBottom w:val="0"/>
          <w:divBdr>
            <w:top w:val="none" w:sz="0" w:space="0" w:color="auto"/>
            <w:left w:val="none" w:sz="0" w:space="0" w:color="auto"/>
            <w:bottom w:val="none" w:sz="0" w:space="0" w:color="auto"/>
            <w:right w:val="none" w:sz="0" w:space="0" w:color="auto"/>
          </w:divBdr>
        </w:div>
        <w:div w:id="1038705598">
          <w:marLeft w:val="0"/>
          <w:marRight w:val="0"/>
          <w:marTop w:val="0"/>
          <w:marBottom w:val="0"/>
          <w:divBdr>
            <w:top w:val="none" w:sz="0" w:space="0" w:color="auto"/>
            <w:left w:val="none" w:sz="0" w:space="0" w:color="auto"/>
            <w:bottom w:val="none" w:sz="0" w:space="0" w:color="auto"/>
            <w:right w:val="none" w:sz="0" w:space="0" w:color="auto"/>
          </w:divBdr>
        </w:div>
      </w:divsChild>
    </w:div>
    <w:div w:id="486289895">
      <w:bodyDiv w:val="1"/>
      <w:marLeft w:val="0"/>
      <w:marRight w:val="0"/>
      <w:marTop w:val="0"/>
      <w:marBottom w:val="0"/>
      <w:divBdr>
        <w:top w:val="none" w:sz="0" w:space="0" w:color="auto"/>
        <w:left w:val="none" w:sz="0" w:space="0" w:color="auto"/>
        <w:bottom w:val="none" w:sz="0" w:space="0" w:color="auto"/>
        <w:right w:val="none" w:sz="0" w:space="0" w:color="auto"/>
      </w:divBdr>
      <w:divsChild>
        <w:div w:id="700284292">
          <w:marLeft w:val="0"/>
          <w:marRight w:val="0"/>
          <w:marTop w:val="0"/>
          <w:marBottom w:val="0"/>
          <w:divBdr>
            <w:top w:val="none" w:sz="0" w:space="0" w:color="auto"/>
            <w:left w:val="none" w:sz="0" w:space="0" w:color="auto"/>
            <w:bottom w:val="none" w:sz="0" w:space="0" w:color="auto"/>
            <w:right w:val="none" w:sz="0" w:space="0" w:color="auto"/>
          </w:divBdr>
        </w:div>
        <w:div w:id="1855267474">
          <w:marLeft w:val="0"/>
          <w:marRight w:val="0"/>
          <w:marTop w:val="0"/>
          <w:marBottom w:val="0"/>
          <w:divBdr>
            <w:top w:val="none" w:sz="0" w:space="0" w:color="auto"/>
            <w:left w:val="none" w:sz="0" w:space="0" w:color="auto"/>
            <w:bottom w:val="none" w:sz="0" w:space="0" w:color="auto"/>
            <w:right w:val="none" w:sz="0" w:space="0" w:color="auto"/>
          </w:divBdr>
        </w:div>
        <w:div w:id="1422338096">
          <w:marLeft w:val="0"/>
          <w:marRight w:val="0"/>
          <w:marTop w:val="0"/>
          <w:marBottom w:val="0"/>
          <w:divBdr>
            <w:top w:val="none" w:sz="0" w:space="0" w:color="auto"/>
            <w:left w:val="none" w:sz="0" w:space="0" w:color="auto"/>
            <w:bottom w:val="none" w:sz="0" w:space="0" w:color="auto"/>
            <w:right w:val="none" w:sz="0" w:space="0" w:color="auto"/>
          </w:divBdr>
        </w:div>
        <w:div w:id="1468816410">
          <w:marLeft w:val="0"/>
          <w:marRight w:val="0"/>
          <w:marTop w:val="0"/>
          <w:marBottom w:val="0"/>
          <w:divBdr>
            <w:top w:val="none" w:sz="0" w:space="0" w:color="auto"/>
            <w:left w:val="none" w:sz="0" w:space="0" w:color="auto"/>
            <w:bottom w:val="none" w:sz="0" w:space="0" w:color="auto"/>
            <w:right w:val="none" w:sz="0" w:space="0" w:color="auto"/>
          </w:divBdr>
        </w:div>
        <w:div w:id="1797873877">
          <w:marLeft w:val="0"/>
          <w:marRight w:val="0"/>
          <w:marTop w:val="0"/>
          <w:marBottom w:val="0"/>
          <w:divBdr>
            <w:top w:val="none" w:sz="0" w:space="0" w:color="auto"/>
            <w:left w:val="none" w:sz="0" w:space="0" w:color="auto"/>
            <w:bottom w:val="none" w:sz="0" w:space="0" w:color="auto"/>
            <w:right w:val="none" w:sz="0" w:space="0" w:color="auto"/>
          </w:divBdr>
        </w:div>
        <w:div w:id="2000887414">
          <w:marLeft w:val="0"/>
          <w:marRight w:val="0"/>
          <w:marTop w:val="0"/>
          <w:marBottom w:val="0"/>
          <w:divBdr>
            <w:top w:val="none" w:sz="0" w:space="0" w:color="auto"/>
            <w:left w:val="none" w:sz="0" w:space="0" w:color="auto"/>
            <w:bottom w:val="none" w:sz="0" w:space="0" w:color="auto"/>
            <w:right w:val="none" w:sz="0" w:space="0" w:color="auto"/>
          </w:divBdr>
        </w:div>
      </w:divsChild>
    </w:div>
    <w:div w:id="493837942">
      <w:bodyDiv w:val="1"/>
      <w:marLeft w:val="0"/>
      <w:marRight w:val="0"/>
      <w:marTop w:val="0"/>
      <w:marBottom w:val="0"/>
      <w:divBdr>
        <w:top w:val="none" w:sz="0" w:space="0" w:color="auto"/>
        <w:left w:val="none" w:sz="0" w:space="0" w:color="auto"/>
        <w:bottom w:val="none" w:sz="0" w:space="0" w:color="auto"/>
        <w:right w:val="none" w:sz="0" w:space="0" w:color="auto"/>
      </w:divBdr>
      <w:divsChild>
        <w:div w:id="1999379020">
          <w:marLeft w:val="0"/>
          <w:marRight w:val="0"/>
          <w:marTop w:val="120"/>
          <w:marBottom w:val="120"/>
          <w:divBdr>
            <w:top w:val="none" w:sz="0" w:space="0" w:color="auto"/>
            <w:left w:val="none" w:sz="0" w:space="0" w:color="auto"/>
            <w:bottom w:val="none" w:sz="0" w:space="0" w:color="auto"/>
            <w:right w:val="none" w:sz="0" w:space="0" w:color="auto"/>
          </w:divBdr>
        </w:div>
        <w:div w:id="1969166282">
          <w:marLeft w:val="0"/>
          <w:marRight w:val="0"/>
          <w:marTop w:val="120"/>
          <w:marBottom w:val="120"/>
          <w:divBdr>
            <w:top w:val="none" w:sz="0" w:space="0" w:color="auto"/>
            <w:left w:val="none" w:sz="0" w:space="0" w:color="auto"/>
            <w:bottom w:val="none" w:sz="0" w:space="0" w:color="auto"/>
            <w:right w:val="none" w:sz="0" w:space="0" w:color="auto"/>
          </w:divBdr>
        </w:div>
      </w:divsChild>
    </w:div>
    <w:div w:id="495220693">
      <w:bodyDiv w:val="1"/>
      <w:marLeft w:val="0"/>
      <w:marRight w:val="0"/>
      <w:marTop w:val="0"/>
      <w:marBottom w:val="0"/>
      <w:divBdr>
        <w:top w:val="none" w:sz="0" w:space="0" w:color="auto"/>
        <w:left w:val="none" w:sz="0" w:space="0" w:color="auto"/>
        <w:bottom w:val="none" w:sz="0" w:space="0" w:color="auto"/>
        <w:right w:val="none" w:sz="0" w:space="0" w:color="auto"/>
      </w:divBdr>
      <w:divsChild>
        <w:div w:id="732696298">
          <w:marLeft w:val="0"/>
          <w:marRight w:val="0"/>
          <w:marTop w:val="0"/>
          <w:marBottom w:val="0"/>
          <w:divBdr>
            <w:top w:val="none" w:sz="0" w:space="0" w:color="auto"/>
            <w:left w:val="none" w:sz="0" w:space="0" w:color="auto"/>
            <w:bottom w:val="none" w:sz="0" w:space="0" w:color="auto"/>
            <w:right w:val="none" w:sz="0" w:space="0" w:color="auto"/>
          </w:divBdr>
        </w:div>
        <w:div w:id="704327122">
          <w:marLeft w:val="0"/>
          <w:marRight w:val="0"/>
          <w:marTop w:val="0"/>
          <w:marBottom w:val="0"/>
          <w:divBdr>
            <w:top w:val="none" w:sz="0" w:space="0" w:color="auto"/>
            <w:left w:val="none" w:sz="0" w:space="0" w:color="auto"/>
            <w:bottom w:val="none" w:sz="0" w:space="0" w:color="auto"/>
            <w:right w:val="none" w:sz="0" w:space="0" w:color="auto"/>
          </w:divBdr>
        </w:div>
        <w:div w:id="1915241184">
          <w:marLeft w:val="0"/>
          <w:marRight w:val="0"/>
          <w:marTop w:val="0"/>
          <w:marBottom w:val="0"/>
          <w:divBdr>
            <w:top w:val="none" w:sz="0" w:space="0" w:color="auto"/>
            <w:left w:val="none" w:sz="0" w:space="0" w:color="auto"/>
            <w:bottom w:val="none" w:sz="0" w:space="0" w:color="auto"/>
            <w:right w:val="none" w:sz="0" w:space="0" w:color="auto"/>
          </w:divBdr>
        </w:div>
        <w:div w:id="489097672">
          <w:marLeft w:val="0"/>
          <w:marRight w:val="0"/>
          <w:marTop w:val="0"/>
          <w:marBottom w:val="0"/>
          <w:divBdr>
            <w:top w:val="none" w:sz="0" w:space="0" w:color="auto"/>
            <w:left w:val="none" w:sz="0" w:space="0" w:color="auto"/>
            <w:bottom w:val="none" w:sz="0" w:space="0" w:color="auto"/>
            <w:right w:val="none" w:sz="0" w:space="0" w:color="auto"/>
          </w:divBdr>
        </w:div>
        <w:div w:id="1498227330">
          <w:marLeft w:val="0"/>
          <w:marRight w:val="0"/>
          <w:marTop w:val="0"/>
          <w:marBottom w:val="0"/>
          <w:divBdr>
            <w:top w:val="none" w:sz="0" w:space="0" w:color="auto"/>
            <w:left w:val="none" w:sz="0" w:space="0" w:color="auto"/>
            <w:bottom w:val="none" w:sz="0" w:space="0" w:color="auto"/>
            <w:right w:val="none" w:sz="0" w:space="0" w:color="auto"/>
          </w:divBdr>
        </w:div>
        <w:div w:id="1684277848">
          <w:marLeft w:val="0"/>
          <w:marRight w:val="0"/>
          <w:marTop w:val="0"/>
          <w:marBottom w:val="0"/>
          <w:divBdr>
            <w:top w:val="none" w:sz="0" w:space="0" w:color="auto"/>
            <w:left w:val="none" w:sz="0" w:space="0" w:color="auto"/>
            <w:bottom w:val="none" w:sz="0" w:space="0" w:color="auto"/>
            <w:right w:val="none" w:sz="0" w:space="0" w:color="auto"/>
          </w:divBdr>
        </w:div>
        <w:div w:id="1457989532">
          <w:marLeft w:val="0"/>
          <w:marRight w:val="0"/>
          <w:marTop w:val="0"/>
          <w:marBottom w:val="0"/>
          <w:divBdr>
            <w:top w:val="none" w:sz="0" w:space="0" w:color="auto"/>
            <w:left w:val="none" w:sz="0" w:space="0" w:color="auto"/>
            <w:bottom w:val="none" w:sz="0" w:space="0" w:color="auto"/>
            <w:right w:val="none" w:sz="0" w:space="0" w:color="auto"/>
          </w:divBdr>
        </w:div>
      </w:divsChild>
    </w:div>
    <w:div w:id="501509460">
      <w:bodyDiv w:val="1"/>
      <w:marLeft w:val="0"/>
      <w:marRight w:val="0"/>
      <w:marTop w:val="0"/>
      <w:marBottom w:val="0"/>
      <w:divBdr>
        <w:top w:val="none" w:sz="0" w:space="0" w:color="auto"/>
        <w:left w:val="none" w:sz="0" w:space="0" w:color="auto"/>
        <w:bottom w:val="none" w:sz="0" w:space="0" w:color="auto"/>
        <w:right w:val="none" w:sz="0" w:space="0" w:color="auto"/>
      </w:divBdr>
      <w:divsChild>
        <w:div w:id="1820341526">
          <w:marLeft w:val="0"/>
          <w:marRight w:val="0"/>
          <w:marTop w:val="0"/>
          <w:marBottom w:val="0"/>
          <w:divBdr>
            <w:top w:val="none" w:sz="0" w:space="0" w:color="auto"/>
            <w:left w:val="none" w:sz="0" w:space="0" w:color="auto"/>
            <w:bottom w:val="none" w:sz="0" w:space="0" w:color="auto"/>
            <w:right w:val="none" w:sz="0" w:space="0" w:color="auto"/>
          </w:divBdr>
        </w:div>
        <w:div w:id="791051057">
          <w:marLeft w:val="0"/>
          <w:marRight w:val="0"/>
          <w:marTop w:val="0"/>
          <w:marBottom w:val="0"/>
          <w:divBdr>
            <w:top w:val="none" w:sz="0" w:space="0" w:color="auto"/>
            <w:left w:val="none" w:sz="0" w:space="0" w:color="auto"/>
            <w:bottom w:val="none" w:sz="0" w:space="0" w:color="auto"/>
            <w:right w:val="none" w:sz="0" w:space="0" w:color="auto"/>
          </w:divBdr>
        </w:div>
        <w:div w:id="759372185">
          <w:marLeft w:val="0"/>
          <w:marRight w:val="0"/>
          <w:marTop w:val="0"/>
          <w:marBottom w:val="0"/>
          <w:divBdr>
            <w:top w:val="none" w:sz="0" w:space="0" w:color="auto"/>
            <w:left w:val="none" w:sz="0" w:space="0" w:color="auto"/>
            <w:bottom w:val="none" w:sz="0" w:space="0" w:color="auto"/>
            <w:right w:val="none" w:sz="0" w:space="0" w:color="auto"/>
          </w:divBdr>
        </w:div>
      </w:divsChild>
    </w:div>
    <w:div w:id="505243073">
      <w:bodyDiv w:val="1"/>
      <w:marLeft w:val="0"/>
      <w:marRight w:val="0"/>
      <w:marTop w:val="0"/>
      <w:marBottom w:val="0"/>
      <w:divBdr>
        <w:top w:val="none" w:sz="0" w:space="0" w:color="auto"/>
        <w:left w:val="none" w:sz="0" w:space="0" w:color="auto"/>
        <w:bottom w:val="none" w:sz="0" w:space="0" w:color="auto"/>
        <w:right w:val="none" w:sz="0" w:space="0" w:color="auto"/>
      </w:divBdr>
      <w:divsChild>
        <w:div w:id="227031805">
          <w:marLeft w:val="0"/>
          <w:marRight w:val="0"/>
          <w:marTop w:val="0"/>
          <w:marBottom w:val="0"/>
          <w:divBdr>
            <w:top w:val="none" w:sz="0" w:space="0" w:color="auto"/>
            <w:left w:val="none" w:sz="0" w:space="0" w:color="auto"/>
            <w:bottom w:val="none" w:sz="0" w:space="0" w:color="auto"/>
            <w:right w:val="none" w:sz="0" w:space="0" w:color="auto"/>
          </w:divBdr>
        </w:div>
        <w:div w:id="156582402">
          <w:marLeft w:val="0"/>
          <w:marRight w:val="0"/>
          <w:marTop w:val="0"/>
          <w:marBottom w:val="0"/>
          <w:divBdr>
            <w:top w:val="none" w:sz="0" w:space="0" w:color="auto"/>
            <w:left w:val="none" w:sz="0" w:space="0" w:color="auto"/>
            <w:bottom w:val="none" w:sz="0" w:space="0" w:color="auto"/>
            <w:right w:val="none" w:sz="0" w:space="0" w:color="auto"/>
          </w:divBdr>
        </w:div>
        <w:div w:id="1377008195">
          <w:marLeft w:val="0"/>
          <w:marRight w:val="0"/>
          <w:marTop w:val="0"/>
          <w:marBottom w:val="0"/>
          <w:divBdr>
            <w:top w:val="none" w:sz="0" w:space="0" w:color="auto"/>
            <w:left w:val="none" w:sz="0" w:space="0" w:color="auto"/>
            <w:bottom w:val="none" w:sz="0" w:space="0" w:color="auto"/>
            <w:right w:val="none" w:sz="0" w:space="0" w:color="auto"/>
          </w:divBdr>
        </w:div>
        <w:div w:id="1042362457">
          <w:marLeft w:val="0"/>
          <w:marRight w:val="0"/>
          <w:marTop w:val="0"/>
          <w:marBottom w:val="0"/>
          <w:divBdr>
            <w:top w:val="none" w:sz="0" w:space="0" w:color="auto"/>
            <w:left w:val="none" w:sz="0" w:space="0" w:color="auto"/>
            <w:bottom w:val="none" w:sz="0" w:space="0" w:color="auto"/>
            <w:right w:val="none" w:sz="0" w:space="0" w:color="auto"/>
          </w:divBdr>
        </w:div>
        <w:div w:id="940844333">
          <w:marLeft w:val="0"/>
          <w:marRight w:val="0"/>
          <w:marTop w:val="0"/>
          <w:marBottom w:val="0"/>
          <w:divBdr>
            <w:top w:val="none" w:sz="0" w:space="0" w:color="auto"/>
            <w:left w:val="none" w:sz="0" w:space="0" w:color="auto"/>
            <w:bottom w:val="none" w:sz="0" w:space="0" w:color="auto"/>
            <w:right w:val="none" w:sz="0" w:space="0" w:color="auto"/>
          </w:divBdr>
        </w:div>
        <w:div w:id="683241576">
          <w:marLeft w:val="0"/>
          <w:marRight w:val="0"/>
          <w:marTop w:val="0"/>
          <w:marBottom w:val="0"/>
          <w:divBdr>
            <w:top w:val="none" w:sz="0" w:space="0" w:color="auto"/>
            <w:left w:val="none" w:sz="0" w:space="0" w:color="auto"/>
            <w:bottom w:val="none" w:sz="0" w:space="0" w:color="auto"/>
            <w:right w:val="none" w:sz="0" w:space="0" w:color="auto"/>
          </w:divBdr>
        </w:div>
        <w:div w:id="2515857">
          <w:marLeft w:val="0"/>
          <w:marRight w:val="0"/>
          <w:marTop w:val="0"/>
          <w:marBottom w:val="0"/>
          <w:divBdr>
            <w:top w:val="none" w:sz="0" w:space="0" w:color="auto"/>
            <w:left w:val="none" w:sz="0" w:space="0" w:color="auto"/>
            <w:bottom w:val="none" w:sz="0" w:space="0" w:color="auto"/>
            <w:right w:val="none" w:sz="0" w:space="0" w:color="auto"/>
          </w:divBdr>
        </w:div>
        <w:div w:id="1379357966">
          <w:marLeft w:val="0"/>
          <w:marRight w:val="0"/>
          <w:marTop w:val="0"/>
          <w:marBottom w:val="0"/>
          <w:divBdr>
            <w:top w:val="none" w:sz="0" w:space="0" w:color="auto"/>
            <w:left w:val="none" w:sz="0" w:space="0" w:color="auto"/>
            <w:bottom w:val="none" w:sz="0" w:space="0" w:color="auto"/>
            <w:right w:val="none" w:sz="0" w:space="0" w:color="auto"/>
          </w:divBdr>
        </w:div>
        <w:div w:id="1426726609">
          <w:marLeft w:val="0"/>
          <w:marRight w:val="0"/>
          <w:marTop w:val="0"/>
          <w:marBottom w:val="0"/>
          <w:divBdr>
            <w:top w:val="none" w:sz="0" w:space="0" w:color="auto"/>
            <w:left w:val="none" w:sz="0" w:space="0" w:color="auto"/>
            <w:bottom w:val="none" w:sz="0" w:space="0" w:color="auto"/>
            <w:right w:val="none" w:sz="0" w:space="0" w:color="auto"/>
          </w:divBdr>
        </w:div>
        <w:div w:id="969745922">
          <w:marLeft w:val="0"/>
          <w:marRight w:val="0"/>
          <w:marTop w:val="0"/>
          <w:marBottom w:val="0"/>
          <w:divBdr>
            <w:top w:val="none" w:sz="0" w:space="0" w:color="auto"/>
            <w:left w:val="none" w:sz="0" w:space="0" w:color="auto"/>
            <w:bottom w:val="none" w:sz="0" w:space="0" w:color="auto"/>
            <w:right w:val="none" w:sz="0" w:space="0" w:color="auto"/>
          </w:divBdr>
        </w:div>
      </w:divsChild>
    </w:div>
    <w:div w:id="520700623">
      <w:bodyDiv w:val="1"/>
      <w:marLeft w:val="0"/>
      <w:marRight w:val="0"/>
      <w:marTop w:val="0"/>
      <w:marBottom w:val="0"/>
      <w:divBdr>
        <w:top w:val="none" w:sz="0" w:space="0" w:color="auto"/>
        <w:left w:val="none" w:sz="0" w:space="0" w:color="auto"/>
        <w:bottom w:val="none" w:sz="0" w:space="0" w:color="auto"/>
        <w:right w:val="none" w:sz="0" w:space="0" w:color="auto"/>
      </w:divBdr>
    </w:div>
    <w:div w:id="522673661">
      <w:bodyDiv w:val="1"/>
      <w:marLeft w:val="0"/>
      <w:marRight w:val="0"/>
      <w:marTop w:val="0"/>
      <w:marBottom w:val="0"/>
      <w:divBdr>
        <w:top w:val="none" w:sz="0" w:space="0" w:color="auto"/>
        <w:left w:val="none" w:sz="0" w:space="0" w:color="auto"/>
        <w:bottom w:val="none" w:sz="0" w:space="0" w:color="auto"/>
        <w:right w:val="none" w:sz="0" w:space="0" w:color="auto"/>
      </w:divBdr>
      <w:divsChild>
        <w:div w:id="2130200749">
          <w:marLeft w:val="0"/>
          <w:marRight w:val="0"/>
          <w:marTop w:val="0"/>
          <w:marBottom w:val="0"/>
          <w:divBdr>
            <w:top w:val="none" w:sz="0" w:space="0" w:color="auto"/>
            <w:left w:val="none" w:sz="0" w:space="0" w:color="auto"/>
            <w:bottom w:val="none" w:sz="0" w:space="0" w:color="auto"/>
            <w:right w:val="none" w:sz="0" w:space="0" w:color="auto"/>
          </w:divBdr>
        </w:div>
        <w:div w:id="898130715">
          <w:marLeft w:val="0"/>
          <w:marRight w:val="0"/>
          <w:marTop w:val="0"/>
          <w:marBottom w:val="0"/>
          <w:divBdr>
            <w:top w:val="none" w:sz="0" w:space="0" w:color="auto"/>
            <w:left w:val="none" w:sz="0" w:space="0" w:color="auto"/>
            <w:bottom w:val="none" w:sz="0" w:space="0" w:color="auto"/>
            <w:right w:val="none" w:sz="0" w:space="0" w:color="auto"/>
          </w:divBdr>
        </w:div>
      </w:divsChild>
    </w:div>
    <w:div w:id="522982228">
      <w:bodyDiv w:val="1"/>
      <w:marLeft w:val="0"/>
      <w:marRight w:val="0"/>
      <w:marTop w:val="0"/>
      <w:marBottom w:val="0"/>
      <w:divBdr>
        <w:top w:val="none" w:sz="0" w:space="0" w:color="auto"/>
        <w:left w:val="none" w:sz="0" w:space="0" w:color="auto"/>
        <w:bottom w:val="none" w:sz="0" w:space="0" w:color="auto"/>
        <w:right w:val="none" w:sz="0" w:space="0" w:color="auto"/>
      </w:divBdr>
      <w:divsChild>
        <w:div w:id="1782607366">
          <w:marLeft w:val="0"/>
          <w:marRight w:val="0"/>
          <w:marTop w:val="0"/>
          <w:marBottom w:val="0"/>
          <w:divBdr>
            <w:top w:val="none" w:sz="0" w:space="0" w:color="auto"/>
            <w:left w:val="none" w:sz="0" w:space="0" w:color="auto"/>
            <w:bottom w:val="none" w:sz="0" w:space="0" w:color="auto"/>
            <w:right w:val="none" w:sz="0" w:space="0" w:color="auto"/>
          </w:divBdr>
        </w:div>
        <w:div w:id="187137552">
          <w:marLeft w:val="0"/>
          <w:marRight w:val="0"/>
          <w:marTop w:val="0"/>
          <w:marBottom w:val="0"/>
          <w:divBdr>
            <w:top w:val="none" w:sz="0" w:space="0" w:color="auto"/>
            <w:left w:val="none" w:sz="0" w:space="0" w:color="auto"/>
            <w:bottom w:val="none" w:sz="0" w:space="0" w:color="auto"/>
            <w:right w:val="none" w:sz="0" w:space="0" w:color="auto"/>
          </w:divBdr>
        </w:div>
        <w:div w:id="395709560">
          <w:marLeft w:val="0"/>
          <w:marRight w:val="0"/>
          <w:marTop w:val="0"/>
          <w:marBottom w:val="0"/>
          <w:divBdr>
            <w:top w:val="none" w:sz="0" w:space="0" w:color="auto"/>
            <w:left w:val="none" w:sz="0" w:space="0" w:color="auto"/>
            <w:bottom w:val="none" w:sz="0" w:space="0" w:color="auto"/>
            <w:right w:val="none" w:sz="0" w:space="0" w:color="auto"/>
          </w:divBdr>
        </w:div>
        <w:div w:id="694621232">
          <w:marLeft w:val="0"/>
          <w:marRight w:val="0"/>
          <w:marTop w:val="0"/>
          <w:marBottom w:val="0"/>
          <w:divBdr>
            <w:top w:val="none" w:sz="0" w:space="0" w:color="auto"/>
            <w:left w:val="none" w:sz="0" w:space="0" w:color="auto"/>
            <w:bottom w:val="none" w:sz="0" w:space="0" w:color="auto"/>
            <w:right w:val="none" w:sz="0" w:space="0" w:color="auto"/>
          </w:divBdr>
        </w:div>
        <w:div w:id="1633057119">
          <w:marLeft w:val="0"/>
          <w:marRight w:val="0"/>
          <w:marTop w:val="0"/>
          <w:marBottom w:val="0"/>
          <w:divBdr>
            <w:top w:val="none" w:sz="0" w:space="0" w:color="auto"/>
            <w:left w:val="none" w:sz="0" w:space="0" w:color="auto"/>
            <w:bottom w:val="none" w:sz="0" w:space="0" w:color="auto"/>
            <w:right w:val="none" w:sz="0" w:space="0" w:color="auto"/>
          </w:divBdr>
        </w:div>
        <w:div w:id="1287782994">
          <w:marLeft w:val="0"/>
          <w:marRight w:val="0"/>
          <w:marTop w:val="0"/>
          <w:marBottom w:val="0"/>
          <w:divBdr>
            <w:top w:val="none" w:sz="0" w:space="0" w:color="auto"/>
            <w:left w:val="none" w:sz="0" w:space="0" w:color="auto"/>
            <w:bottom w:val="none" w:sz="0" w:space="0" w:color="auto"/>
            <w:right w:val="none" w:sz="0" w:space="0" w:color="auto"/>
          </w:divBdr>
        </w:div>
        <w:div w:id="1176263750">
          <w:marLeft w:val="0"/>
          <w:marRight w:val="0"/>
          <w:marTop w:val="0"/>
          <w:marBottom w:val="0"/>
          <w:divBdr>
            <w:top w:val="none" w:sz="0" w:space="0" w:color="auto"/>
            <w:left w:val="none" w:sz="0" w:space="0" w:color="auto"/>
            <w:bottom w:val="none" w:sz="0" w:space="0" w:color="auto"/>
            <w:right w:val="none" w:sz="0" w:space="0" w:color="auto"/>
          </w:divBdr>
        </w:div>
        <w:div w:id="307173105">
          <w:marLeft w:val="0"/>
          <w:marRight w:val="0"/>
          <w:marTop w:val="0"/>
          <w:marBottom w:val="0"/>
          <w:divBdr>
            <w:top w:val="none" w:sz="0" w:space="0" w:color="auto"/>
            <w:left w:val="none" w:sz="0" w:space="0" w:color="auto"/>
            <w:bottom w:val="none" w:sz="0" w:space="0" w:color="auto"/>
            <w:right w:val="none" w:sz="0" w:space="0" w:color="auto"/>
          </w:divBdr>
        </w:div>
      </w:divsChild>
    </w:div>
    <w:div w:id="527639626">
      <w:bodyDiv w:val="1"/>
      <w:marLeft w:val="0"/>
      <w:marRight w:val="0"/>
      <w:marTop w:val="0"/>
      <w:marBottom w:val="0"/>
      <w:divBdr>
        <w:top w:val="none" w:sz="0" w:space="0" w:color="auto"/>
        <w:left w:val="none" w:sz="0" w:space="0" w:color="auto"/>
        <w:bottom w:val="none" w:sz="0" w:space="0" w:color="auto"/>
        <w:right w:val="none" w:sz="0" w:space="0" w:color="auto"/>
      </w:divBdr>
      <w:divsChild>
        <w:div w:id="922225880">
          <w:marLeft w:val="0"/>
          <w:marRight w:val="0"/>
          <w:marTop w:val="0"/>
          <w:marBottom w:val="0"/>
          <w:divBdr>
            <w:top w:val="none" w:sz="0" w:space="0" w:color="auto"/>
            <w:left w:val="none" w:sz="0" w:space="0" w:color="auto"/>
            <w:bottom w:val="none" w:sz="0" w:space="0" w:color="auto"/>
            <w:right w:val="none" w:sz="0" w:space="0" w:color="auto"/>
          </w:divBdr>
          <w:divsChild>
            <w:div w:id="1375546039">
              <w:marLeft w:val="0"/>
              <w:marRight w:val="0"/>
              <w:marTop w:val="0"/>
              <w:marBottom w:val="0"/>
              <w:divBdr>
                <w:top w:val="none" w:sz="0" w:space="0" w:color="auto"/>
                <w:left w:val="none" w:sz="0" w:space="0" w:color="auto"/>
                <w:bottom w:val="none" w:sz="0" w:space="0" w:color="auto"/>
                <w:right w:val="none" w:sz="0" w:space="0" w:color="auto"/>
              </w:divBdr>
              <w:divsChild>
                <w:div w:id="2101295050">
                  <w:marLeft w:val="0"/>
                  <w:marRight w:val="0"/>
                  <w:marTop w:val="0"/>
                  <w:marBottom w:val="0"/>
                  <w:divBdr>
                    <w:top w:val="none" w:sz="0" w:space="0" w:color="auto"/>
                    <w:left w:val="none" w:sz="0" w:space="0" w:color="auto"/>
                    <w:bottom w:val="none" w:sz="0" w:space="0" w:color="auto"/>
                    <w:right w:val="none" w:sz="0" w:space="0" w:color="auto"/>
                  </w:divBdr>
                  <w:divsChild>
                    <w:div w:id="1266959391">
                      <w:marLeft w:val="0"/>
                      <w:marRight w:val="0"/>
                      <w:marTop w:val="0"/>
                      <w:marBottom w:val="0"/>
                      <w:divBdr>
                        <w:top w:val="none" w:sz="0" w:space="0" w:color="auto"/>
                        <w:left w:val="none" w:sz="0" w:space="0" w:color="auto"/>
                        <w:bottom w:val="none" w:sz="0" w:space="0" w:color="auto"/>
                        <w:right w:val="none" w:sz="0" w:space="0" w:color="auto"/>
                      </w:divBdr>
                      <w:divsChild>
                        <w:div w:id="1791708644">
                          <w:marLeft w:val="0"/>
                          <w:marRight w:val="0"/>
                          <w:marTop w:val="180"/>
                          <w:marBottom w:val="0"/>
                          <w:divBdr>
                            <w:top w:val="none" w:sz="0" w:space="0" w:color="auto"/>
                            <w:left w:val="none" w:sz="0" w:space="0" w:color="auto"/>
                            <w:bottom w:val="none" w:sz="0" w:space="0" w:color="auto"/>
                            <w:right w:val="none" w:sz="0" w:space="0" w:color="auto"/>
                          </w:divBdr>
                          <w:divsChild>
                            <w:div w:id="1438527250">
                              <w:marLeft w:val="0"/>
                              <w:marRight w:val="0"/>
                              <w:marTop w:val="0"/>
                              <w:marBottom w:val="0"/>
                              <w:divBdr>
                                <w:top w:val="none" w:sz="0" w:space="0" w:color="auto"/>
                                <w:left w:val="none" w:sz="0" w:space="0" w:color="auto"/>
                                <w:bottom w:val="none" w:sz="0" w:space="0" w:color="auto"/>
                                <w:right w:val="none" w:sz="0" w:space="0" w:color="auto"/>
                              </w:divBdr>
                              <w:divsChild>
                                <w:div w:id="1562129387">
                                  <w:marLeft w:val="0"/>
                                  <w:marRight w:val="0"/>
                                  <w:marTop w:val="0"/>
                                  <w:marBottom w:val="0"/>
                                  <w:divBdr>
                                    <w:top w:val="none" w:sz="0" w:space="0" w:color="auto"/>
                                    <w:left w:val="none" w:sz="0" w:space="0" w:color="auto"/>
                                    <w:bottom w:val="none" w:sz="0" w:space="0" w:color="auto"/>
                                    <w:right w:val="none" w:sz="0" w:space="0" w:color="auto"/>
                                  </w:divBdr>
                                  <w:divsChild>
                                    <w:div w:id="386300555">
                                      <w:marLeft w:val="0"/>
                                      <w:marRight w:val="0"/>
                                      <w:marTop w:val="0"/>
                                      <w:marBottom w:val="0"/>
                                      <w:divBdr>
                                        <w:top w:val="none" w:sz="0" w:space="0" w:color="auto"/>
                                        <w:left w:val="none" w:sz="0" w:space="0" w:color="auto"/>
                                        <w:bottom w:val="none" w:sz="0" w:space="0" w:color="auto"/>
                                        <w:right w:val="none" w:sz="0" w:space="0" w:color="auto"/>
                                      </w:divBdr>
                                      <w:divsChild>
                                        <w:div w:id="165052188">
                                          <w:marLeft w:val="0"/>
                                          <w:marRight w:val="0"/>
                                          <w:marTop w:val="0"/>
                                          <w:marBottom w:val="0"/>
                                          <w:divBdr>
                                            <w:top w:val="none" w:sz="0" w:space="0" w:color="auto"/>
                                            <w:left w:val="none" w:sz="0" w:space="0" w:color="auto"/>
                                            <w:bottom w:val="none" w:sz="0" w:space="0" w:color="auto"/>
                                            <w:right w:val="none" w:sz="0" w:space="0" w:color="auto"/>
                                          </w:divBdr>
                                          <w:divsChild>
                                            <w:div w:id="65690637">
                                              <w:marLeft w:val="0"/>
                                              <w:marRight w:val="0"/>
                                              <w:marTop w:val="0"/>
                                              <w:marBottom w:val="0"/>
                                              <w:divBdr>
                                                <w:top w:val="none" w:sz="0" w:space="0" w:color="auto"/>
                                                <w:left w:val="none" w:sz="0" w:space="0" w:color="auto"/>
                                                <w:bottom w:val="none" w:sz="0" w:space="0" w:color="auto"/>
                                                <w:right w:val="none" w:sz="0" w:space="0" w:color="auto"/>
                                              </w:divBdr>
                                              <w:divsChild>
                                                <w:div w:id="1642005558">
                                                  <w:marLeft w:val="0"/>
                                                  <w:marRight w:val="0"/>
                                                  <w:marTop w:val="0"/>
                                                  <w:marBottom w:val="0"/>
                                                  <w:divBdr>
                                                    <w:top w:val="none" w:sz="0" w:space="0" w:color="auto"/>
                                                    <w:left w:val="none" w:sz="0" w:space="0" w:color="auto"/>
                                                    <w:bottom w:val="none" w:sz="0" w:space="0" w:color="auto"/>
                                                    <w:right w:val="none" w:sz="0" w:space="0" w:color="auto"/>
                                                  </w:divBdr>
                                                  <w:divsChild>
                                                    <w:div w:id="9433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42738">
                                          <w:marLeft w:val="0"/>
                                          <w:marRight w:val="0"/>
                                          <w:marTop w:val="0"/>
                                          <w:marBottom w:val="0"/>
                                          <w:divBdr>
                                            <w:top w:val="none" w:sz="0" w:space="0" w:color="auto"/>
                                            <w:left w:val="none" w:sz="0" w:space="0" w:color="auto"/>
                                            <w:bottom w:val="none" w:sz="0" w:space="0" w:color="auto"/>
                                            <w:right w:val="none" w:sz="0" w:space="0" w:color="auto"/>
                                          </w:divBdr>
                                          <w:divsChild>
                                            <w:div w:id="1838225083">
                                              <w:marLeft w:val="0"/>
                                              <w:marRight w:val="0"/>
                                              <w:marTop w:val="0"/>
                                              <w:marBottom w:val="0"/>
                                              <w:divBdr>
                                                <w:top w:val="none" w:sz="0" w:space="0" w:color="auto"/>
                                                <w:left w:val="none" w:sz="0" w:space="0" w:color="auto"/>
                                                <w:bottom w:val="none" w:sz="0" w:space="0" w:color="auto"/>
                                                <w:right w:val="none" w:sz="0" w:space="0" w:color="auto"/>
                                              </w:divBdr>
                                              <w:divsChild>
                                                <w:div w:id="1344896662">
                                                  <w:marLeft w:val="0"/>
                                                  <w:marRight w:val="0"/>
                                                  <w:marTop w:val="0"/>
                                                  <w:marBottom w:val="0"/>
                                                  <w:divBdr>
                                                    <w:top w:val="none" w:sz="0" w:space="0" w:color="auto"/>
                                                    <w:left w:val="none" w:sz="0" w:space="0" w:color="auto"/>
                                                    <w:bottom w:val="none" w:sz="0" w:space="0" w:color="auto"/>
                                                    <w:right w:val="none" w:sz="0" w:space="0" w:color="auto"/>
                                                  </w:divBdr>
                                                  <w:divsChild>
                                                    <w:div w:id="83308439">
                                                      <w:marLeft w:val="0"/>
                                                      <w:marRight w:val="0"/>
                                                      <w:marTop w:val="0"/>
                                                      <w:marBottom w:val="0"/>
                                                      <w:divBdr>
                                                        <w:top w:val="none" w:sz="0" w:space="0" w:color="auto"/>
                                                        <w:left w:val="none" w:sz="0" w:space="0" w:color="auto"/>
                                                        <w:bottom w:val="none" w:sz="0" w:space="0" w:color="auto"/>
                                                        <w:right w:val="none" w:sz="0" w:space="0" w:color="auto"/>
                                                      </w:divBdr>
                                                      <w:divsChild>
                                                        <w:div w:id="20249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91436">
                                          <w:marLeft w:val="0"/>
                                          <w:marRight w:val="0"/>
                                          <w:marTop w:val="360"/>
                                          <w:marBottom w:val="0"/>
                                          <w:divBdr>
                                            <w:top w:val="none" w:sz="0" w:space="0" w:color="auto"/>
                                            <w:left w:val="none" w:sz="0" w:space="0" w:color="auto"/>
                                            <w:bottom w:val="none" w:sz="0" w:space="0" w:color="auto"/>
                                            <w:right w:val="none" w:sz="0" w:space="0" w:color="auto"/>
                                          </w:divBdr>
                                          <w:divsChild>
                                            <w:div w:id="1599022189">
                                              <w:marLeft w:val="0"/>
                                              <w:marRight w:val="0"/>
                                              <w:marTop w:val="0"/>
                                              <w:marBottom w:val="0"/>
                                              <w:divBdr>
                                                <w:top w:val="none" w:sz="0" w:space="0" w:color="auto"/>
                                                <w:left w:val="none" w:sz="0" w:space="0" w:color="auto"/>
                                                <w:bottom w:val="none" w:sz="0" w:space="0" w:color="auto"/>
                                                <w:right w:val="none" w:sz="0" w:space="0" w:color="auto"/>
                                              </w:divBdr>
                                            </w:div>
                                            <w:div w:id="2082675065">
                                              <w:marLeft w:val="0"/>
                                              <w:marRight w:val="0"/>
                                              <w:marTop w:val="0"/>
                                              <w:marBottom w:val="0"/>
                                              <w:divBdr>
                                                <w:top w:val="none" w:sz="0" w:space="0" w:color="auto"/>
                                                <w:left w:val="none" w:sz="0" w:space="0" w:color="auto"/>
                                                <w:bottom w:val="none" w:sz="0" w:space="0" w:color="auto"/>
                                                <w:right w:val="none" w:sz="0" w:space="0" w:color="auto"/>
                                              </w:divBdr>
                                            </w:div>
                                            <w:div w:id="10413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801228">
      <w:bodyDiv w:val="1"/>
      <w:marLeft w:val="0"/>
      <w:marRight w:val="0"/>
      <w:marTop w:val="0"/>
      <w:marBottom w:val="0"/>
      <w:divBdr>
        <w:top w:val="none" w:sz="0" w:space="0" w:color="auto"/>
        <w:left w:val="none" w:sz="0" w:space="0" w:color="auto"/>
        <w:bottom w:val="none" w:sz="0" w:space="0" w:color="auto"/>
        <w:right w:val="none" w:sz="0" w:space="0" w:color="auto"/>
      </w:divBdr>
      <w:divsChild>
        <w:div w:id="843932645">
          <w:marLeft w:val="0"/>
          <w:marRight w:val="0"/>
          <w:marTop w:val="0"/>
          <w:marBottom w:val="0"/>
          <w:divBdr>
            <w:top w:val="none" w:sz="0" w:space="0" w:color="auto"/>
            <w:left w:val="none" w:sz="0" w:space="0" w:color="auto"/>
            <w:bottom w:val="none" w:sz="0" w:space="0" w:color="auto"/>
            <w:right w:val="none" w:sz="0" w:space="0" w:color="auto"/>
          </w:divBdr>
        </w:div>
        <w:div w:id="1893809298">
          <w:marLeft w:val="0"/>
          <w:marRight w:val="0"/>
          <w:marTop w:val="0"/>
          <w:marBottom w:val="0"/>
          <w:divBdr>
            <w:top w:val="none" w:sz="0" w:space="0" w:color="auto"/>
            <w:left w:val="none" w:sz="0" w:space="0" w:color="auto"/>
            <w:bottom w:val="none" w:sz="0" w:space="0" w:color="auto"/>
            <w:right w:val="none" w:sz="0" w:space="0" w:color="auto"/>
          </w:divBdr>
        </w:div>
        <w:div w:id="1009059027">
          <w:marLeft w:val="0"/>
          <w:marRight w:val="0"/>
          <w:marTop w:val="0"/>
          <w:marBottom w:val="0"/>
          <w:divBdr>
            <w:top w:val="none" w:sz="0" w:space="0" w:color="auto"/>
            <w:left w:val="none" w:sz="0" w:space="0" w:color="auto"/>
            <w:bottom w:val="none" w:sz="0" w:space="0" w:color="auto"/>
            <w:right w:val="none" w:sz="0" w:space="0" w:color="auto"/>
          </w:divBdr>
        </w:div>
      </w:divsChild>
    </w:div>
    <w:div w:id="538709474">
      <w:bodyDiv w:val="1"/>
      <w:marLeft w:val="0"/>
      <w:marRight w:val="0"/>
      <w:marTop w:val="0"/>
      <w:marBottom w:val="0"/>
      <w:divBdr>
        <w:top w:val="none" w:sz="0" w:space="0" w:color="auto"/>
        <w:left w:val="none" w:sz="0" w:space="0" w:color="auto"/>
        <w:bottom w:val="none" w:sz="0" w:space="0" w:color="auto"/>
        <w:right w:val="none" w:sz="0" w:space="0" w:color="auto"/>
      </w:divBdr>
      <w:divsChild>
        <w:div w:id="626088600">
          <w:marLeft w:val="0"/>
          <w:marRight w:val="0"/>
          <w:marTop w:val="0"/>
          <w:marBottom w:val="0"/>
          <w:divBdr>
            <w:top w:val="none" w:sz="0" w:space="0" w:color="auto"/>
            <w:left w:val="none" w:sz="0" w:space="0" w:color="auto"/>
            <w:bottom w:val="none" w:sz="0" w:space="0" w:color="auto"/>
            <w:right w:val="none" w:sz="0" w:space="0" w:color="auto"/>
          </w:divBdr>
        </w:div>
        <w:div w:id="220794099">
          <w:marLeft w:val="0"/>
          <w:marRight w:val="0"/>
          <w:marTop w:val="0"/>
          <w:marBottom w:val="0"/>
          <w:divBdr>
            <w:top w:val="none" w:sz="0" w:space="0" w:color="auto"/>
            <w:left w:val="none" w:sz="0" w:space="0" w:color="auto"/>
            <w:bottom w:val="none" w:sz="0" w:space="0" w:color="auto"/>
            <w:right w:val="none" w:sz="0" w:space="0" w:color="auto"/>
          </w:divBdr>
        </w:div>
        <w:div w:id="1165897996">
          <w:marLeft w:val="0"/>
          <w:marRight w:val="0"/>
          <w:marTop w:val="0"/>
          <w:marBottom w:val="0"/>
          <w:divBdr>
            <w:top w:val="none" w:sz="0" w:space="0" w:color="auto"/>
            <w:left w:val="none" w:sz="0" w:space="0" w:color="auto"/>
            <w:bottom w:val="none" w:sz="0" w:space="0" w:color="auto"/>
            <w:right w:val="none" w:sz="0" w:space="0" w:color="auto"/>
          </w:divBdr>
        </w:div>
      </w:divsChild>
    </w:div>
    <w:div w:id="540481497">
      <w:bodyDiv w:val="1"/>
      <w:marLeft w:val="0"/>
      <w:marRight w:val="0"/>
      <w:marTop w:val="0"/>
      <w:marBottom w:val="0"/>
      <w:divBdr>
        <w:top w:val="none" w:sz="0" w:space="0" w:color="auto"/>
        <w:left w:val="none" w:sz="0" w:space="0" w:color="auto"/>
        <w:bottom w:val="none" w:sz="0" w:space="0" w:color="auto"/>
        <w:right w:val="none" w:sz="0" w:space="0" w:color="auto"/>
      </w:divBdr>
      <w:divsChild>
        <w:div w:id="260840559">
          <w:marLeft w:val="0"/>
          <w:marRight w:val="0"/>
          <w:marTop w:val="0"/>
          <w:marBottom w:val="0"/>
          <w:divBdr>
            <w:top w:val="none" w:sz="0" w:space="0" w:color="auto"/>
            <w:left w:val="none" w:sz="0" w:space="0" w:color="auto"/>
            <w:bottom w:val="none" w:sz="0" w:space="0" w:color="auto"/>
            <w:right w:val="none" w:sz="0" w:space="0" w:color="auto"/>
          </w:divBdr>
        </w:div>
        <w:div w:id="1297613151">
          <w:marLeft w:val="0"/>
          <w:marRight w:val="0"/>
          <w:marTop w:val="0"/>
          <w:marBottom w:val="0"/>
          <w:divBdr>
            <w:top w:val="none" w:sz="0" w:space="0" w:color="auto"/>
            <w:left w:val="none" w:sz="0" w:space="0" w:color="auto"/>
            <w:bottom w:val="none" w:sz="0" w:space="0" w:color="auto"/>
            <w:right w:val="none" w:sz="0" w:space="0" w:color="auto"/>
          </w:divBdr>
        </w:div>
        <w:div w:id="540752531">
          <w:marLeft w:val="0"/>
          <w:marRight w:val="0"/>
          <w:marTop w:val="0"/>
          <w:marBottom w:val="0"/>
          <w:divBdr>
            <w:top w:val="none" w:sz="0" w:space="0" w:color="auto"/>
            <w:left w:val="none" w:sz="0" w:space="0" w:color="auto"/>
            <w:bottom w:val="none" w:sz="0" w:space="0" w:color="auto"/>
            <w:right w:val="none" w:sz="0" w:space="0" w:color="auto"/>
          </w:divBdr>
        </w:div>
        <w:div w:id="1034309301">
          <w:marLeft w:val="0"/>
          <w:marRight w:val="0"/>
          <w:marTop w:val="0"/>
          <w:marBottom w:val="0"/>
          <w:divBdr>
            <w:top w:val="none" w:sz="0" w:space="0" w:color="auto"/>
            <w:left w:val="none" w:sz="0" w:space="0" w:color="auto"/>
            <w:bottom w:val="none" w:sz="0" w:space="0" w:color="auto"/>
            <w:right w:val="none" w:sz="0" w:space="0" w:color="auto"/>
          </w:divBdr>
        </w:div>
      </w:divsChild>
    </w:div>
    <w:div w:id="546534009">
      <w:bodyDiv w:val="1"/>
      <w:marLeft w:val="0"/>
      <w:marRight w:val="0"/>
      <w:marTop w:val="0"/>
      <w:marBottom w:val="0"/>
      <w:divBdr>
        <w:top w:val="none" w:sz="0" w:space="0" w:color="auto"/>
        <w:left w:val="none" w:sz="0" w:space="0" w:color="auto"/>
        <w:bottom w:val="none" w:sz="0" w:space="0" w:color="auto"/>
        <w:right w:val="none" w:sz="0" w:space="0" w:color="auto"/>
      </w:divBdr>
      <w:divsChild>
        <w:div w:id="11033747">
          <w:marLeft w:val="0"/>
          <w:marRight w:val="0"/>
          <w:marTop w:val="0"/>
          <w:marBottom w:val="0"/>
          <w:divBdr>
            <w:top w:val="none" w:sz="0" w:space="0" w:color="auto"/>
            <w:left w:val="none" w:sz="0" w:space="0" w:color="auto"/>
            <w:bottom w:val="none" w:sz="0" w:space="0" w:color="auto"/>
            <w:right w:val="none" w:sz="0" w:space="0" w:color="auto"/>
          </w:divBdr>
        </w:div>
        <w:div w:id="652636555">
          <w:marLeft w:val="0"/>
          <w:marRight w:val="0"/>
          <w:marTop w:val="0"/>
          <w:marBottom w:val="0"/>
          <w:divBdr>
            <w:top w:val="none" w:sz="0" w:space="0" w:color="auto"/>
            <w:left w:val="none" w:sz="0" w:space="0" w:color="auto"/>
            <w:bottom w:val="none" w:sz="0" w:space="0" w:color="auto"/>
            <w:right w:val="none" w:sz="0" w:space="0" w:color="auto"/>
          </w:divBdr>
        </w:div>
        <w:div w:id="419523379">
          <w:marLeft w:val="0"/>
          <w:marRight w:val="0"/>
          <w:marTop w:val="0"/>
          <w:marBottom w:val="0"/>
          <w:divBdr>
            <w:top w:val="none" w:sz="0" w:space="0" w:color="auto"/>
            <w:left w:val="none" w:sz="0" w:space="0" w:color="auto"/>
            <w:bottom w:val="none" w:sz="0" w:space="0" w:color="auto"/>
            <w:right w:val="none" w:sz="0" w:space="0" w:color="auto"/>
          </w:divBdr>
        </w:div>
      </w:divsChild>
    </w:div>
    <w:div w:id="573976944">
      <w:bodyDiv w:val="1"/>
      <w:marLeft w:val="0"/>
      <w:marRight w:val="0"/>
      <w:marTop w:val="0"/>
      <w:marBottom w:val="0"/>
      <w:divBdr>
        <w:top w:val="none" w:sz="0" w:space="0" w:color="auto"/>
        <w:left w:val="none" w:sz="0" w:space="0" w:color="auto"/>
        <w:bottom w:val="none" w:sz="0" w:space="0" w:color="auto"/>
        <w:right w:val="none" w:sz="0" w:space="0" w:color="auto"/>
      </w:divBdr>
      <w:divsChild>
        <w:div w:id="2097431406">
          <w:marLeft w:val="0"/>
          <w:marRight w:val="0"/>
          <w:marTop w:val="0"/>
          <w:marBottom w:val="0"/>
          <w:divBdr>
            <w:top w:val="none" w:sz="0" w:space="0" w:color="auto"/>
            <w:left w:val="none" w:sz="0" w:space="0" w:color="auto"/>
            <w:bottom w:val="none" w:sz="0" w:space="0" w:color="auto"/>
            <w:right w:val="none" w:sz="0" w:space="0" w:color="auto"/>
          </w:divBdr>
        </w:div>
      </w:divsChild>
    </w:div>
    <w:div w:id="583955541">
      <w:bodyDiv w:val="1"/>
      <w:marLeft w:val="0"/>
      <w:marRight w:val="0"/>
      <w:marTop w:val="0"/>
      <w:marBottom w:val="0"/>
      <w:divBdr>
        <w:top w:val="none" w:sz="0" w:space="0" w:color="auto"/>
        <w:left w:val="none" w:sz="0" w:space="0" w:color="auto"/>
        <w:bottom w:val="none" w:sz="0" w:space="0" w:color="auto"/>
        <w:right w:val="none" w:sz="0" w:space="0" w:color="auto"/>
      </w:divBdr>
      <w:divsChild>
        <w:div w:id="1692606086">
          <w:marLeft w:val="0"/>
          <w:marRight w:val="0"/>
          <w:marTop w:val="120"/>
          <w:marBottom w:val="120"/>
          <w:divBdr>
            <w:top w:val="none" w:sz="0" w:space="0" w:color="auto"/>
            <w:left w:val="none" w:sz="0" w:space="0" w:color="auto"/>
            <w:bottom w:val="none" w:sz="0" w:space="0" w:color="auto"/>
            <w:right w:val="none" w:sz="0" w:space="0" w:color="auto"/>
          </w:divBdr>
        </w:div>
        <w:div w:id="2022927846">
          <w:marLeft w:val="0"/>
          <w:marRight w:val="0"/>
          <w:marTop w:val="120"/>
          <w:marBottom w:val="120"/>
          <w:divBdr>
            <w:top w:val="none" w:sz="0" w:space="0" w:color="auto"/>
            <w:left w:val="none" w:sz="0" w:space="0" w:color="auto"/>
            <w:bottom w:val="none" w:sz="0" w:space="0" w:color="auto"/>
            <w:right w:val="none" w:sz="0" w:space="0" w:color="auto"/>
          </w:divBdr>
        </w:div>
        <w:div w:id="652607713">
          <w:marLeft w:val="0"/>
          <w:marRight w:val="0"/>
          <w:marTop w:val="120"/>
          <w:marBottom w:val="120"/>
          <w:divBdr>
            <w:top w:val="none" w:sz="0" w:space="0" w:color="auto"/>
            <w:left w:val="none" w:sz="0" w:space="0" w:color="auto"/>
            <w:bottom w:val="none" w:sz="0" w:space="0" w:color="auto"/>
            <w:right w:val="none" w:sz="0" w:space="0" w:color="auto"/>
          </w:divBdr>
        </w:div>
        <w:div w:id="1057825715">
          <w:marLeft w:val="0"/>
          <w:marRight w:val="0"/>
          <w:marTop w:val="120"/>
          <w:marBottom w:val="120"/>
          <w:divBdr>
            <w:top w:val="none" w:sz="0" w:space="0" w:color="auto"/>
            <w:left w:val="none" w:sz="0" w:space="0" w:color="auto"/>
            <w:bottom w:val="none" w:sz="0" w:space="0" w:color="auto"/>
            <w:right w:val="none" w:sz="0" w:space="0" w:color="auto"/>
          </w:divBdr>
        </w:div>
        <w:div w:id="236597008">
          <w:marLeft w:val="0"/>
          <w:marRight w:val="0"/>
          <w:marTop w:val="120"/>
          <w:marBottom w:val="120"/>
          <w:divBdr>
            <w:top w:val="none" w:sz="0" w:space="0" w:color="auto"/>
            <w:left w:val="none" w:sz="0" w:space="0" w:color="auto"/>
            <w:bottom w:val="none" w:sz="0" w:space="0" w:color="auto"/>
            <w:right w:val="none" w:sz="0" w:space="0" w:color="auto"/>
          </w:divBdr>
        </w:div>
        <w:div w:id="373193330">
          <w:marLeft w:val="0"/>
          <w:marRight w:val="0"/>
          <w:marTop w:val="120"/>
          <w:marBottom w:val="120"/>
          <w:divBdr>
            <w:top w:val="none" w:sz="0" w:space="0" w:color="auto"/>
            <w:left w:val="none" w:sz="0" w:space="0" w:color="auto"/>
            <w:bottom w:val="none" w:sz="0" w:space="0" w:color="auto"/>
            <w:right w:val="none" w:sz="0" w:space="0" w:color="auto"/>
          </w:divBdr>
        </w:div>
        <w:div w:id="332686334">
          <w:marLeft w:val="0"/>
          <w:marRight w:val="0"/>
          <w:marTop w:val="120"/>
          <w:marBottom w:val="120"/>
          <w:divBdr>
            <w:top w:val="none" w:sz="0" w:space="0" w:color="auto"/>
            <w:left w:val="none" w:sz="0" w:space="0" w:color="auto"/>
            <w:bottom w:val="none" w:sz="0" w:space="0" w:color="auto"/>
            <w:right w:val="none" w:sz="0" w:space="0" w:color="auto"/>
          </w:divBdr>
        </w:div>
      </w:divsChild>
    </w:div>
    <w:div w:id="585967384">
      <w:bodyDiv w:val="1"/>
      <w:marLeft w:val="0"/>
      <w:marRight w:val="0"/>
      <w:marTop w:val="0"/>
      <w:marBottom w:val="0"/>
      <w:divBdr>
        <w:top w:val="none" w:sz="0" w:space="0" w:color="auto"/>
        <w:left w:val="none" w:sz="0" w:space="0" w:color="auto"/>
        <w:bottom w:val="none" w:sz="0" w:space="0" w:color="auto"/>
        <w:right w:val="none" w:sz="0" w:space="0" w:color="auto"/>
      </w:divBdr>
      <w:divsChild>
        <w:div w:id="1305306974">
          <w:marLeft w:val="0"/>
          <w:marRight w:val="0"/>
          <w:marTop w:val="0"/>
          <w:marBottom w:val="0"/>
          <w:divBdr>
            <w:top w:val="none" w:sz="0" w:space="0" w:color="auto"/>
            <w:left w:val="none" w:sz="0" w:space="0" w:color="auto"/>
            <w:bottom w:val="none" w:sz="0" w:space="0" w:color="auto"/>
            <w:right w:val="none" w:sz="0" w:space="0" w:color="auto"/>
          </w:divBdr>
        </w:div>
        <w:div w:id="751316846">
          <w:marLeft w:val="0"/>
          <w:marRight w:val="0"/>
          <w:marTop w:val="0"/>
          <w:marBottom w:val="0"/>
          <w:divBdr>
            <w:top w:val="none" w:sz="0" w:space="0" w:color="auto"/>
            <w:left w:val="none" w:sz="0" w:space="0" w:color="auto"/>
            <w:bottom w:val="none" w:sz="0" w:space="0" w:color="auto"/>
            <w:right w:val="none" w:sz="0" w:space="0" w:color="auto"/>
          </w:divBdr>
        </w:div>
        <w:div w:id="679428887">
          <w:marLeft w:val="0"/>
          <w:marRight w:val="0"/>
          <w:marTop w:val="0"/>
          <w:marBottom w:val="0"/>
          <w:divBdr>
            <w:top w:val="none" w:sz="0" w:space="0" w:color="auto"/>
            <w:left w:val="none" w:sz="0" w:space="0" w:color="auto"/>
            <w:bottom w:val="none" w:sz="0" w:space="0" w:color="auto"/>
            <w:right w:val="none" w:sz="0" w:space="0" w:color="auto"/>
          </w:divBdr>
        </w:div>
        <w:div w:id="1426194439">
          <w:marLeft w:val="0"/>
          <w:marRight w:val="0"/>
          <w:marTop w:val="0"/>
          <w:marBottom w:val="0"/>
          <w:divBdr>
            <w:top w:val="none" w:sz="0" w:space="0" w:color="auto"/>
            <w:left w:val="none" w:sz="0" w:space="0" w:color="auto"/>
            <w:bottom w:val="none" w:sz="0" w:space="0" w:color="auto"/>
            <w:right w:val="none" w:sz="0" w:space="0" w:color="auto"/>
          </w:divBdr>
        </w:div>
        <w:div w:id="101581935">
          <w:marLeft w:val="0"/>
          <w:marRight w:val="0"/>
          <w:marTop w:val="0"/>
          <w:marBottom w:val="0"/>
          <w:divBdr>
            <w:top w:val="none" w:sz="0" w:space="0" w:color="auto"/>
            <w:left w:val="none" w:sz="0" w:space="0" w:color="auto"/>
            <w:bottom w:val="none" w:sz="0" w:space="0" w:color="auto"/>
            <w:right w:val="none" w:sz="0" w:space="0" w:color="auto"/>
          </w:divBdr>
        </w:div>
        <w:div w:id="404033117">
          <w:marLeft w:val="0"/>
          <w:marRight w:val="0"/>
          <w:marTop w:val="0"/>
          <w:marBottom w:val="0"/>
          <w:divBdr>
            <w:top w:val="none" w:sz="0" w:space="0" w:color="auto"/>
            <w:left w:val="none" w:sz="0" w:space="0" w:color="auto"/>
            <w:bottom w:val="none" w:sz="0" w:space="0" w:color="auto"/>
            <w:right w:val="none" w:sz="0" w:space="0" w:color="auto"/>
          </w:divBdr>
        </w:div>
        <w:div w:id="583564253">
          <w:marLeft w:val="0"/>
          <w:marRight w:val="0"/>
          <w:marTop w:val="0"/>
          <w:marBottom w:val="0"/>
          <w:divBdr>
            <w:top w:val="none" w:sz="0" w:space="0" w:color="auto"/>
            <w:left w:val="none" w:sz="0" w:space="0" w:color="auto"/>
            <w:bottom w:val="none" w:sz="0" w:space="0" w:color="auto"/>
            <w:right w:val="none" w:sz="0" w:space="0" w:color="auto"/>
          </w:divBdr>
        </w:div>
        <w:div w:id="2087678328">
          <w:marLeft w:val="0"/>
          <w:marRight w:val="0"/>
          <w:marTop w:val="0"/>
          <w:marBottom w:val="0"/>
          <w:divBdr>
            <w:top w:val="none" w:sz="0" w:space="0" w:color="auto"/>
            <w:left w:val="none" w:sz="0" w:space="0" w:color="auto"/>
            <w:bottom w:val="none" w:sz="0" w:space="0" w:color="auto"/>
            <w:right w:val="none" w:sz="0" w:space="0" w:color="auto"/>
          </w:divBdr>
        </w:div>
        <w:div w:id="879903764">
          <w:marLeft w:val="0"/>
          <w:marRight w:val="0"/>
          <w:marTop w:val="0"/>
          <w:marBottom w:val="0"/>
          <w:divBdr>
            <w:top w:val="none" w:sz="0" w:space="0" w:color="auto"/>
            <w:left w:val="none" w:sz="0" w:space="0" w:color="auto"/>
            <w:bottom w:val="none" w:sz="0" w:space="0" w:color="auto"/>
            <w:right w:val="none" w:sz="0" w:space="0" w:color="auto"/>
          </w:divBdr>
        </w:div>
        <w:div w:id="1613173413">
          <w:marLeft w:val="0"/>
          <w:marRight w:val="0"/>
          <w:marTop w:val="0"/>
          <w:marBottom w:val="0"/>
          <w:divBdr>
            <w:top w:val="none" w:sz="0" w:space="0" w:color="auto"/>
            <w:left w:val="none" w:sz="0" w:space="0" w:color="auto"/>
            <w:bottom w:val="none" w:sz="0" w:space="0" w:color="auto"/>
            <w:right w:val="none" w:sz="0" w:space="0" w:color="auto"/>
          </w:divBdr>
        </w:div>
        <w:div w:id="1265265869">
          <w:marLeft w:val="0"/>
          <w:marRight w:val="0"/>
          <w:marTop w:val="0"/>
          <w:marBottom w:val="0"/>
          <w:divBdr>
            <w:top w:val="none" w:sz="0" w:space="0" w:color="auto"/>
            <w:left w:val="none" w:sz="0" w:space="0" w:color="auto"/>
            <w:bottom w:val="none" w:sz="0" w:space="0" w:color="auto"/>
            <w:right w:val="none" w:sz="0" w:space="0" w:color="auto"/>
          </w:divBdr>
        </w:div>
      </w:divsChild>
    </w:div>
    <w:div w:id="598099188">
      <w:bodyDiv w:val="1"/>
      <w:marLeft w:val="0"/>
      <w:marRight w:val="0"/>
      <w:marTop w:val="0"/>
      <w:marBottom w:val="0"/>
      <w:divBdr>
        <w:top w:val="none" w:sz="0" w:space="0" w:color="auto"/>
        <w:left w:val="none" w:sz="0" w:space="0" w:color="auto"/>
        <w:bottom w:val="none" w:sz="0" w:space="0" w:color="auto"/>
        <w:right w:val="none" w:sz="0" w:space="0" w:color="auto"/>
      </w:divBdr>
      <w:divsChild>
        <w:div w:id="5596949">
          <w:marLeft w:val="0"/>
          <w:marRight w:val="0"/>
          <w:marTop w:val="0"/>
          <w:marBottom w:val="0"/>
          <w:divBdr>
            <w:top w:val="none" w:sz="0" w:space="0" w:color="auto"/>
            <w:left w:val="none" w:sz="0" w:space="0" w:color="auto"/>
            <w:bottom w:val="none" w:sz="0" w:space="0" w:color="auto"/>
            <w:right w:val="none" w:sz="0" w:space="0" w:color="auto"/>
          </w:divBdr>
        </w:div>
      </w:divsChild>
    </w:div>
    <w:div w:id="612521894">
      <w:bodyDiv w:val="1"/>
      <w:marLeft w:val="0"/>
      <w:marRight w:val="0"/>
      <w:marTop w:val="0"/>
      <w:marBottom w:val="0"/>
      <w:divBdr>
        <w:top w:val="none" w:sz="0" w:space="0" w:color="auto"/>
        <w:left w:val="none" w:sz="0" w:space="0" w:color="auto"/>
        <w:bottom w:val="none" w:sz="0" w:space="0" w:color="auto"/>
        <w:right w:val="none" w:sz="0" w:space="0" w:color="auto"/>
      </w:divBdr>
      <w:divsChild>
        <w:div w:id="1890802389">
          <w:marLeft w:val="0"/>
          <w:marRight w:val="0"/>
          <w:marTop w:val="0"/>
          <w:marBottom w:val="0"/>
          <w:divBdr>
            <w:top w:val="none" w:sz="0" w:space="0" w:color="auto"/>
            <w:left w:val="none" w:sz="0" w:space="0" w:color="auto"/>
            <w:bottom w:val="none" w:sz="0" w:space="0" w:color="auto"/>
            <w:right w:val="none" w:sz="0" w:space="0" w:color="auto"/>
          </w:divBdr>
        </w:div>
        <w:div w:id="1053389263">
          <w:marLeft w:val="0"/>
          <w:marRight w:val="0"/>
          <w:marTop w:val="0"/>
          <w:marBottom w:val="0"/>
          <w:divBdr>
            <w:top w:val="none" w:sz="0" w:space="0" w:color="auto"/>
            <w:left w:val="none" w:sz="0" w:space="0" w:color="auto"/>
            <w:bottom w:val="none" w:sz="0" w:space="0" w:color="auto"/>
            <w:right w:val="none" w:sz="0" w:space="0" w:color="auto"/>
          </w:divBdr>
        </w:div>
        <w:div w:id="1197162829">
          <w:marLeft w:val="0"/>
          <w:marRight w:val="0"/>
          <w:marTop w:val="0"/>
          <w:marBottom w:val="0"/>
          <w:divBdr>
            <w:top w:val="none" w:sz="0" w:space="0" w:color="auto"/>
            <w:left w:val="none" w:sz="0" w:space="0" w:color="auto"/>
            <w:bottom w:val="none" w:sz="0" w:space="0" w:color="auto"/>
            <w:right w:val="none" w:sz="0" w:space="0" w:color="auto"/>
          </w:divBdr>
        </w:div>
        <w:div w:id="1434784353">
          <w:marLeft w:val="0"/>
          <w:marRight w:val="0"/>
          <w:marTop w:val="0"/>
          <w:marBottom w:val="0"/>
          <w:divBdr>
            <w:top w:val="none" w:sz="0" w:space="0" w:color="auto"/>
            <w:left w:val="none" w:sz="0" w:space="0" w:color="auto"/>
            <w:bottom w:val="none" w:sz="0" w:space="0" w:color="auto"/>
            <w:right w:val="none" w:sz="0" w:space="0" w:color="auto"/>
          </w:divBdr>
        </w:div>
      </w:divsChild>
    </w:div>
    <w:div w:id="612637958">
      <w:bodyDiv w:val="1"/>
      <w:marLeft w:val="0"/>
      <w:marRight w:val="0"/>
      <w:marTop w:val="0"/>
      <w:marBottom w:val="0"/>
      <w:divBdr>
        <w:top w:val="none" w:sz="0" w:space="0" w:color="auto"/>
        <w:left w:val="none" w:sz="0" w:space="0" w:color="auto"/>
        <w:bottom w:val="none" w:sz="0" w:space="0" w:color="auto"/>
        <w:right w:val="none" w:sz="0" w:space="0" w:color="auto"/>
      </w:divBdr>
      <w:divsChild>
        <w:div w:id="2004430339">
          <w:marLeft w:val="0"/>
          <w:marRight w:val="0"/>
          <w:marTop w:val="0"/>
          <w:marBottom w:val="0"/>
          <w:divBdr>
            <w:top w:val="none" w:sz="0" w:space="0" w:color="auto"/>
            <w:left w:val="none" w:sz="0" w:space="0" w:color="auto"/>
            <w:bottom w:val="none" w:sz="0" w:space="0" w:color="auto"/>
            <w:right w:val="none" w:sz="0" w:space="0" w:color="auto"/>
          </w:divBdr>
        </w:div>
        <w:div w:id="1217355080">
          <w:marLeft w:val="0"/>
          <w:marRight w:val="0"/>
          <w:marTop w:val="0"/>
          <w:marBottom w:val="0"/>
          <w:divBdr>
            <w:top w:val="none" w:sz="0" w:space="0" w:color="auto"/>
            <w:left w:val="none" w:sz="0" w:space="0" w:color="auto"/>
            <w:bottom w:val="none" w:sz="0" w:space="0" w:color="auto"/>
            <w:right w:val="none" w:sz="0" w:space="0" w:color="auto"/>
          </w:divBdr>
        </w:div>
        <w:div w:id="2111663246">
          <w:marLeft w:val="0"/>
          <w:marRight w:val="0"/>
          <w:marTop w:val="0"/>
          <w:marBottom w:val="0"/>
          <w:divBdr>
            <w:top w:val="none" w:sz="0" w:space="0" w:color="auto"/>
            <w:left w:val="none" w:sz="0" w:space="0" w:color="auto"/>
            <w:bottom w:val="none" w:sz="0" w:space="0" w:color="auto"/>
            <w:right w:val="none" w:sz="0" w:space="0" w:color="auto"/>
          </w:divBdr>
        </w:div>
        <w:div w:id="475923466">
          <w:marLeft w:val="0"/>
          <w:marRight w:val="0"/>
          <w:marTop w:val="0"/>
          <w:marBottom w:val="0"/>
          <w:divBdr>
            <w:top w:val="none" w:sz="0" w:space="0" w:color="auto"/>
            <w:left w:val="none" w:sz="0" w:space="0" w:color="auto"/>
            <w:bottom w:val="none" w:sz="0" w:space="0" w:color="auto"/>
            <w:right w:val="none" w:sz="0" w:space="0" w:color="auto"/>
          </w:divBdr>
        </w:div>
        <w:div w:id="1130128250">
          <w:marLeft w:val="0"/>
          <w:marRight w:val="0"/>
          <w:marTop w:val="0"/>
          <w:marBottom w:val="0"/>
          <w:divBdr>
            <w:top w:val="none" w:sz="0" w:space="0" w:color="auto"/>
            <w:left w:val="none" w:sz="0" w:space="0" w:color="auto"/>
            <w:bottom w:val="none" w:sz="0" w:space="0" w:color="auto"/>
            <w:right w:val="none" w:sz="0" w:space="0" w:color="auto"/>
          </w:divBdr>
        </w:div>
        <w:div w:id="1830052796">
          <w:marLeft w:val="0"/>
          <w:marRight w:val="0"/>
          <w:marTop w:val="0"/>
          <w:marBottom w:val="0"/>
          <w:divBdr>
            <w:top w:val="none" w:sz="0" w:space="0" w:color="auto"/>
            <w:left w:val="none" w:sz="0" w:space="0" w:color="auto"/>
            <w:bottom w:val="none" w:sz="0" w:space="0" w:color="auto"/>
            <w:right w:val="none" w:sz="0" w:space="0" w:color="auto"/>
          </w:divBdr>
        </w:div>
        <w:div w:id="1162433720">
          <w:marLeft w:val="0"/>
          <w:marRight w:val="0"/>
          <w:marTop w:val="0"/>
          <w:marBottom w:val="0"/>
          <w:divBdr>
            <w:top w:val="none" w:sz="0" w:space="0" w:color="auto"/>
            <w:left w:val="none" w:sz="0" w:space="0" w:color="auto"/>
            <w:bottom w:val="none" w:sz="0" w:space="0" w:color="auto"/>
            <w:right w:val="none" w:sz="0" w:space="0" w:color="auto"/>
          </w:divBdr>
        </w:div>
        <w:div w:id="1907253162">
          <w:marLeft w:val="0"/>
          <w:marRight w:val="0"/>
          <w:marTop w:val="0"/>
          <w:marBottom w:val="0"/>
          <w:divBdr>
            <w:top w:val="none" w:sz="0" w:space="0" w:color="auto"/>
            <w:left w:val="none" w:sz="0" w:space="0" w:color="auto"/>
            <w:bottom w:val="none" w:sz="0" w:space="0" w:color="auto"/>
            <w:right w:val="none" w:sz="0" w:space="0" w:color="auto"/>
          </w:divBdr>
        </w:div>
      </w:divsChild>
    </w:div>
    <w:div w:id="613486585">
      <w:bodyDiv w:val="1"/>
      <w:marLeft w:val="0"/>
      <w:marRight w:val="0"/>
      <w:marTop w:val="0"/>
      <w:marBottom w:val="0"/>
      <w:divBdr>
        <w:top w:val="none" w:sz="0" w:space="0" w:color="auto"/>
        <w:left w:val="none" w:sz="0" w:space="0" w:color="auto"/>
        <w:bottom w:val="none" w:sz="0" w:space="0" w:color="auto"/>
        <w:right w:val="none" w:sz="0" w:space="0" w:color="auto"/>
      </w:divBdr>
      <w:divsChild>
        <w:div w:id="843476486">
          <w:marLeft w:val="0"/>
          <w:marRight w:val="0"/>
          <w:marTop w:val="0"/>
          <w:marBottom w:val="0"/>
          <w:divBdr>
            <w:top w:val="none" w:sz="0" w:space="0" w:color="auto"/>
            <w:left w:val="none" w:sz="0" w:space="0" w:color="auto"/>
            <w:bottom w:val="none" w:sz="0" w:space="0" w:color="auto"/>
            <w:right w:val="none" w:sz="0" w:space="0" w:color="auto"/>
          </w:divBdr>
        </w:div>
        <w:div w:id="131021928">
          <w:marLeft w:val="0"/>
          <w:marRight w:val="0"/>
          <w:marTop w:val="0"/>
          <w:marBottom w:val="0"/>
          <w:divBdr>
            <w:top w:val="none" w:sz="0" w:space="0" w:color="auto"/>
            <w:left w:val="none" w:sz="0" w:space="0" w:color="auto"/>
            <w:bottom w:val="none" w:sz="0" w:space="0" w:color="auto"/>
            <w:right w:val="none" w:sz="0" w:space="0" w:color="auto"/>
          </w:divBdr>
        </w:div>
        <w:div w:id="1831603970">
          <w:marLeft w:val="0"/>
          <w:marRight w:val="0"/>
          <w:marTop w:val="0"/>
          <w:marBottom w:val="0"/>
          <w:divBdr>
            <w:top w:val="none" w:sz="0" w:space="0" w:color="auto"/>
            <w:left w:val="none" w:sz="0" w:space="0" w:color="auto"/>
            <w:bottom w:val="none" w:sz="0" w:space="0" w:color="auto"/>
            <w:right w:val="none" w:sz="0" w:space="0" w:color="auto"/>
          </w:divBdr>
        </w:div>
        <w:div w:id="1355578213">
          <w:marLeft w:val="0"/>
          <w:marRight w:val="0"/>
          <w:marTop w:val="0"/>
          <w:marBottom w:val="0"/>
          <w:divBdr>
            <w:top w:val="none" w:sz="0" w:space="0" w:color="auto"/>
            <w:left w:val="none" w:sz="0" w:space="0" w:color="auto"/>
            <w:bottom w:val="none" w:sz="0" w:space="0" w:color="auto"/>
            <w:right w:val="none" w:sz="0" w:space="0" w:color="auto"/>
          </w:divBdr>
        </w:div>
        <w:div w:id="1812089020">
          <w:marLeft w:val="0"/>
          <w:marRight w:val="0"/>
          <w:marTop w:val="0"/>
          <w:marBottom w:val="0"/>
          <w:divBdr>
            <w:top w:val="none" w:sz="0" w:space="0" w:color="auto"/>
            <w:left w:val="none" w:sz="0" w:space="0" w:color="auto"/>
            <w:bottom w:val="none" w:sz="0" w:space="0" w:color="auto"/>
            <w:right w:val="none" w:sz="0" w:space="0" w:color="auto"/>
          </w:divBdr>
        </w:div>
        <w:div w:id="2173062">
          <w:marLeft w:val="0"/>
          <w:marRight w:val="0"/>
          <w:marTop w:val="0"/>
          <w:marBottom w:val="0"/>
          <w:divBdr>
            <w:top w:val="none" w:sz="0" w:space="0" w:color="auto"/>
            <w:left w:val="none" w:sz="0" w:space="0" w:color="auto"/>
            <w:bottom w:val="none" w:sz="0" w:space="0" w:color="auto"/>
            <w:right w:val="none" w:sz="0" w:space="0" w:color="auto"/>
          </w:divBdr>
        </w:div>
      </w:divsChild>
    </w:div>
    <w:div w:id="624696869">
      <w:bodyDiv w:val="1"/>
      <w:marLeft w:val="0"/>
      <w:marRight w:val="0"/>
      <w:marTop w:val="0"/>
      <w:marBottom w:val="0"/>
      <w:divBdr>
        <w:top w:val="none" w:sz="0" w:space="0" w:color="auto"/>
        <w:left w:val="none" w:sz="0" w:space="0" w:color="auto"/>
        <w:bottom w:val="none" w:sz="0" w:space="0" w:color="auto"/>
        <w:right w:val="none" w:sz="0" w:space="0" w:color="auto"/>
      </w:divBdr>
    </w:div>
    <w:div w:id="634141000">
      <w:bodyDiv w:val="1"/>
      <w:marLeft w:val="0"/>
      <w:marRight w:val="0"/>
      <w:marTop w:val="0"/>
      <w:marBottom w:val="0"/>
      <w:divBdr>
        <w:top w:val="none" w:sz="0" w:space="0" w:color="auto"/>
        <w:left w:val="none" w:sz="0" w:space="0" w:color="auto"/>
        <w:bottom w:val="none" w:sz="0" w:space="0" w:color="auto"/>
        <w:right w:val="none" w:sz="0" w:space="0" w:color="auto"/>
      </w:divBdr>
      <w:divsChild>
        <w:div w:id="1911500642">
          <w:marLeft w:val="0"/>
          <w:marRight w:val="0"/>
          <w:marTop w:val="0"/>
          <w:marBottom w:val="120"/>
          <w:divBdr>
            <w:top w:val="none" w:sz="0" w:space="0" w:color="auto"/>
            <w:left w:val="none" w:sz="0" w:space="0" w:color="auto"/>
            <w:bottom w:val="none" w:sz="0" w:space="0" w:color="auto"/>
            <w:right w:val="none" w:sz="0" w:space="0" w:color="auto"/>
          </w:divBdr>
        </w:div>
        <w:div w:id="1162163822">
          <w:marLeft w:val="0"/>
          <w:marRight w:val="0"/>
          <w:marTop w:val="120"/>
          <w:marBottom w:val="120"/>
          <w:divBdr>
            <w:top w:val="none" w:sz="0" w:space="0" w:color="auto"/>
            <w:left w:val="none" w:sz="0" w:space="0" w:color="auto"/>
            <w:bottom w:val="none" w:sz="0" w:space="0" w:color="auto"/>
            <w:right w:val="none" w:sz="0" w:space="0" w:color="auto"/>
          </w:divBdr>
        </w:div>
        <w:div w:id="2100057378">
          <w:marLeft w:val="0"/>
          <w:marRight w:val="0"/>
          <w:marTop w:val="120"/>
          <w:marBottom w:val="120"/>
          <w:divBdr>
            <w:top w:val="none" w:sz="0" w:space="0" w:color="auto"/>
            <w:left w:val="none" w:sz="0" w:space="0" w:color="auto"/>
            <w:bottom w:val="none" w:sz="0" w:space="0" w:color="auto"/>
            <w:right w:val="none" w:sz="0" w:space="0" w:color="auto"/>
          </w:divBdr>
        </w:div>
      </w:divsChild>
    </w:div>
    <w:div w:id="644047528">
      <w:bodyDiv w:val="1"/>
      <w:marLeft w:val="0"/>
      <w:marRight w:val="0"/>
      <w:marTop w:val="0"/>
      <w:marBottom w:val="0"/>
      <w:divBdr>
        <w:top w:val="none" w:sz="0" w:space="0" w:color="auto"/>
        <w:left w:val="none" w:sz="0" w:space="0" w:color="auto"/>
        <w:bottom w:val="none" w:sz="0" w:space="0" w:color="auto"/>
        <w:right w:val="none" w:sz="0" w:space="0" w:color="auto"/>
      </w:divBdr>
      <w:divsChild>
        <w:div w:id="1038239656">
          <w:marLeft w:val="0"/>
          <w:marRight w:val="0"/>
          <w:marTop w:val="0"/>
          <w:marBottom w:val="0"/>
          <w:divBdr>
            <w:top w:val="none" w:sz="0" w:space="0" w:color="auto"/>
            <w:left w:val="none" w:sz="0" w:space="0" w:color="auto"/>
            <w:bottom w:val="none" w:sz="0" w:space="0" w:color="auto"/>
            <w:right w:val="none" w:sz="0" w:space="0" w:color="auto"/>
          </w:divBdr>
        </w:div>
        <w:div w:id="250166441">
          <w:marLeft w:val="0"/>
          <w:marRight w:val="0"/>
          <w:marTop w:val="0"/>
          <w:marBottom w:val="0"/>
          <w:divBdr>
            <w:top w:val="none" w:sz="0" w:space="0" w:color="auto"/>
            <w:left w:val="none" w:sz="0" w:space="0" w:color="auto"/>
            <w:bottom w:val="none" w:sz="0" w:space="0" w:color="auto"/>
            <w:right w:val="none" w:sz="0" w:space="0" w:color="auto"/>
          </w:divBdr>
        </w:div>
        <w:div w:id="975839638">
          <w:marLeft w:val="0"/>
          <w:marRight w:val="0"/>
          <w:marTop w:val="0"/>
          <w:marBottom w:val="0"/>
          <w:divBdr>
            <w:top w:val="none" w:sz="0" w:space="0" w:color="auto"/>
            <w:left w:val="none" w:sz="0" w:space="0" w:color="auto"/>
            <w:bottom w:val="none" w:sz="0" w:space="0" w:color="auto"/>
            <w:right w:val="none" w:sz="0" w:space="0" w:color="auto"/>
          </w:divBdr>
        </w:div>
        <w:div w:id="487983356">
          <w:marLeft w:val="0"/>
          <w:marRight w:val="0"/>
          <w:marTop w:val="0"/>
          <w:marBottom w:val="0"/>
          <w:divBdr>
            <w:top w:val="none" w:sz="0" w:space="0" w:color="auto"/>
            <w:left w:val="none" w:sz="0" w:space="0" w:color="auto"/>
            <w:bottom w:val="none" w:sz="0" w:space="0" w:color="auto"/>
            <w:right w:val="none" w:sz="0" w:space="0" w:color="auto"/>
          </w:divBdr>
        </w:div>
        <w:div w:id="846135522">
          <w:marLeft w:val="0"/>
          <w:marRight w:val="0"/>
          <w:marTop w:val="0"/>
          <w:marBottom w:val="0"/>
          <w:divBdr>
            <w:top w:val="none" w:sz="0" w:space="0" w:color="auto"/>
            <w:left w:val="none" w:sz="0" w:space="0" w:color="auto"/>
            <w:bottom w:val="none" w:sz="0" w:space="0" w:color="auto"/>
            <w:right w:val="none" w:sz="0" w:space="0" w:color="auto"/>
          </w:divBdr>
        </w:div>
        <w:div w:id="1905798097">
          <w:marLeft w:val="0"/>
          <w:marRight w:val="0"/>
          <w:marTop w:val="0"/>
          <w:marBottom w:val="0"/>
          <w:divBdr>
            <w:top w:val="none" w:sz="0" w:space="0" w:color="auto"/>
            <w:left w:val="none" w:sz="0" w:space="0" w:color="auto"/>
            <w:bottom w:val="none" w:sz="0" w:space="0" w:color="auto"/>
            <w:right w:val="none" w:sz="0" w:space="0" w:color="auto"/>
          </w:divBdr>
        </w:div>
        <w:div w:id="323048428">
          <w:marLeft w:val="0"/>
          <w:marRight w:val="0"/>
          <w:marTop w:val="0"/>
          <w:marBottom w:val="0"/>
          <w:divBdr>
            <w:top w:val="none" w:sz="0" w:space="0" w:color="auto"/>
            <w:left w:val="none" w:sz="0" w:space="0" w:color="auto"/>
            <w:bottom w:val="none" w:sz="0" w:space="0" w:color="auto"/>
            <w:right w:val="none" w:sz="0" w:space="0" w:color="auto"/>
          </w:divBdr>
        </w:div>
      </w:divsChild>
    </w:div>
    <w:div w:id="646982704">
      <w:bodyDiv w:val="1"/>
      <w:marLeft w:val="0"/>
      <w:marRight w:val="0"/>
      <w:marTop w:val="0"/>
      <w:marBottom w:val="0"/>
      <w:divBdr>
        <w:top w:val="none" w:sz="0" w:space="0" w:color="auto"/>
        <w:left w:val="none" w:sz="0" w:space="0" w:color="auto"/>
        <w:bottom w:val="none" w:sz="0" w:space="0" w:color="auto"/>
        <w:right w:val="none" w:sz="0" w:space="0" w:color="auto"/>
      </w:divBdr>
      <w:divsChild>
        <w:div w:id="1140615516">
          <w:marLeft w:val="0"/>
          <w:marRight w:val="0"/>
          <w:marTop w:val="0"/>
          <w:marBottom w:val="0"/>
          <w:divBdr>
            <w:top w:val="none" w:sz="0" w:space="0" w:color="auto"/>
            <w:left w:val="none" w:sz="0" w:space="0" w:color="auto"/>
            <w:bottom w:val="none" w:sz="0" w:space="0" w:color="auto"/>
            <w:right w:val="none" w:sz="0" w:space="0" w:color="auto"/>
          </w:divBdr>
        </w:div>
        <w:div w:id="98528895">
          <w:marLeft w:val="0"/>
          <w:marRight w:val="0"/>
          <w:marTop w:val="0"/>
          <w:marBottom w:val="0"/>
          <w:divBdr>
            <w:top w:val="none" w:sz="0" w:space="0" w:color="auto"/>
            <w:left w:val="none" w:sz="0" w:space="0" w:color="auto"/>
            <w:bottom w:val="none" w:sz="0" w:space="0" w:color="auto"/>
            <w:right w:val="none" w:sz="0" w:space="0" w:color="auto"/>
          </w:divBdr>
        </w:div>
        <w:div w:id="777262153">
          <w:marLeft w:val="0"/>
          <w:marRight w:val="0"/>
          <w:marTop w:val="0"/>
          <w:marBottom w:val="0"/>
          <w:divBdr>
            <w:top w:val="none" w:sz="0" w:space="0" w:color="auto"/>
            <w:left w:val="none" w:sz="0" w:space="0" w:color="auto"/>
            <w:bottom w:val="none" w:sz="0" w:space="0" w:color="auto"/>
            <w:right w:val="none" w:sz="0" w:space="0" w:color="auto"/>
          </w:divBdr>
        </w:div>
        <w:div w:id="73669788">
          <w:marLeft w:val="0"/>
          <w:marRight w:val="0"/>
          <w:marTop w:val="0"/>
          <w:marBottom w:val="0"/>
          <w:divBdr>
            <w:top w:val="none" w:sz="0" w:space="0" w:color="auto"/>
            <w:left w:val="none" w:sz="0" w:space="0" w:color="auto"/>
            <w:bottom w:val="none" w:sz="0" w:space="0" w:color="auto"/>
            <w:right w:val="none" w:sz="0" w:space="0" w:color="auto"/>
          </w:divBdr>
        </w:div>
        <w:div w:id="391274712">
          <w:marLeft w:val="0"/>
          <w:marRight w:val="0"/>
          <w:marTop w:val="0"/>
          <w:marBottom w:val="0"/>
          <w:divBdr>
            <w:top w:val="none" w:sz="0" w:space="0" w:color="auto"/>
            <w:left w:val="none" w:sz="0" w:space="0" w:color="auto"/>
            <w:bottom w:val="none" w:sz="0" w:space="0" w:color="auto"/>
            <w:right w:val="none" w:sz="0" w:space="0" w:color="auto"/>
          </w:divBdr>
        </w:div>
        <w:div w:id="1876577040">
          <w:marLeft w:val="0"/>
          <w:marRight w:val="0"/>
          <w:marTop w:val="0"/>
          <w:marBottom w:val="0"/>
          <w:divBdr>
            <w:top w:val="none" w:sz="0" w:space="0" w:color="auto"/>
            <w:left w:val="none" w:sz="0" w:space="0" w:color="auto"/>
            <w:bottom w:val="none" w:sz="0" w:space="0" w:color="auto"/>
            <w:right w:val="none" w:sz="0" w:space="0" w:color="auto"/>
          </w:divBdr>
        </w:div>
        <w:div w:id="818113569">
          <w:marLeft w:val="0"/>
          <w:marRight w:val="0"/>
          <w:marTop w:val="0"/>
          <w:marBottom w:val="0"/>
          <w:divBdr>
            <w:top w:val="none" w:sz="0" w:space="0" w:color="auto"/>
            <w:left w:val="none" w:sz="0" w:space="0" w:color="auto"/>
            <w:bottom w:val="none" w:sz="0" w:space="0" w:color="auto"/>
            <w:right w:val="none" w:sz="0" w:space="0" w:color="auto"/>
          </w:divBdr>
        </w:div>
        <w:div w:id="784466902">
          <w:marLeft w:val="0"/>
          <w:marRight w:val="0"/>
          <w:marTop w:val="0"/>
          <w:marBottom w:val="0"/>
          <w:divBdr>
            <w:top w:val="none" w:sz="0" w:space="0" w:color="auto"/>
            <w:left w:val="none" w:sz="0" w:space="0" w:color="auto"/>
            <w:bottom w:val="none" w:sz="0" w:space="0" w:color="auto"/>
            <w:right w:val="none" w:sz="0" w:space="0" w:color="auto"/>
          </w:divBdr>
        </w:div>
      </w:divsChild>
    </w:div>
    <w:div w:id="662512288">
      <w:bodyDiv w:val="1"/>
      <w:marLeft w:val="0"/>
      <w:marRight w:val="0"/>
      <w:marTop w:val="0"/>
      <w:marBottom w:val="0"/>
      <w:divBdr>
        <w:top w:val="none" w:sz="0" w:space="0" w:color="auto"/>
        <w:left w:val="none" w:sz="0" w:space="0" w:color="auto"/>
        <w:bottom w:val="none" w:sz="0" w:space="0" w:color="auto"/>
        <w:right w:val="none" w:sz="0" w:space="0" w:color="auto"/>
      </w:divBdr>
      <w:divsChild>
        <w:div w:id="274945779">
          <w:marLeft w:val="0"/>
          <w:marRight w:val="0"/>
          <w:marTop w:val="0"/>
          <w:marBottom w:val="0"/>
          <w:divBdr>
            <w:top w:val="none" w:sz="0" w:space="0" w:color="auto"/>
            <w:left w:val="none" w:sz="0" w:space="0" w:color="auto"/>
            <w:bottom w:val="none" w:sz="0" w:space="0" w:color="auto"/>
            <w:right w:val="none" w:sz="0" w:space="0" w:color="auto"/>
          </w:divBdr>
        </w:div>
      </w:divsChild>
    </w:div>
    <w:div w:id="679895102">
      <w:bodyDiv w:val="1"/>
      <w:marLeft w:val="0"/>
      <w:marRight w:val="0"/>
      <w:marTop w:val="0"/>
      <w:marBottom w:val="0"/>
      <w:divBdr>
        <w:top w:val="none" w:sz="0" w:space="0" w:color="auto"/>
        <w:left w:val="none" w:sz="0" w:space="0" w:color="auto"/>
        <w:bottom w:val="none" w:sz="0" w:space="0" w:color="auto"/>
        <w:right w:val="none" w:sz="0" w:space="0" w:color="auto"/>
      </w:divBdr>
      <w:divsChild>
        <w:div w:id="179007599">
          <w:marLeft w:val="0"/>
          <w:marRight w:val="0"/>
          <w:marTop w:val="0"/>
          <w:marBottom w:val="0"/>
          <w:divBdr>
            <w:top w:val="none" w:sz="0" w:space="0" w:color="auto"/>
            <w:left w:val="none" w:sz="0" w:space="0" w:color="auto"/>
            <w:bottom w:val="none" w:sz="0" w:space="0" w:color="auto"/>
            <w:right w:val="none" w:sz="0" w:space="0" w:color="auto"/>
          </w:divBdr>
        </w:div>
        <w:div w:id="2002272451">
          <w:marLeft w:val="0"/>
          <w:marRight w:val="0"/>
          <w:marTop w:val="0"/>
          <w:marBottom w:val="0"/>
          <w:divBdr>
            <w:top w:val="none" w:sz="0" w:space="0" w:color="auto"/>
            <w:left w:val="none" w:sz="0" w:space="0" w:color="auto"/>
            <w:bottom w:val="none" w:sz="0" w:space="0" w:color="auto"/>
            <w:right w:val="none" w:sz="0" w:space="0" w:color="auto"/>
          </w:divBdr>
        </w:div>
        <w:div w:id="1224876929">
          <w:marLeft w:val="0"/>
          <w:marRight w:val="0"/>
          <w:marTop w:val="0"/>
          <w:marBottom w:val="0"/>
          <w:divBdr>
            <w:top w:val="none" w:sz="0" w:space="0" w:color="auto"/>
            <w:left w:val="none" w:sz="0" w:space="0" w:color="auto"/>
            <w:bottom w:val="none" w:sz="0" w:space="0" w:color="auto"/>
            <w:right w:val="none" w:sz="0" w:space="0" w:color="auto"/>
          </w:divBdr>
        </w:div>
        <w:div w:id="1520899337">
          <w:marLeft w:val="0"/>
          <w:marRight w:val="0"/>
          <w:marTop w:val="0"/>
          <w:marBottom w:val="0"/>
          <w:divBdr>
            <w:top w:val="none" w:sz="0" w:space="0" w:color="auto"/>
            <w:left w:val="none" w:sz="0" w:space="0" w:color="auto"/>
            <w:bottom w:val="none" w:sz="0" w:space="0" w:color="auto"/>
            <w:right w:val="none" w:sz="0" w:space="0" w:color="auto"/>
          </w:divBdr>
        </w:div>
        <w:div w:id="49890557">
          <w:marLeft w:val="0"/>
          <w:marRight w:val="0"/>
          <w:marTop w:val="0"/>
          <w:marBottom w:val="0"/>
          <w:divBdr>
            <w:top w:val="none" w:sz="0" w:space="0" w:color="auto"/>
            <w:left w:val="none" w:sz="0" w:space="0" w:color="auto"/>
            <w:bottom w:val="none" w:sz="0" w:space="0" w:color="auto"/>
            <w:right w:val="none" w:sz="0" w:space="0" w:color="auto"/>
          </w:divBdr>
        </w:div>
      </w:divsChild>
    </w:div>
    <w:div w:id="690566388">
      <w:bodyDiv w:val="1"/>
      <w:marLeft w:val="0"/>
      <w:marRight w:val="0"/>
      <w:marTop w:val="0"/>
      <w:marBottom w:val="0"/>
      <w:divBdr>
        <w:top w:val="none" w:sz="0" w:space="0" w:color="auto"/>
        <w:left w:val="none" w:sz="0" w:space="0" w:color="auto"/>
        <w:bottom w:val="none" w:sz="0" w:space="0" w:color="auto"/>
        <w:right w:val="none" w:sz="0" w:space="0" w:color="auto"/>
      </w:divBdr>
      <w:divsChild>
        <w:div w:id="970749982">
          <w:marLeft w:val="0"/>
          <w:marRight w:val="0"/>
          <w:marTop w:val="0"/>
          <w:marBottom w:val="0"/>
          <w:divBdr>
            <w:top w:val="none" w:sz="0" w:space="0" w:color="auto"/>
            <w:left w:val="none" w:sz="0" w:space="0" w:color="auto"/>
            <w:bottom w:val="none" w:sz="0" w:space="0" w:color="auto"/>
            <w:right w:val="none" w:sz="0" w:space="0" w:color="auto"/>
          </w:divBdr>
        </w:div>
        <w:div w:id="948590543">
          <w:marLeft w:val="0"/>
          <w:marRight w:val="0"/>
          <w:marTop w:val="0"/>
          <w:marBottom w:val="0"/>
          <w:divBdr>
            <w:top w:val="none" w:sz="0" w:space="0" w:color="auto"/>
            <w:left w:val="none" w:sz="0" w:space="0" w:color="auto"/>
            <w:bottom w:val="none" w:sz="0" w:space="0" w:color="auto"/>
            <w:right w:val="none" w:sz="0" w:space="0" w:color="auto"/>
          </w:divBdr>
        </w:div>
        <w:div w:id="1011220784">
          <w:marLeft w:val="0"/>
          <w:marRight w:val="0"/>
          <w:marTop w:val="0"/>
          <w:marBottom w:val="0"/>
          <w:divBdr>
            <w:top w:val="none" w:sz="0" w:space="0" w:color="auto"/>
            <w:left w:val="none" w:sz="0" w:space="0" w:color="auto"/>
            <w:bottom w:val="none" w:sz="0" w:space="0" w:color="auto"/>
            <w:right w:val="none" w:sz="0" w:space="0" w:color="auto"/>
          </w:divBdr>
        </w:div>
        <w:div w:id="204104353">
          <w:marLeft w:val="0"/>
          <w:marRight w:val="0"/>
          <w:marTop w:val="0"/>
          <w:marBottom w:val="0"/>
          <w:divBdr>
            <w:top w:val="none" w:sz="0" w:space="0" w:color="auto"/>
            <w:left w:val="none" w:sz="0" w:space="0" w:color="auto"/>
            <w:bottom w:val="none" w:sz="0" w:space="0" w:color="auto"/>
            <w:right w:val="none" w:sz="0" w:space="0" w:color="auto"/>
          </w:divBdr>
        </w:div>
        <w:div w:id="1486900183">
          <w:marLeft w:val="0"/>
          <w:marRight w:val="0"/>
          <w:marTop w:val="0"/>
          <w:marBottom w:val="0"/>
          <w:divBdr>
            <w:top w:val="none" w:sz="0" w:space="0" w:color="auto"/>
            <w:left w:val="none" w:sz="0" w:space="0" w:color="auto"/>
            <w:bottom w:val="none" w:sz="0" w:space="0" w:color="auto"/>
            <w:right w:val="none" w:sz="0" w:space="0" w:color="auto"/>
          </w:divBdr>
        </w:div>
        <w:div w:id="429853910">
          <w:marLeft w:val="0"/>
          <w:marRight w:val="0"/>
          <w:marTop w:val="0"/>
          <w:marBottom w:val="0"/>
          <w:divBdr>
            <w:top w:val="none" w:sz="0" w:space="0" w:color="auto"/>
            <w:left w:val="none" w:sz="0" w:space="0" w:color="auto"/>
            <w:bottom w:val="none" w:sz="0" w:space="0" w:color="auto"/>
            <w:right w:val="none" w:sz="0" w:space="0" w:color="auto"/>
          </w:divBdr>
        </w:div>
        <w:div w:id="1863670391">
          <w:marLeft w:val="0"/>
          <w:marRight w:val="0"/>
          <w:marTop w:val="0"/>
          <w:marBottom w:val="0"/>
          <w:divBdr>
            <w:top w:val="none" w:sz="0" w:space="0" w:color="auto"/>
            <w:left w:val="none" w:sz="0" w:space="0" w:color="auto"/>
            <w:bottom w:val="none" w:sz="0" w:space="0" w:color="auto"/>
            <w:right w:val="none" w:sz="0" w:space="0" w:color="auto"/>
          </w:divBdr>
        </w:div>
      </w:divsChild>
    </w:div>
    <w:div w:id="690767211">
      <w:bodyDiv w:val="1"/>
      <w:marLeft w:val="0"/>
      <w:marRight w:val="0"/>
      <w:marTop w:val="0"/>
      <w:marBottom w:val="0"/>
      <w:divBdr>
        <w:top w:val="none" w:sz="0" w:space="0" w:color="auto"/>
        <w:left w:val="none" w:sz="0" w:space="0" w:color="auto"/>
        <w:bottom w:val="none" w:sz="0" w:space="0" w:color="auto"/>
        <w:right w:val="none" w:sz="0" w:space="0" w:color="auto"/>
      </w:divBdr>
    </w:div>
    <w:div w:id="697311595">
      <w:bodyDiv w:val="1"/>
      <w:marLeft w:val="0"/>
      <w:marRight w:val="0"/>
      <w:marTop w:val="0"/>
      <w:marBottom w:val="0"/>
      <w:divBdr>
        <w:top w:val="none" w:sz="0" w:space="0" w:color="auto"/>
        <w:left w:val="none" w:sz="0" w:space="0" w:color="auto"/>
        <w:bottom w:val="none" w:sz="0" w:space="0" w:color="auto"/>
        <w:right w:val="none" w:sz="0" w:space="0" w:color="auto"/>
      </w:divBdr>
      <w:divsChild>
        <w:div w:id="261842687">
          <w:marLeft w:val="0"/>
          <w:marRight w:val="0"/>
          <w:marTop w:val="0"/>
          <w:marBottom w:val="0"/>
          <w:divBdr>
            <w:top w:val="none" w:sz="0" w:space="0" w:color="auto"/>
            <w:left w:val="none" w:sz="0" w:space="0" w:color="auto"/>
            <w:bottom w:val="none" w:sz="0" w:space="0" w:color="auto"/>
            <w:right w:val="none" w:sz="0" w:space="0" w:color="auto"/>
          </w:divBdr>
        </w:div>
        <w:div w:id="1951039321">
          <w:marLeft w:val="0"/>
          <w:marRight w:val="0"/>
          <w:marTop w:val="0"/>
          <w:marBottom w:val="0"/>
          <w:divBdr>
            <w:top w:val="none" w:sz="0" w:space="0" w:color="auto"/>
            <w:left w:val="none" w:sz="0" w:space="0" w:color="auto"/>
            <w:bottom w:val="none" w:sz="0" w:space="0" w:color="auto"/>
            <w:right w:val="none" w:sz="0" w:space="0" w:color="auto"/>
          </w:divBdr>
        </w:div>
        <w:div w:id="567350627">
          <w:marLeft w:val="0"/>
          <w:marRight w:val="0"/>
          <w:marTop w:val="0"/>
          <w:marBottom w:val="0"/>
          <w:divBdr>
            <w:top w:val="none" w:sz="0" w:space="0" w:color="auto"/>
            <w:left w:val="none" w:sz="0" w:space="0" w:color="auto"/>
            <w:bottom w:val="none" w:sz="0" w:space="0" w:color="auto"/>
            <w:right w:val="none" w:sz="0" w:space="0" w:color="auto"/>
          </w:divBdr>
        </w:div>
        <w:div w:id="277949721">
          <w:marLeft w:val="0"/>
          <w:marRight w:val="0"/>
          <w:marTop w:val="0"/>
          <w:marBottom w:val="0"/>
          <w:divBdr>
            <w:top w:val="none" w:sz="0" w:space="0" w:color="auto"/>
            <w:left w:val="none" w:sz="0" w:space="0" w:color="auto"/>
            <w:bottom w:val="none" w:sz="0" w:space="0" w:color="auto"/>
            <w:right w:val="none" w:sz="0" w:space="0" w:color="auto"/>
          </w:divBdr>
        </w:div>
      </w:divsChild>
    </w:div>
    <w:div w:id="701593419">
      <w:bodyDiv w:val="1"/>
      <w:marLeft w:val="0"/>
      <w:marRight w:val="0"/>
      <w:marTop w:val="0"/>
      <w:marBottom w:val="0"/>
      <w:divBdr>
        <w:top w:val="none" w:sz="0" w:space="0" w:color="auto"/>
        <w:left w:val="none" w:sz="0" w:space="0" w:color="auto"/>
        <w:bottom w:val="none" w:sz="0" w:space="0" w:color="auto"/>
        <w:right w:val="none" w:sz="0" w:space="0" w:color="auto"/>
      </w:divBdr>
      <w:divsChild>
        <w:div w:id="1440292443">
          <w:marLeft w:val="0"/>
          <w:marRight w:val="0"/>
          <w:marTop w:val="0"/>
          <w:marBottom w:val="0"/>
          <w:divBdr>
            <w:top w:val="none" w:sz="0" w:space="0" w:color="auto"/>
            <w:left w:val="none" w:sz="0" w:space="0" w:color="auto"/>
            <w:bottom w:val="none" w:sz="0" w:space="0" w:color="auto"/>
            <w:right w:val="none" w:sz="0" w:space="0" w:color="auto"/>
          </w:divBdr>
          <w:divsChild>
            <w:div w:id="749430877">
              <w:marLeft w:val="0"/>
              <w:marRight w:val="0"/>
              <w:marTop w:val="0"/>
              <w:marBottom w:val="0"/>
              <w:divBdr>
                <w:top w:val="none" w:sz="0" w:space="0" w:color="auto"/>
                <w:left w:val="none" w:sz="0" w:space="0" w:color="auto"/>
                <w:bottom w:val="none" w:sz="0" w:space="0" w:color="auto"/>
                <w:right w:val="none" w:sz="0" w:space="0" w:color="auto"/>
              </w:divBdr>
              <w:divsChild>
                <w:div w:id="1195579662">
                  <w:marLeft w:val="0"/>
                  <w:marRight w:val="0"/>
                  <w:marTop w:val="0"/>
                  <w:marBottom w:val="0"/>
                  <w:divBdr>
                    <w:top w:val="none" w:sz="0" w:space="0" w:color="auto"/>
                    <w:left w:val="none" w:sz="0" w:space="0" w:color="auto"/>
                    <w:bottom w:val="none" w:sz="0" w:space="0" w:color="auto"/>
                    <w:right w:val="none" w:sz="0" w:space="0" w:color="auto"/>
                  </w:divBdr>
                  <w:divsChild>
                    <w:div w:id="93330386">
                      <w:marLeft w:val="0"/>
                      <w:marRight w:val="0"/>
                      <w:marTop w:val="0"/>
                      <w:marBottom w:val="0"/>
                      <w:divBdr>
                        <w:top w:val="none" w:sz="0" w:space="0" w:color="auto"/>
                        <w:left w:val="none" w:sz="0" w:space="0" w:color="auto"/>
                        <w:bottom w:val="none" w:sz="0" w:space="0" w:color="auto"/>
                        <w:right w:val="none" w:sz="0" w:space="0" w:color="auto"/>
                      </w:divBdr>
                      <w:divsChild>
                        <w:div w:id="1444374078">
                          <w:marLeft w:val="0"/>
                          <w:marRight w:val="0"/>
                          <w:marTop w:val="180"/>
                          <w:marBottom w:val="0"/>
                          <w:divBdr>
                            <w:top w:val="none" w:sz="0" w:space="0" w:color="auto"/>
                            <w:left w:val="none" w:sz="0" w:space="0" w:color="auto"/>
                            <w:bottom w:val="none" w:sz="0" w:space="0" w:color="auto"/>
                            <w:right w:val="none" w:sz="0" w:space="0" w:color="auto"/>
                          </w:divBdr>
                          <w:divsChild>
                            <w:div w:id="1852799610">
                              <w:marLeft w:val="0"/>
                              <w:marRight w:val="0"/>
                              <w:marTop w:val="0"/>
                              <w:marBottom w:val="0"/>
                              <w:divBdr>
                                <w:top w:val="none" w:sz="0" w:space="0" w:color="auto"/>
                                <w:left w:val="none" w:sz="0" w:space="0" w:color="auto"/>
                                <w:bottom w:val="none" w:sz="0" w:space="0" w:color="auto"/>
                                <w:right w:val="none" w:sz="0" w:space="0" w:color="auto"/>
                              </w:divBdr>
                              <w:divsChild>
                                <w:div w:id="1870333645">
                                  <w:marLeft w:val="0"/>
                                  <w:marRight w:val="0"/>
                                  <w:marTop w:val="0"/>
                                  <w:marBottom w:val="0"/>
                                  <w:divBdr>
                                    <w:top w:val="none" w:sz="0" w:space="0" w:color="auto"/>
                                    <w:left w:val="none" w:sz="0" w:space="0" w:color="auto"/>
                                    <w:bottom w:val="none" w:sz="0" w:space="0" w:color="auto"/>
                                    <w:right w:val="none" w:sz="0" w:space="0" w:color="auto"/>
                                  </w:divBdr>
                                  <w:divsChild>
                                    <w:div w:id="1779521979">
                                      <w:marLeft w:val="0"/>
                                      <w:marRight w:val="0"/>
                                      <w:marTop w:val="0"/>
                                      <w:marBottom w:val="0"/>
                                      <w:divBdr>
                                        <w:top w:val="none" w:sz="0" w:space="0" w:color="auto"/>
                                        <w:left w:val="none" w:sz="0" w:space="0" w:color="auto"/>
                                        <w:bottom w:val="none" w:sz="0" w:space="0" w:color="auto"/>
                                        <w:right w:val="none" w:sz="0" w:space="0" w:color="auto"/>
                                      </w:divBdr>
                                      <w:divsChild>
                                        <w:div w:id="808598125">
                                          <w:marLeft w:val="0"/>
                                          <w:marRight w:val="0"/>
                                          <w:marTop w:val="0"/>
                                          <w:marBottom w:val="0"/>
                                          <w:divBdr>
                                            <w:top w:val="none" w:sz="0" w:space="0" w:color="auto"/>
                                            <w:left w:val="none" w:sz="0" w:space="0" w:color="auto"/>
                                            <w:bottom w:val="none" w:sz="0" w:space="0" w:color="auto"/>
                                            <w:right w:val="none" w:sz="0" w:space="0" w:color="auto"/>
                                          </w:divBdr>
                                          <w:divsChild>
                                            <w:div w:id="707338480">
                                              <w:marLeft w:val="0"/>
                                              <w:marRight w:val="0"/>
                                              <w:marTop w:val="0"/>
                                              <w:marBottom w:val="0"/>
                                              <w:divBdr>
                                                <w:top w:val="none" w:sz="0" w:space="0" w:color="auto"/>
                                                <w:left w:val="none" w:sz="0" w:space="0" w:color="auto"/>
                                                <w:bottom w:val="none" w:sz="0" w:space="0" w:color="auto"/>
                                                <w:right w:val="none" w:sz="0" w:space="0" w:color="auto"/>
                                              </w:divBdr>
                                              <w:divsChild>
                                                <w:div w:id="1959339058">
                                                  <w:marLeft w:val="0"/>
                                                  <w:marRight w:val="0"/>
                                                  <w:marTop w:val="0"/>
                                                  <w:marBottom w:val="0"/>
                                                  <w:divBdr>
                                                    <w:top w:val="none" w:sz="0" w:space="0" w:color="auto"/>
                                                    <w:left w:val="none" w:sz="0" w:space="0" w:color="auto"/>
                                                    <w:bottom w:val="none" w:sz="0" w:space="0" w:color="auto"/>
                                                    <w:right w:val="none" w:sz="0" w:space="0" w:color="auto"/>
                                                  </w:divBdr>
                                                  <w:divsChild>
                                                    <w:div w:id="4001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537">
                                          <w:marLeft w:val="0"/>
                                          <w:marRight w:val="0"/>
                                          <w:marTop w:val="0"/>
                                          <w:marBottom w:val="0"/>
                                          <w:divBdr>
                                            <w:top w:val="none" w:sz="0" w:space="0" w:color="auto"/>
                                            <w:left w:val="none" w:sz="0" w:space="0" w:color="auto"/>
                                            <w:bottom w:val="none" w:sz="0" w:space="0" w:color="auto"/>
                                            <w:right w:val="none" w:sz="0" w:space="0" w:color="auto"/>
                                          </w:divBdr>
                                          <w:divsChild>
                                            <w:div w:id="621376533">
                                              <w:marLeft w:val="0"/>
                                              <w:marRight w:val="0"/>
                                              <w:marTop w:val="0"/>
                                              <w:marBottom w:val="0"/>
                                              <w:divBdr>
                                                <w:top w:val="none" w:sz="0" w:space="0" w:color="auto"/>
                                                <w:left w:val="none" w:sz="0" w:space="0" w:color="auto"/>
                                                <w:bottom w:val="none" w:sz="0" w:space="0" w:color="auto"/>
                                                <w:right w:val="none" w:sz="0" w:space="0" w:color="auto"/>
                                              </w:divBdr>
                                              <w:divsChild>
                                                <w:div w:id="623510482">
                                                  <w:marLeft w:val="0"/>
                                                  <w:marRight w:val="0"/>
                                                  <w:marTop w:val="0"/>
                                                  <w:marBottom w:val="0"/>
                                                  <w:divBdr>
                                                    <w:top w:val="none" w:sz="0" w:space="0" w:color="auto"/>
                                                    <w:left w:val="none" w:sz="0" w:space="0" w:color="auto"/>
                                                    <w:bottom w:val="none" w:sz="0" w:space="0" w:color="auto"/>
                                                    <w:right w:val="none" w:sz="0" w:space="0" w:color="auto"/>
                                                  </w:divBdr>
                                                  <w:divsChild>
                                                    <w:div w:id="439185390">
                                                      <w:marLeft w:val="0"/>
                                                      <w:marRight w:val="0"/>
                                                      <w:marTop w:val="0"/>
                                                      <w:marBottom w:val="0"/>
                                                      <w:divBdr>
                                                        <w:top w:val="none" w:sz="0" w:space="0" w:color="auto"/>
                                                        <w:left w:val="none" w:sz="0" w:space="0" w:color="auto"/>
                                                        <w:bottom w:val="none" w:sz="0" w:space="0" w:color="auto"/>
                                                        <w:right w:val="none" w:sz="0" w:space="0" w:color="auto"/>
                                                      </w:divBdr>
                                                      <w:divsChild>
                                                        <w:div w:id="20917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8337">
                                          <w:marLeft w:val="0"/>
                                          <w:marRight w:val="0"/>
                                          <w:marTop w:val="360"/>
                                          <w:marBottom w:val="0"/>
                                          <w:divBdr>
                                            <w:top w:val="none" w:sz="0" w:space="0" w:color="auto"/>
                                            <w:left w:val="none" w:sz="0" w:space="0" w:color="auto"/>
                                            <w:bottom w:val="none" w:sz="0" w:space="0" w:color="auto"/>
                                            <w:right w:val="none" w:sz="0" w:space="0" w:color="auto"/>
                                          </w:divBdr>
                                          <w:divsChild>
                                            <w:div w:id="577909675">
                                              <w:marLeft w:val="0"/>
                                              <w:marRight w:val="0"/>
                                              <w:marTop w:val="0"/>
                                              <w:marBottom w:val="0"/>
                                              <w:divBdr>
                                                <w:top w:val="none" w:sz="0" w:space="0" w:color="auto"/>
                                                <w:left w:val="none" w:sz="0" w:space="0" w:color="auto"/>
                                                <w:bottom w:val="none" w:sz="0" w:space="0" w:color="auto"/>
                                                <w:right w:val="none" w:sz="0" w:space="0" w:color="auto"/>
                                              </w:divBdr>
                                            </w:div>
                                            <w:div w:id="1129202806">
                                              <w:marLeft w:val="0"/>
                                              <w:marRight w:val="0"/>
                                              <w:marTop w:val="0"/>
                                              <w:marBottom w:val="0"/>
                                              <w:divBdr>
                                                <w:top w:val="none" w:sz="0" w:space="0" w:color="auto"/>
                                                <w:left w:val="none" w:sz="0" w:space="0" w:color="auto"/>
                                                <w:bottom w:val="none" w:sz="0" w:space="0" w:color="auto"/>
                                                <w:right w:val="none" w:sz="0" w:space="0" w:color="auto"/>
                                              </w:divBdr>
                                            </w:div>
                                            <w:div w:id="19781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2849313">
      <w:bodyDiv w:val="1"/>
      <w:marLeft w:val="0"/>
      <w:marRight w:val="0"/>
      <w:marTop w:val="0"/>
      <w:marBottom w:val="0"/>
      <w:divBdr>
        <w:top w:val="none" w:sz="0" w:space="0" w:color="auto"/>
        <w:left w:val="none" w:sz="0" w:space="0" w:color="auto"/>
        <w:bottom w:val="none" w:sz="0" w:space="0" w:color="auto"/>
        <w:right w:val="none" w:sz="0" w:space="0" w:color="auto"/>
      </w:divBdr>
      <w:divsChild>
        <w:div w:id="1163083711">
          <w:marLeft w:val="0"/>
          <w:marRight w:val="0"/>
          <w:marTop w:val="0"/>
          <w:marBottom w:val="0"/>
          <w:divBdr>
            <w:top w:val="none" w:sz="0" w:space="0" w:color="auto"/>
            <w:left w:val="none" w:sz="0" w:space="0" w:color="auto"/>
            <w:bottom w:val="none" w:sz="0" w:space="0" w:color="auto"/>
            <w:right w:val="none" w:sz="0" w:space="0" w:color="auto"/>
          </w:divBdr>
        </w:div>
        <w:div w:id="632296372">
          <w:marLeft w:val="0"/>
          <w:marRight w:val="0"/>
          <w:marTop w:val="0"/>
          <w:marBottom w:val="0"/>
          <w:divBdr>
            <w:top w:val="none" w:sz="0" w:space="0" w:color="auto"/>
            <w:left w:val="none" w:sz="0" w:space="0" w:color="auto"/>
            <w:bottom w:val="none" w:sz="0" w:space="0" w:color="auto"/>
            <w:right w:val="none" w:sz="0" w:space="0" w:color="auto"/>
          </w:divBdr>
        </w:div>
        <w:div w:id="1603757836">
          <w:marLeft w:val="0"/>
          <w:marRight w:val="0"/>
          <w:marTop w:val="0"/>
          <w:marBottom w:val="0"/>
          <w:divBdr>
            <w:top w:val="none" w:sz="0" w:space="0" w:color="auto"/>
            <w:left w:val="none" w:sz="0" w:space="0" w:color="auto"/>
            <w:bottom w:val="none" w:sz="0" w:space="0" w:color="auto"/>
            <w:right w:val="none" w:sz="0" w:space="0" w:color="auto"/>
          </w:divBdr>
        </w:div>
        <w:div w:id="1803111731">
          <w:marLeft w:val="0"/>
          <w:marRight w:val="0"/>
          <w:marTop w:val="0"/>
          <w:marBottom w:val="0"/>
          <w:divBdr>
            <w:top w:val="none" w:sz="0" w:space="0" w:color="auto"/>
            <w:left w:val="none" w:sz="0" w:space="0" w:color="auto"/>
            <w:bottom w:val="none" w:sz="0" w:space="0" w:color="auto"/>
            <w:right w:val="none" w:sz="0" w:space="0" w:color="auto"/>
          </w:divBdr>
        </w:div>
      </w:divsChild>
    </w:div>
    <w:div w:id="772242045">
      <w:bodyDiv w:val="1"/>
      <w:marLeft w:val="0"/>
      <w:marRight w:val="0"/>
      <w:marTop w:val="0"/>
      <w:marBottom w:val="0"/>
      <w:divBdr>
        <w:top w:val="none" w:sz="0" w:space="0" w:color="auto"/>
        <w:left w:val="none" w:sz="0" w:space="0" w:color="auto"/>
        <w:bottom w:val="none" w:sz="0" w:space="0" w:color="auto"/>
        <w:right w:val="none" w:sz="0" w:space="0" w:color="auto"/>
      </w:divBdr>
      <w:divsChild>
        <w:div w:id="322851780">
          <w:marLeft w:val="0"/>
          <w:marRight w:val="0"/>
          <w:marTop w:val="0"/>
          <w:marBottom w:val="0"/>
          <w:divBdr>
            <w:top w:val="none" w:sz="0" w:space="0" w:color="auto"/>
            <w:left w:val="none" w:sz="0" w:space="0" w:color="auto"/>
            <w:bottom w:val="none" w:sz="0" w:space="0" w:color="auto"/>
            <w:right w:val="none" w:sz="0" w:space="0" w:color="auto"/>
          </w:divBdr>
        </w:div>
        <w:div w:id="580339117">
          <w:marLeft w:val="0"/>
          <w:marRight w:val="0"/>
          <w:marTop w:val="0"/>
          <w:marBottom w:val="0"/>
          <w:divBdr>
            <w:top w:val="none" w:sz="0" w:space="0" w:color="auto"/>
            <w:left w:val="none" w:sz="0" w:space="0" w:color="auto"/>
            <w:bottom w:val="none" w:sz="0" w:space="0" w:color="auto"/>
            <w:right w:val="none" w:sz="0" w:space="0" w:color="auto"/>
          </w:divBdr>
        </w:div>
        <w:div w:id="448814993">
          <w:marLeft w:val="0"/>
          <w:marRight w:val="0"/>
          <w:marTop w:val="0"/>
          <w:marBottom w:val="0"/>
          <w:divBdr>
            <w:top w:val="none" w:sz="0" w:space="0" w:color="auto"/>
            <w:left w:val="none" w:sz="0" w:space="0" w:color="auto"/>
            <w:bottom w:val="none" w:sz="0" w:space="0" w:color="auto"/>
            <w:right w:val="none" w:sz="0" w:space="0" w:color="auto"/>
          </w:divBdr>
        </w:div>
        <w:div w:id="1837181566">
          <w:marLeft w:val="0"/>
          <w:marRight w:val="0"/>
          <w:marTop w:val="0"/>
          <w:marBottom w:val="0"/>
          <w:divBdr>
            <w:top w:val="none" w:sz="0" w:space="0" w:color="auto"/>
            <w:left w:val="none" w:sz="0" w:space="0" w:color="auto"/>
            <w:bottom w:val="none" w:sz="0" w:space="0" w:color="auto"/>
            <w:right w:val="none" w:sz="0" w:space="0" w:color="auto"/>
          </w:divBdr>
        </w:div>
        <w:div w:id="994837836">
          <w:marLeft w:val="0"/>
          <w:marRight w:val="0"/>
          <w:marTop w:val="0"/>
          <w:marBottom w:val="0"/>
          <w:divBdr>
            <w:top w:val="none" w:sz="0" w:space="0" w:color="auto"/>
            <w:left w:val="none" w:sz="0" w:space="0" w:color="auto"/>
            <w:bottom w:val="none" w:sz="0" w:space="0" w:color="auto"/>
            <w:right w:val="none" w:sz="0" w:space="0" w:color="auto"/>
          </w:divBdr>
        </w:div>
      </w:divsChild>
    </w:div>
    <w:div w:id="840775490">
      <w:bodyDiv w:val="1"/>
      <w:marLeft w:val="0"/>
      <w:marRight w:val="0"/>
      <w:marTop w:val="0"/>
      <w:marBottom w:val="0"/>
      <w:divBdr>
        <w:top w:val="none" w:sz="0" w:space="0" w:color="auto"/>
        <w:left w:val="none" w:sz="0" w:space="0" w:color="auto"/>
        <w:bottom w:val="none" w:sz="0" w:space="0" w:color="auto"/>
        <w:right w:val="none" w:sz="0" w:space="0" w:color="auto"/>
      </w:divBdr>
    </w:div>
    <w:div w:id="846601148">
      <w:bodyDiv w:val="1"/>
      <w:marLeft w:val="0"/>
      <w:marRight w:val="0"/>
      <w:marTop w:val="0"/>
      <w:marBottom w:val="0"/>
      <w:divBdr>
        <w:top w:val="none" w:sz="0" w:space="0" w:color="auto"/>
        <w:left w:val="none" w:sz="0" w:space="0" w:color="auto"/>
        <w:bottom w:val="none" w:sz="0" w:space="0" w:color="auto"/>
        <w:right w:val="none" w:sz="0" w:space="0" w:color="auto"/>
      </w:divBdr>
    </w:div>
    <w:div w:id="861895089">
      <w:bodyDiv w:val="1"/>
      <w:marLeft w:val="0"/>
      <w:marRight w:val="0"/>
      <w:marTop w:val="0"/>
      <w:marBottom w:val="0"/>
      <w:divBdr>
        <w:top w:val="none" w:sz="0" w:space="0" w:color="auto"/>
        <w:left w:val="none" w:sz="0" w:space="0" w:color="auto"/>
        <w:bottom w:val="none" w:sz="0" w:space="0" w:color="auto"/>
        <w:right w:val="none" w:sz="0" w:space="0" w:color="auto"/>
      </w:divBdr>
      <w:divsChild>
        <w:div w:id="351733461">
          <w:marLeft w:val="0"/>
          <w:marRight w:val="0"/>
          <w:marTop w:val="0"/>
          <w:marBottom w:val="0"/>
          <w:divBdr>
            <w:top w:val="none" w:sz="0" w:space="0" w:color="auto"/>
            <w:left w:val="none" w:sz="0" w:space="0" w:color="auto"/>
            <w:bottom w:val="none" w:sz="0" w:space="0" w:color="auto"/>
            <w:right w:val="none" w:sz="0" w:space="0" w:color="auto"/>
          </w:divBdr>
        </w:div>
        <w:div w:id="708182669">
          <w:marLeft w:val="0"/>
          <w:marRight w:val="0"/>
          <w:marTop w:val="0"/>
          <w:marBottom w:val="0"/>
          <w:divBdr>
            <w:top w:val="none" w:sz="0" w:space="0" w:color="auto"/>
            <w:left w:val="none" w:sz="0" w:space="0" w:color="auto"/>
            <w:bottom w:val="none" w:sz="0" w:space="0" w:color="auto"/>
            <w:right w:val="none" w:sz="0" w:space="0" w:color="auto"/>
          </w:divBdr>
        </w:div>
        <w:div w:id="1544749241">
          <w:marLeft w:val="0"/>
          <w:marRight w:val="0"/>
          <w:marTop w:val="0"/>
          <w:marBottom w:val="0"/>
          <w:divBdr>
            <w:top w:val="none" w:sz="0" w:space="0" w:color="auto"/>
            <w:left w:val="none" w:sz="0" w:space="0" w:color="auto"/>
            <w:bottom w:val="none" w:sz="0" w:space="0" w:color="auto"/>
            <w:right w:val="none" w:sz="0" w:space="0" w:color="auto"/>
          </w:divBdr>
        </w:div>
        <w:div w:id="940063973">
          <w:marLeft w:val="0"/>
          <w:marRight w:val="0"/>
          <w:marTop w:val="0"/>
          <w:marBottom w:val="0"/>
          <w:divBdr>
            <w:top w:val="none" w:sz="0" w:space="0" w:color="auto"/>
            <w:left w:val="none" w:sz="0" w:space="0" w:color="auto"/>
            <w:bottom w:val="none" w:sz="0" w:space="0" w:color="auto"/>
            <w:right w:val="none" w:sz="0" w:space="0" w:color="auto"/>
          </w:divBdr>
        </w:div>
      </w:divsChild>
    </w:div>
    <w:div w:id="868253541">
      <w:bodyDiv w:val="1"/>
      <w:marLeft w:val="0"/>
      <w:marRight w:val="0"/>
      <w:marTop w:val="0"/>
      <w:marBottom w:val="0"/>
      <w:divBdr>
        <w:top w:val="none" w:sz="0" w:space="0" w:color="auto"/>
        <w:left w:val="none" w:sz="0" w:space="0" w:color="auto"/>
        <w:bottom w:val="none" w:sz="0" w:space="0" w:color="auto"/>
        <w:right w:val="none" w:sz="0" w:space="0" w:color="auto"/>
      </w:divBdr>
    </w:div>
    <w:div w:id="872769621">
      <w:bodyDiv w:val="1"/>
      <w:marLeft w:val="0"/>
      <w:marRight w:val="0"/>
      <w:marTop w:val="0"/>
      <w:marBottom w:val="0"/>
      <w:divBdr>
        <w:top w:val="none" w:sz="0" w:space="0" w:color="auto"/>
        <w:left w:val="none" w:sz="0" w:space="0" w:color="auto"/>
        <w:bottom w:val="none" w:sz="0" w:space="0" w:color="auto"/>
        <w:right w:val="none" w:sz="0" w:space="0" w:color="auto"/>
      </w:divBdr>
      <w:divsChild>
        <w:div w:id="2126386423">
          <w:marLeft w:val="0"/>
          <w:marRight w:val="0"/>
          <w:marTop w:val="0"/>
          <w:marBottom w:val="0"/>
          <w:divBdr>
            <w:top w:val="none" w:sz="0" w:space="0" w:color="auto"/>
            <w:left w:val="none" w:sz="0" w:space="0" w:color="auto"/>
            <w:bottom w:val="none" w:sz="0" w:space="0" w:color="auto"/>
            <w:right w:val="none" w:sz="0" w:space="0" w:color="auto"/>
          </w:divBdr>
          <w:divsChild>
            <w:div w:id="1968508415">
              <w:marLeft w:val="0"/>
              <w:marRight w:val="0"/>
              <w:marTop w:val="0"/>
              <w:marBottom w:val="0"/>
              <w:divBdr>
                <w:top w:val="none" w:sz="0" w:space="0" w:color="auto"/>
                <w:left w:val="none" w:sz="0" w:space="0" w:color="auto"/>
                <w:bottom w:val="none" w:sz="0" w:space="0" w:color="auto"/>
                <w:right w:val="none" w:sz="0" w:space="0" w:color="auto"/>
              </w:divBdr>
              <w:divsChild>
                <w:div w:id="5182635">
                  <w:marLeft w:val="0"/>
                  <w:marRight w:val="0"/>
                  <w:marTop w:val="0"/>
                  <w:marBottom w:val="0"/>
                  <w:divBdr>
                    <w:top w:val="none" w:sz="0" w:space="0" w:color="auto"/>
                    <w:left w:val="none" w:sz="0" w:space="0" w:color="auto"/>
                    <w:bottom w:val="none" w:sz="0" w:space="0" w:color="auto"/>
                    <w:right w:val="none" w:sz="0" w:space="0" w:color="auto"/>
                  </w:divBdr>
                  <w:divsChild>
                    <w:div w:id="377970454">
                      <w:marLeft w:val="0"/>
                      <w:marRight w:val="0"/>
                      <w:marTop w:val="0"/>
                      <w:marBottom w:val="0"/>
                      <w:divBdr>
                        <w:top w:val="none" w:sz="0" w:space="0" w:color="auto"/>
                        <w:left w:val="none" w:sz="0" w:space="0" w:color="auto"/>
                        <w:bottom w:val="none" w:sz="0" w:space="0" w:color="auto"/>
                        <w:right w:val="none" w:sz="0" w:space="0" w:color="auto"/>
                      </w:divBdr>
                      <w:divsChild>
                        <w:div w:id="1768691994">
                          <w:marLeft w:val="0"/>
                          <w:marRight w:val="0"/>
                          <w:marTop w:val="180"/>
                          <w:marBottom w:val="0"/>
                          <w:divBdr>
                            <w:top w:val="none" w:sz="0" w:space="0" w:color="auto"/>
                            <w:left w:val="none" w:sz="0" w:space="0" w:color="auto"/>
                            <w:bottom w:val="none" w:sz="0" w:space="0" w:color="auto"/>
                            <w:right w:val="none" w:sz="0" w:space="0" w:color="auto"/>
                          </w:divBdr>
                          <w:divsChild>
                            <w:div w:id="549878485">
                              <w:marLeft w:val="0"/>
                              <w:marRight w:val="0"/>
                              <w:marTop w:val="0"/>
                              <w:marBottom w:val="0"/>
                              <w:divBdr>
                                <w:top w:val="none" w:sz="0" w:space="0" w:color="auto"/>
                                <w:left w:val="none" w:sz="0" w:space="0" w:color="auto"/>
                                <w:bottom w:val="none" w:sz="0" w:space="0" w:color="auto"/>
                                <w:right w:val="none" w:sz="0" w:space="0" w:color="auto"/>
                              </w:divBdr>
                              <w:divsChild>
                                <w:div w:id="640768938">
                                  <w:marLeft w:val="0"/>
                                  <w:marRight w:val="0"/>
                                  <w:marTop w:val="0"/>
                                  <w:marBottom w:val="0"/>
                                  <w:divBdr>
                                    <w:top w:val="none" w:sz="0" w:space="0" w:color="auto"/>
                                    <w:left w:val="none" w:sz="0" w:space="0" w:color="auto"/>
                                    <w:bottom w:val="none" w:sz="0" w:space="0" w:color="auto"/>
                                    <w:right w:val="none" w:sz="0" w:space="0" w:color="auto"/>
                                  </w:divBdr>
                                  <w:divsChild>
                                    <w:div w:id="1165704004">
                                      <w:marLeft w:val="0"/>
                                      <w:marRight w:val="0"/>
                                      <w:marTop w:val="0"/>
                                      <w:marBottom w:val="0"/>
                                      <w:divBdr>
                                        <w:top w:val="none" w:sz="0" w:space="0" w:color="auto"/>
                                        <w:left w:val="none" w:sz="0" w:space="0" w:color="auto"/>
                                        <w:bottom w:val="none" w:sz="0" w:space="0" w:color="auto"/>
                                        <w:right w:val="none" w:sz="0" w:space="0" w:color="auto"/>
                                      </w:divBdr>
                                      <w:divsChild>
                                        <w:div w:id="1811508683">
                                          <w:marLeft w:val="0"/>
                                          <w:marRight w:val="0"/>
                                          <w:marTop w:val="0"/>
                                          <w:marBottom w:val="0"/>
                                          <w:divBdr>
                                            <w:top w:val="none" w:sz="0" w:space="0" w:color="auto"/>
                                            <w:left w:val="none" w:sz="0" w:space="0" w:color="auto"/>
                                            <w:bottom w:val="none" w:sz="0" w:space="0" w:color="auto"/>
                                            <w:right w:val="none" w:sz="0" w:space="0" w:color="auto"/>
                                          </w:divBdr>
                                          <w:divsChild>
                                            <w:div w:id="2145154793">
                                              <w:marLeft w:val="0"/>
                                              <w:marRight w:val="0"/>
                                              <w:marTop w:val="0"/>
                                              <w:marBottom w:val="0"/>
                                              <w:divBdr>
                                                <w:top w:val="none" w:sz="0" w:space="0" w:color="auto"/>
                                                <w:left w:val="none" w:sz="0" w:space="0" w:color="auto"/>
                                                <w:bottom w:val="none" w:sz="0" w:space="0" w:color="auto"/>
                                                <w:right w:val="none" w:sz="0" w:space="0" w:color="auto"/>
                                              </w:divBdr>
                                              <w:divsChild>
                                                <w:div w:id="1890461228">
                                                  <w:marLeft w:val="0"/>
                                                  <w:marRight w:val="0"/>
                                                  <w:marTop w:val="0"/>
                                                  <w:marBottom w:val="0"/>
                                                  <w:divBdr>
                                                    <w:top w:val="none" w:sz="0" w:space="0" w:color="auto"/>
                                                    <w:left w:val="none" w:sz="0" w:space="0" w:color="auto"/>
                                                    <w:bottom w:val="none" w:sz="0" w:space="0" w:color="auto"/>
                                                    <w:right w:val="none" w:sz="0" w:space="0" w:color="auto"/>
                                                  </w:divBdr>
                                                  <w:divsChild>
                                                    <w:div w:id="1352956359">
                                                      <w:marLeft w:val="0"/>
                                                      <w:marRight w:val="0"/>
                                                      <w:marTop w:val="0"/>
                                                      <w:marBottom w:val="0"/>
                                                      <w:divBdr>
                                                        <w:top w:val="none" w:sz="0" w:space="0" w:color="auto"/>
                                                        <w:left w:val="none" w:sz="0" w:space="0" w:color="auto"/>
                                                        <w:bottom w:val="none" w:sz="0" w:space="0" w:color="auto"/>
                                                        <w:right w:val="none" w:sz="0" w:space="0" w:color="auto"/>
                                                      </w:divBdr>
                                                    </w:div>
                                                    <w:div w:id="1980912893">
                                                      <w:marLeft w:val="0"/>
                                                      <w:marRight w:val="0"/>
                                                      <w:marTop w:val="0"/>
                                                      <w:marBottom w:val="0"/>
                                                      <w:divBdr>
                                                        <w:top w:val="none" w:sz="0" w:space="0" w:color="auto"/>
                                                        <w:left w:val="none" w:sz="0" w:space="0" w:color="auto"/>
                                                        <w:bottom w:val="none" w:sz="0" w:space="0" w:color="auto"/>
                                                        <w:right w:val="none" w:sz="0" w:space="0" w:color="auto"/>
                                                      </w:divBdr>
                                                    </w:div>
                                                    <w:div w:id="1337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9520">
                                          <w:marLeft w:val="0"/>
                                          <w:marRight w:val="0"/>
                                          <w:marTop w:val="0"/>
                                          <w:marBottom w:val="0"/>
                                          <w:divBdr>
                                            <w:top w:val="none" w:sz="0" w:space="0" w:color="auto"/>
                                            <w:left w:val="none" w:sz="0" w:space="0" w:color="auto"/>
                                            <w:bottom w:val="none" w:sz="0" w:space="0" w:color="auto"/>
                                            <w:right w:val="none" w:sz="0" w:space="0" w:color="auto"/>
                                          </w:divBdr>
                                          <w:divsChild>
                                            <w:div w:id="2106151534">
                                              <w:marLeft w:val="0"/>
                                              <w:marRight w:val="0"/>
                                              <w:marTop w:val="0"/>
                                              <w:marBottom w:val="0"/>
                                              <w:divBdr>
                                                <w:top w:val="none" w:sz="0" w:space="0" w:color="auto"/>
                                                <w:left w:val="none" w:sz="0" w:space="0" w:color="auto"/>
                                                <w:bottom w:val="none" w:sz="0" w:space="0" w:color="auto"/>
                                                <w:right w:val="none" w:sz="0" w:space="0" w:color="auto"/>
                                              </w:divBdr>
                                              <w:divsChild>
                                                <w:div w:id="51586678">
                                                  <w:marLeft w:val="0"/>
                                                  <w:marRight w:val="0"/>
                                                  <w:marTop w:val="0"/>
                                                  <w:marBottom w:val="0"/>
                                                  <w:divBdr>
                                                    <w:top w:val="none" w:sz="0" w:space="0" w:color="auto"/>
                                                    <w:left w:val="none" w:sz="0" w:space="0" w:color="auto"/>
                                                    <w:bottom w:val="none" w:sz="0" w:space="0" w:color="auto"/>
                                                    <w:right w:val="none" w:sz="0" w:space="0" w:color="auto"/>
                                                  </w:divBdr>
                                                  <w:divsChild>
                                                    <w:div w:id="1300040848">
                                                      <w:marLeft w:val="0"/>
                                                      <w:marRight w:val="0"/>
                                                      <w:marTop w:val="0"/>
                                                      <w:marBottom w:val="0"/>
                                                      <w:divBdr>
                                                        <w:top w:val="none" w:sz="0" w:space="0" w:color="auto"/>
                                                        <w:left w:val="none" w:sz="0" w:space="0" w:color="auto"/>
                                                        <w:bottom w:val="none" w:sz="0" w:space="0" w:color="auto"/>
                                                        <w:right w:val="none" w:sz="0" w:space="0" w:color="auto"/>
                                                      </w:divBdr>
                                                      <w:divsChild>
                                                        <w:div w:id="6245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02402">
                                          <w:marLeft w:val="0"/>
                                          <w:marRight w:val="0"/>
                                          <w:marTop w:val="360"/>
                                          <w:marBottom w:val="0"/>
                                          <w:divBdr>
                                            <w:top w:val="none" w:sz="0" w:space="0" w:color="auto"/>
                                            <w:left w:val="none" w:sz="0" w:space="0" w:color="auto"/>
                                            <w:bottom w:val="none" w:sz="0" w:space="0" w:color="auto"/>
                                            <w:right w:val="none" w:sz="0" w:space="0" w:color="auto"/>
                                          </w:divBdr>
                                          <w:divsChild>
                                            <w:div w:id="1396975934">
                                              <w:marLeft w:val="0"/>
                                              <w:marRight w:val="0"/>
                                              <w:marTop w:val="0"/>
                                              <w:marBottom w:val="0"/>
                                              <w:divBdr>
                                                <w:top w:val="none" w:sz="0" w:space="0" w:color="auto"/>
                                                <w:left w:val="none" w:sz="0" w:space="0" w:color="auto"/>
                                                <w:bottom w:val="none" w:sz="0" w:space="0" w:color="auto"/>
                                                <w:right w:val="none" w:sz="0" w:space="0" w:color="auto"/>
                                              </w:divBdr>
                                            </w:div>
                                            <w:div w:id="948467362">
                                              <w:marLeft w:val="0"/>
                                              <w:marRight w:val="0"/>
                                              <w:marTop w:val="0"/>
                                              <w:marBottom w:val="0"/>
                                              <w:divBdr>
                                                <w:top w:val="none" w:sz="0" w:space="0" w:color="auto"/>
                                                <w:left w:val="none" w:sz="0" w:space="0" w:color="auto"/>
                                                <w:bottom w:val="none" w:sz="0" w:space="0" w:color="auto"/>
                                                <w:right w:val="none" w:sz="0" w:space="0" w:color="auto"/>
                                              </w:divBdr>
                                            </w:div>
                                            <w:div w:id="10383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3248573">
      <w:bodyDiv w:val="1"/>
      <w:marLeft w:val="0"/>
      <w:marRight w:val="0"/>
      <w:marTop w:val="0"/>
      <w:marBottom w:val="0"/>
      <w:divBdr>
        <w:top w:val="none" w:sz="0" w:space="0" w:color="auto"/>
        <w:left w:val="none" w:sz="0" w:space="0" w:color="auto"/>
        <w:bottom w:val="none" w:sz="0" w:space="0" w:color="auto"/>
        <w:right w:val="none" w:sz="0" w:space="0" w:color="auto"/>
      </w:divBdr>
      <w:divsChild>
        <w:div w:id="390889408">
          <w:marLeft w:val="0"/>
          <w:marRight w:val="0"/>
          <w:marTop w:val="0"/>
          <w:marBottom w:val="0"/>
          <w:divBdr>
            <w:top w:val="none" w:sz="0" w:space="0" w:color="auto"/>
            <w:left w:val="none" w:sz="0" w:space="0" w:color="auto"/>
            <w:bottom w:val="none" w:sz="0" w:space="0" w:color="auto"/>
            <w:right w:val="none" w:sz="0" w:space="0" w:color="auto"/>
          </w:divBdr>
        </w:div>
        <w:div w:id="637076388">
          <w:marLeft w:val="0"/>
          <w:marRight w:val="0"/>
          <w:marTop w:val="0"/>
          <w:marBottom w:val="0"/>
          <w:divBdr>
            <w:top w:val="none" w:sz="0" w:space="0" w:color="auto"/>
            <w:left w:val="none" w:sz="0" w:space="0" w:color="auto"/>
            <w:bottom w:val="none" w:sz="0" w:space="0" w:color="auto"/>
            <w:right w:val="none" w:sz="0" w:space="0" w:color="auto"/>
          </w:divBdr>
        </w:div>
        <w:div w:id="866018590">
          <w:marLeft w:val="0"/>
          <w:marRight w:val="0"/>
          <w:marTop w:val="0"/>
          <w:marBottom w:val="0"/>
          <w:divBdr>
            <w:top w:val="none" w:sz="0" w:space="0" w:color="auto"/>
            <w:left w:val="none" w:sz="0" w:space="0" w:color="auto"/>
            <w:bottom w:val="none" w:sz="0" w:space="0" w:color="auto"/>
            <w:right w:val="none" w:sz="0" w:space="0" w:color="auto"/>
          </w:divBdr>
        </w:div>
        <w:div w:id="1205629841">
          <w:marLeft w:val="0"/>
          <w:marRight w:val="0"/>
          <w:marTop w:val="0"/>
          <w:marBottom w:val="0"/>
          <w:divBdr>
            <w:top w:val="none" w:sz="0" w:space="0" w:color="auto"/>
            <w:left w:val="none" w:sz="0" w:space="0" w:color="auto"/>
            <w:bottom w:val="none" w:sz="0" w:space="0" w:color="auto"/>
            <w:right w:val="none" w:sz="0" w:space="0" w:color="auto"/>
          </w:divBdr>
        </w:div>
      </w:divsChild>
    </w:div>
    <w:div w:id="938369745">
      <w:bodyDiv w:val="1"/>
      <w:marLeft w:val="0"/>
      <w:marRight w:val="0"/>
      <w:marTop w:val="0"/>
      <w:marBottom w:val="0"/>
      <w:divBdr>
        <w:top w:val="none" w:sz="0" w:space="0" w:color="auto"/>
        <w:left w:val="none" w:sz="0" w:space="0" w:color="auto"/>
        <w:bottom w:val="none" w:sz="0" w:space="0" w:color="auto"/>
        <w:right w:val="none" w:sz="0" w:space="0" w:color="auto"/>
      </w:divBdr>
      <w:divsChild>
        <w:div w:id="1554803372">
          <w:marLeft w:val="0"/>
          <w:marRight w:val="0"/>
          <w:marTop w:val="0"/>
          <w:marBottom w:val="0"/>
          <w:divBdr>
            <w:top w:val="none" w:sz="0" w:space="0" w:color="auto"/>
            <w:left w:val="none" w:sz="0" w:space="0" w:color="auto"/>
            <w:bottom w:val="none" w:sz="0" w:space="0" w:color="auto"/>
            <w:right w:val="none" w:sz="0" w:space="0" w:color="auto"/>
          </w:divBdr>
        </w:div>
        <w:div w:id="1570309602">
          <w:marLeft w:val="0"/>
          <w:marRight w:val="0"/>
          <w:marTop w:val="0"/>
          <w:marBottom w:val="0"/>
          <w:divBdr>
            <w:top w:val="none" w:sz="0" w:space="0" w:color="auto"/>
            <w:left w:val="none" w:sz="0" w:space="0" w:color="auto"/>
            <w:bottom w:val="none" w:sz="0" w:space="0" w:color="auto"/>
            <w:right w:val="none" w:sz="0" w:space="0" w:color="auto"/>
          </w:divBdr>
        </w:div>
      </w:divsChild>
    </w:div>
    <w:div w:id="1031298822">
      <w:bodyDiv w:val="1"/>
      <w:marLeft w:val="0"/>
      <w:marRight w:val="0"/>
      <w:marTop w:val="0"/>
      <w:marBottom w:val="0"/>
      <w:divBdr>
        <w:top w:val="none" w:sz="0" w:space="0" w:color="auto"/>
        <w:left w:val="none" w:sz="0" w:space="0" w:color="auto"/>
        <w:bottom w:val="none" w:sz="0" w:space="0" w:color="auto"/>
        <w:right w:val="none" w:sz="0" w:space="0" w:color="auto"/>
      </w:divBdr>
      <w:divsChild>
        <w:div w:id="526674680">
          <w:marLeft w:val="0"/>
          <w:marRight w:val="0"/>
          <w:marTop w:val="0"/>
          <w:marBottom w:val="0"/>
          <w:divBdr>
            <w:top w:val="none" w:sz="0" w:space="0" w:color="auto"/>
            <w:left w:val="none" w:sz="0" w:space="0" w:color="auto"/>
            <w:bottom w:val="none" w:sz="0" w:space="0" w:color="auto"/>
            <w:right w:val="none" w:sz="0" w:space="0" w:color="auto"/>
          </w:divBdr>
        </w:div>
        <w:div w:id="1670281741">
          <w:marLeft w:val="0"/>
          <w:marRight w:val="0"/>
          <w:marTop w:val="0"/>
          <w:marBottom w:val="0"/>
          <w:divBdr>
            <w:top w:val="none" w:sz="0" w:space="0" w:color="auto"/>
            <w:left w:val="none" w:sz="0" w:space="0" w:color="auto"/>
            <w:bottom w:val="none" w:sz="0" w:space="0" w:color="auto"/>
            <w:right w:val="none" w:sz="0" w:space="0" w:color="auto"/>
          </w:divBdr>
        </w:div>
        <w:div w:id="1283196759">
          <w:marLeft w:val="0"/>
          <w:marRight w:val="0"/>
          <w:marTop w:val="0"/>
          <w:marBottom w:val="0"/>
          <w:divBdr>
            <w:top w:val="none" w:sz="0" w:space="0" w:color="auto"/>
            <w:left w:val="none" w:sz="0" w:space="0" w:color="auto"/>
            <w:bottom w:val="none" w:sz="0" w:space="0" w:color="auto"/>
            <w:right w:val="none" w:sz="0" w:space="0" w:color="auto"/>
          </w:divBdr>
        </w:div>
        <w:div w:id="140655125">
          <w:marLeft w:val="0"/>
          <w:marRight w:val="0"/>
          <w:marTop w:val="0"/>
          <w:marBottom w:val="0"/>
          <w:divBdr>
            <w:top w:val="none" w:sz="0" w:space="0" w:color="auto"/>
            <w:left w:val="none" w:sz="0" w:space="0" w:color="auto"/>
            <w:bottom w:val="none" w:sz="0" w:space="0" w:color="auto"/>
            <w:right w:val="none" w:sz="0" w:space="0" w:color="auto"/>
          </w:divBdr>
        </w:div>
        <w:div w:id="1343704521">
          <w:marLeft w:val="0"/>
          <w:marRight w:val="0"/>
          <w:marTop w:val="0"/>
          <w:marBottom w:val="0"/>
          <w:divBdr>
            <w:top w:val="none" w:sz="0" w:space="0" w:color="auto"/>
            <w:left w:val="none" w:sz="0" w:space="0" w:color="auto"/>
            <w:bottom w:val="none" w:sz="0" w:space="0" w:color="auto"/>
            <w:right w:val="none" w:sz="0" w:space="0" w:color="auto"/>
          </w:divBdr>
        </w:div>
      </w:divsChild>
    </w:div>
    <w:div w:id="1031953246">
      <w:bodyDiv w:val="1"/>
      <w:marLeft w:val="0"/>
      <w:marRight w:val="0"/>
      <w:marTop w:val="0"/>
      <w:marBottom w:val="0"/>
      <w:divBdr>
        <w:top w:val="none" w:sz="0" w:space="0" w:color="auto"/>
        <w:left w:val="none" w:sz="0" w:space="0" w:color="auto"/>
        <w:bottom w:val="none" w:sz="0" w:space="0" w:color="auto"/>
        <w:right w:val="none" w:sz="0" w:space="0" w:color="auto"/>
      </w:divBdr>
      <w:divsChild>
        <w:div w:id="1679965264">
          <w:marLeft w:val="0"/>
          <w:marRight w:val="0"/>
          <w:marTop w:val="0"/>
          <w:marBottom w:val="0"/>
          <w:divBdr>
            <w:top w:val="none" w:sz="0" w:space="0" w:color="auto"/>
            <w:left w:val="none" w:sz="0" w:space="0" w:color="auto"/>
            <w:bottom w:val="none" w:sz="0" w:space="0" w:color="auto"/>
            <w:right w:val="none" w:sz="0" w:space="0" w:color="auto"/>
          </w:divBdr>
        </w:div>
        <w:div w:id="1448617426">
          <w:marLeft w:val="0"/>
          <w:marRight w:val="0"/>
          <w:marTop w:val="0"/>
          <w:marBottom w:val="0"/>
          <w:divBdr>
            <w:top w:val="none" w:sz="0" w:space="0" w:color="auto"/>
            <w:left w:val="none" w:sz="0" w:space="0" w:color="auto"/>
            <w:bottom w:val="none" w:sz="0" w:space="0" w:color="auto"/>
            <w:right w:val="none" w:sz="0" w:space="0" w:color="auto"/>
          </w:divBdr>
        </w:div>
        <w:div w:id="2027556316">
          <w:marLeft w:val="0"/>
          <w:marRight w:val="0"/>
          <w:marTop w:val="0"/>
          <w:marBottom w:val="0"/>
          <w:divBdr>
            <w:top w:val="none" w:sz="0" w:space="0" w:color="auto"/>
            <w:left w:val="none" w:sz="0" w:space="0" w:color="auto"/>
            <w:bottom w:val="none" w:sz="0" w:space="0" w:color="auto"/>
            <w:right w:val="none" w:sz="0" w:space="0" w:color="auto"/>
          </w:divBdr>
        </w:div>
      </w:divsChild>
    </w:div>
    <w:div w:id="1074668391">
      <w:bodyDiv w:val="1"/>
      <w:marLeft w:val="0"/>
      <w:marRight w:val="0"/>
      <w:marTop w:val="0"/>
      <w:marBottom w:val="0"/>
      <w:divBdr>
        <w:top w:val="none" w:sz="0" w:space="0" w:color="auto"/>
        <w:left w:val="none" w:sz="0" w:space="0" w:color="auto"/>
        <w:bottom w:val="none" w:sz="0" w:space="0" w:color="auto"/>
        <w:right w:val="none" w:sz="0" w:space="0" w:color="auto"/>
      </w:divBdr>
      <w:divsChild>
        <w:div w:id="1814063345">
          <w:marLeft w:val="0"/>
          <w:marRight w:val="0"/>
          <w:marTop w:val="0"/>
          <w:marBottom w:val="0"/>
          <w:divBdr>
            <w:top w:val="none" w:sz="0" w:space="0" w:color="auto"/>
            <w:left w:val="none" w:sz="0" w:space="0" w:color="auto"/>
            <w:bottom w:val="none" w:sz="0" w:space="0" w:color="auto"/>
            <w:right w:val="none" w:sz="0" w:space="0" w:color="auto"/>
          </w:divBdr>
        </w:div>
      </w:divsChild>
    </w:div>
    <w:div w:id="1083262500">
      <w:bodyDiv w:val="1"/>
      <w:marLeft w:val="0"/>
      <w:marRight w:val="0"/>
      <w:marTop w:val="0"/>
      <w:marBottom w:val="0"/>
      <w:divBdr>
        <w:top w:val="none" w:sz="0" w:space="0" w:color="auto"/>
        <w:left w:val="none" w:sz="0" w:space="0" w:color="auto"/>
        <w:bottom w:val="none" w:sz="0" w:space="0" w:color="auto"/>
        <w:right w:val="none" w:sz="0" w:space="0" w:color="auto"/>
      </w:divBdr>
      <w:divsChild>
        <w:div w:id="2077319861">
          <w:marLeft w:val="0"/>
          <w:marRight w:val="0"/>
          <w:marTop w:val="0"/>
          <w:marBottom w:val="0"/>
          <w:divBdr>
            <w:top w:val="none" w:sz="0" w:space="0" w:color="auto"/>
            <w:left w:val="none" w:sz="0" w:space="0" w:color="auto"/>
            <w:bottom w:val="none" w:sz="0" w:space="0" w:color="auto"/>
            <w:right w:val="none" w:sz="0" w:space="0" w:color="auto"/>
          </w:divBdr>
        </w:div>
      </w:divsChild>
    </w:div>
    <w:div w:id="1098335919">
      <w:bodyDiv w:val="1"/>
      <w:marLeft w:val="0"/>
      <w:marRight w:val="0"/>
      <w:marTop w:val="0"/>
      <w:marBottom w:val="0"/>
      <w:divBdr>
        <w:top w:val="none" w:sz="0" w:space="0" w:color="auto"/>
        <w:left w:val="none" w:sz="0" w:space="0" w:color="auto"/>
        <w:bottom w:val="none" w:sz="0" w:space="0" w:color="auto"/>
        <w:right w:val="none" w:sz="0" w:space="0" w:color="auto"/>
      </w:divBdr>
      <w:divsChild>
        <w:div w:id="1166483703">
          <w:marLeft w:val="0"/>
          <w:marRight w:val="0"/>
          <w:marTop w:val="0"/>
          <w:marBottom w:val="120"/>
          <w:divBdr>
            <w:top w:val="none" w:sz="0" w:space="0" w:color="auto"/>
            <w:left w:val="none" w:sz="0" w:space="0" w:color="auto"/>
            <w:bottom w:val="none" w:sz="0" w:space="0" w:color="auto"/>
            <w:right w:val="none" w:sz="0" w:space="0" w:color="auto"/>
          </w:divBdr>
        </w:div>
      </w:divsChild>
    </w:div>
    <w:div w:id="1102067567">
      <w:bodyDiv w:val="1"/>
      <w:marLeft w:val="0"/>
      <w:marRight w:val="0"/>
      <w:marTop w:val="0"/>
      <w:marBottom w:val="0"/>
      <w:divBdr>
        <w:top w:val="none" w:sz="0" w:space="0" w:color="auto"/>
        <w:left w:val="none" w:sz="0" w:space="0" w:color="auto"/>
        <w:bottom w:val="none" w:sz="0" w:space="0" w:color="auto"/>
        <w:right w:val="none" w:sz="0" w:space="0" w:color="auto"/>
      </w:divBdr>
      <w:divsChild>
        <w:div w:id="574559222">
          <w:marLeft w:val="0"/>
          <w:marRight w:val="0"/>
          <w:marTop w:val="0"/>
          <w:marBottom w:val="0"/>
          <w:divBdr>
            <w:top w:val="none" w:sz="0" w:space="0" w:color="auto"/>
            <w:left w:val="none" w:sz="0" w:space="0" w:color="auto"/>
            <w:bottom w:val="none" w:sz="0" w:space="0" w:color="auto"/>
            <w:right w:val="none" w:sz="0" w:space="0" w:color="auto"/>
          </w:divBdr>
        </w:div>
        <w:div w:id="1177384269">
          <w:marLeft w:val="0"/>
          <w:marRight w:val="0"/>
          <w:marTop w:val="0"/>
          <w:marBottom w:val="0"/>
          <w:divBdr>
            <w:top w:val="none" w:sz="0" w:space="0" w:color="auto"/>
            <w:left w:val="none" w:sz="0" w:space="0" w:color="auto"/>
            <w:bottom w:val="none" w:sz="0" w:space="0" w:color="auto"/>
            <w:right w:val="none" w:sz="0" w:space="0" w:color="auto"/>
          </w:divBdr>
        </w:div>
        <w:div w:id="753359772">
          <w:marLeft w:val="0"/>
          <w:marRight w:val="0"/>
          <w:marTop w:val="0"/>
          <w:marBottom w:val="0"/>
          <w:divBdr>
            <w:top w:val="none" w:sz="0" w:space="0" w:color="auto"/>
            <w:left w:val="none" w:sz="0" w:space="0" w:color="auto"/>
            <w:bottom w:val="none" w:sz="0" w:space="0" w:color="auto"/>
            <w:right w:val="none" w:sz="0" w:space="0" w:color="auto"/>
          </w:divBdr>
        </w:div>
        <w:div w:id="435295695">
          <w:marLeft w:val="0"/>
          <w:marRight w:val="0"/>
          <w:marTop w:val="0"/>
          <w:marBottom w:val="0"/>
          <w:divBdr>
            <w:top w:val="none" w:sz="0" w:space="0" w:color="auto"/>
            <w:left w:val="none" w:sz="0" w:space="0" w:color="auto"/>
            <w:bottom w:val="none" w:sz="0" w:space="0" w:color="auto"/>
            <w:right w:val="none" w:sz="0" w:space="0" w:color="auto"/>
          </w:divBdr>
        </w:div>
      </w:divsChild>
    </w:div>
    <w:div w:id="1107165374">
      <w:bodyDiv w:val="1"/>
      <w:marLeft w:val="0"/>
      <w:marRight w:val="0"/>
      <w:marTop w:val="0"/>
      <w:marBottom w:val="0"/>
      <w:divBdr>
        <w:top w:val="none" w:sz="0" w:space="0" w:color="auto"/>
        <w:left w:val="none" w:sz="0" w:space="0" w:color="auto"/>
        <w:bottom w:val="none" w:sz="0" w:space="0" w:color="auto"/>
        <w:right w:val="none" w:sz="0" w:space="0" w:color="auto"/>
      </w:divBdr>
      <w:divsChild>
        <w:div w:id="1804077077">
          <w:marLeft w:val="0"/>
          <w:marRight w:val="0"/>
          <w:marTop w:val="0"/>
          <w:marBottom w:val="0"/>
          <w:divBdr>
            <w:top w:val="none" w:sz="0" w:space="0" w:color="auto"/>
            <w:left w:val="none" w:sz="0" w:space="0" w:color="auto"/>
            <w:bottom w:val="none" w:sz="0" w:space="0" w:color="auto"/>
            <w:right w:val="none" w:sz="0" w:space="0" w:color="auto"/>
          </w:divBdr>
        </w:div>
        <w:div w:id="249974544">
          <w:marLeft w:val="0"/>
          <w:marRight w:val="0"/>
          <w:marTop w:val="0"/>
          <w:marBottom w:val="0"/>
          <w:divBdr>
            <w:top w:val="none" w:sz="0" w:space="0" w:color="auto"/>
            <w:left w:val="none" w:sz="0" w:space="0" w:color="auto"/>
            <w:bottom w:val="none" w:sz="0" w:space="0" w:color="auto"/>
            <w:right w:val="none" w:sz="0" w:space="0" w:color="auto"/>
          </w:divBdr>
        </w:div>
        <w:div w:id="839075681">
          <w:marLeft w:val="0"/>
          <w:marRight w:val="0"/>
          <w:marTop w:val="0"/>
          <w:marBottom w:val="0"/>
          <w:divBdr>
            <w:top w:val="none" w:sz="0" w:space="0" w:color="auto"/>
            <w:left w:val="none" w:sz="0" w:space="0" w:color="auto"/>
            <w:bottom w:val="none" w:sz="0" w:space="0" w:color="auto"/>
            <w:right w:val="none" w:sz="0" w:space="0" w:color="auto"/>
          </w:divBdr>
        </w:div>
        <w:div w:id="2059477165">
          <w:marLeft w:val="0"/>
          <w:marRight w:val="0"/>
          <w:marTop w:val="0"/>
          <w:marBottom w:val="0"/>
          <w:divBdr>
            <w:top w:val="none" w:sz="0" w:space="0" w:color="auto"/>
            <w:left w:val="none" w:sz="0" w:space="0" w:color="auto"/>
            <w:bottom w:val="none" w:sz="0" w:space="0" w:color="auto"/>
            <w:right w:val="none" w:sz="0" w:space="0" w:color="auto"/>
          </w:divBdr>
        </w:div>
        <w:div w:id="411439930">
          <w:marLeft w:val="0"/>
          <w:marRight w:val="0"/>
          <w:marTop w:val="0"/>
          <w:marBottom w:val="0"/>
          <w:divBdr>
            <w:top w:val="none" w:sz="0" w:space="0" w:color="auto"/>
            <w:left w:val="none" w:sz="0" w:space="0" w:color="auto"/>
            <w:bottom w:val="none" w:sz="0" w:space="0" w:color="auto"/>
            <w:right w:val="none" w:sz="0" w:space="0" w:color="auto"/>
          </w:divBdr>
        </w:div>
        <w:div w:id="647586767">
          <w:marLeft w:val="0"/>
          <w:marRight w:val="0"/>
          <w:marTop w:val="0"/>
          <w:marBottom w:val="0"/>
          <w:divBdr>
            <w:top w:val="none" w:sz="0" w:space="0" w:color="auto"/>
            <w:left w:val="none" w:sz="0" w:space="0" w:color="auto"/>
            <w:bottom w:val="none" w:sz="0" w:space="0" w:color="auto"/>
            <w:right w:val="none" w:sz="0" w:space="0" w:color="auto"/>
          </w:divBdr>
        </w:div>
        <w:div w:id="268440226">
          <w:marLeft w:val="0"/>
          <w:marRight w:val="0"/>
          <w:marTop w:val="0"/>
          <w:marBottom w:val="0"/>
          <w:divBdr>
            <w:top w:val="none" w:sz="0" w:space="0" w:color="auto"/>
            <w:left w:val="none" w:sz="0" w:space="0" w:color="auto"/>
            <w:bottom w:val="none" w:sz="0" w:space="0" w:color="auto"/>
            <w:right w:val="none" w:sz="0" w:space="0" w:color="auto"/>
          </w:divBdr>
        </w:div>
        <w:div w:id="1346516039">
          <w:marLeft w:val="0"/>
          <w:marRight w:val="0"/>
          <w:marTop w:val="0"/>
          <w:marBottom w:val="0"/>
          <w:divBdr>
            <w:top w:val="none" w:sz="0" w:space="0" w:color="auto"/>
            <w:left w:val="none" w:sz="0" w:space="0" w:color="auto"/>
            <w:bottom w:val="none" w:sz="0" w:space="0" w:color="auto"/>
            <w:right w:val="none" w:sz="0" w:space="0" w:color="auto"/>
          </w:divBdr>
        </w:div>
        <w:div w:id="298729555">
          <w:marLeft w:val="0"/>
          <w:marRight w:val="0"/>
          <w:marTop w:val="0"/>
          <w:marBottom w:val="0"/>
          <w:divBdr>
            <w:top w:val="none" w:sz="0" w:space="0" w:color="auto"/>
            <w:left w:val="none" w:sz="0" w:space="0" w:color="auto"/>
            <w:bottom w:val="none" w:sz="0" w:space="0" w:color="auto"/>
            <w:right w:val="none" w:sz="0" w:space="0" w:color="auto"/>
          </w:divBdr>
        </w:div>
      </w:divsChild>
    </w:div>
    <w:div w:id="1120995269">
      <w:bodyDiv w:val="1"/>
      <w:marLeft w:val="0"/>
      <w:marRight w:val="0"/>
      <w:marTop w:val="0"/>
      <w:marBottom w:val="0"/>
      <w:divBdr>
        <w:top w:val="none" w:sz="0" w:space="0" w:color="auto"/>
        <w:left w:val="none" w:sz="0" w:space="0" w:color="auto"/>
        <w:bottom w:val="none" w:sz="0" w:space="0" w:color="auto"/>
        <w:right w:val="none" w:sz="0" w:space="0" w:color="auto"/>
      </w:divBdr>
      <w:divsChild>
        <w:div w:id="515002308">
          <w:marLeft w:val="0"/>
          <w:marRight w:val="0"/>
          <w:marTop w:val="0"/>
          <w:marBottom w:val="0"/>
          <w:divBdr>
            <w:top w:val="none" w:sz="0" w:space="0" w:color="auto"/>
            <w:left w:val="none" w:sz="0" w:space="0" w:color="auto"/>
            <w:bottom w:val="none" w:sz="0" w:space="0" w:color="auto"/>
            <w:right w:val="none" w:sz="0" w:space="0" w:color="auto"/>
          </w:divBdr>
        </w:div>
      </w:divsChild>
    </w:div>
    <w:div w:id="1125612572">
      <w:bodyDiv w:val="1"/>
      <w:marLeft w:val="0"/>
      <w:marRight w:val="0"/>
      <w:marTop w:val="0"/>
      <w:marBottom w:val="0"/>
      <w:divBdr>
        <w:top w:val="none" w:sz="0" w:space="0" w:color="auto"/>
        <w:left w:val="none" w:sz="0" w:space="0" w:color="auto"/>
        <w:bottom w:val="none" w:sz="0" w:space="0" w:color="auto"/>
        <w:right w:val="none" w:sz="0" w:space="0" w:color="auto"/>
      </w:divBdr>
      <w:divsChild>
        <w:div w:id="1882474281">
          <w:marLeft w:val="0"/>
          <w:marRight w:val="0"/>
          <w:marTop w:val="0"/>
          <w:marBottom w:val="0"/>
          <w:divBdr>
            <w:top w:val="none" w:sz="0" w:space="0" w:color="auto"/>
            <w:left w:val="none" w:sz="0" w:space="0" w:color="auto"/>
            <w:bottom w:val="none" w:sz="0" w:space="0" w:color="auto"/>
            <w:right w:val="none" w:sz="0" w:space="0" w:color="auto"/>
          </w:divBdr>
        </w:div>
        <w:div w:id="75521695">
          <w:marLeft w:val="0"/>
          <w:marRight w:val="0"/>
          <w:marTop w:val="0"/>
          <w:marBottom w:val="0"/>
          <w:divBdr>
            <w:top w:val="none" w:sz="0" w:space="0" w:color="auto"/>
            <w:left w:val="none" w:sz="0" w:space="0" w:color="auto"/>
            <w:bottom w:val="none" w:sz="0" w:space="0" w:color="auto"/>
            <w:right w:val="none" w:sz="0" w:space="0" w:color="auto"/>
          </w:divBdr>
        </w:div>
        <w:div w:id="742677319">
          <w:marLeft w:val="0"/>
          <w:marRight w:val="0"/>
          <w:marTop w:val="0"/>
          <w:marBottom w:val="0"/>
          <w:divBdr>
            <w:top w:val="none" w:sz="0" w:space="0" w:color="auto"/>
            <w:left w:val="none" w:sz="0" w:space="0" w:color="auto"/>
            <w:bottom w:val="none" w:sz="0" w:space="0" w:color="auto"/>
            <w:right w:val="none" w:sz="0" w:space="0" w:color="auto"/>
          </w:divBdr>
          <w:divsChild>
            <w:div w:id="346709876">
              <w:marLeft w:val="0"/>
              <w:marRight w:val="0"/>
              <w:marTop w:val="120"/>
              <w:marBottom w:val="0"/>
              <w:divBdr>
                <w:top w:val="none" w:sz="0" w:space="0" w:color="auto"/>
                <w:left w:val="none" w:sz="0" w:space="0" w:color="auto"/>
                <w:bottom w:val="none" w:sz="0" w:space="0" w:color="auto"/>
                <w:right w:val="none" w:sz="0" w:space="0" w:color="auto"/>
              </w:divBdr>
              <w:divsChild>
                <w:div w:id="486483157">
                  <w:marLeft w:val="0"/>
                  <w:marRight w:val="0"/>
                  <w:marTop w:val="0"/>
                  <w:marBottom w:val="0"/>
                  <w:divBdr>
                    <w:top w:val="none" w:sz="0" w:space="0" w:color="auto"/>
                    <w:left w:val="none" w:sz="0" w:space="0" w:color="auto"/>
                    <w:bottom w:val="none" w:sz="0" w:space="0" w:color="auto"/>
                    <w:right w:val="none" w:sz="0" w:space="0" w:color="auto"/>
                  </w:divBdr>
                  <w:divsChild>
                    <w:div w:id="1268733730">
                      <w:marLeft w:val="0"/>
                      <w:marRight w:val="0"/>
                      <w:marTop w:val="0"/>
                      <w:marBottom w:val="0"/>
                      <w:divBdr>
                        <w:top w:val="none" w:sz="0" w:space="0" w:color="auto"/>
                        <w:left w:val="none" w:sz="0" w:space="0" w:color="auto"/>
                        <w:bottom w:val="none" w:sz="0" w:space="0" w:color="auto"/>
                        <w:right w:val="none" w:sz="0" w:space="0" w:color="auto"/>
                      </w:divBdr>
                      <w:divsChild>
                        <w:div w:id="1105491675">
                          <w:marLeft w:val="0"/>
                          <w:marRight w:val="0"/>
                          <w:marTop w:val="0"/>
                          <w:marBottom w:val="0"/>
                          <w:divBdr>
                            <w:top w:val="none" w:sz="0" w:space="0" w:color="auto"/>
                            <w:left w:val="none" w:sz="0" w:space="0" w:color="auto"/>
                            <w:bottom w:val="none" w:sz="0" w:space="5" w:color="auto"/>
                            <w:right w:val="none" w:sz="0" w:space="0" w:color="auto"/>
                          </w:divBdr>
                          <w:divsChild>
                            <w:div w:id="1079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21722">
                      <w:marLeft w:val="0"/>
                      <w:marRight w:val="0"/>
                      <w:marTop w:val="0"/>
                      <w:marBottom w:val="0"/>
                      <w:divBdr>
                        <w:top w:val="single" w:sz="2" w:space="9" w:color="auto"/>
                        <w:left w:val="single" w:sz="6" w:space="12" w:color="auto"/>
                        <w:bottom w:val="single" w:sz="6" w:space="12" w:color="auto"/>
                        <w:right w:val="single" w:sz="6" w:space="12" w:color="auto"/>
                      </w:divBdr>
                    </w:div>
                  </w:divsChild>
                </w:div>
              </w:divsChild>
            </w:div>
            <w:div w:id="2010869322">
              <w:marLeft w:val="0"/>
              <w:marRight w:val="0"/>
              <w:marTop w:val="0"/>
              <w:marBottom w:val="0"/>
              <w:divBdr>
                <w:top w:val="none" w:sz="0" w:space="0" w:color="auto"/>
                <w:left w:val="none" w:sz="0" w:space="0" w:color="auto"/>
                <w:bottom w:val="none" w:sz="0" w:space="0" w:color="auto"/>
                <w:right w:val="none" w:sz="0" w:space="0" w:color="auto"/>
              </w:divBdr>
              <w:divsChild>
                <w:div w:id="761494973">
                  <w:marLeft w:val="0"/>
                  <w:marRight w:val="0"/>
                  <w:marTop w:val="0"/>
                  <w:marBottom w:val="0"/>
                  <w:divBdr>
                    <w:top w:val="none" w:sz="0" w:space="0" w:color="auto"/>
                    <w:left w:val="none" w:sz="0" w:space="0" w:color="auto"/>
                    <w:bottom w:val="none" w:sz="0" w:space="0" w:color="auto"/>
                    <w:right w:val="none" w:sz="0" w:space="0" w:color="auto"/>
                  </w:divBdr>
                  <w:divsChild>
                    <w:div w:id="127015479">
                      <w:marLeft w:val="0"/>
                      <w:marRight w:val="0"/>
                      <w:marTop w:val="0"/>
                      <w:marBottom w:val="0"/>
                      <w:divBdr>
                        <w:top w:val="none" w:sz="0" w:space="0" w:color="auto"/>
                        <w:left w:val="none" w:sz="0" w:space="0" w:color="auto"/>
                        <w:bottom w:val="none" w:sz="0" w:space="0" w:color="auto"/>
                        <w:right w:val="none" w:sz="0" w:space="0" w:color="auto"/>
                      </w:divBdr>
                      <w:divsChild>
                        <w:div w:id="1321276377">
                          <w:marLeft w:val="0"/>
                          <w:marRight w:val="0"/>
                          <w:marTop w:val="0"/>
                          <w:marBottom w:val="0"/>
                          <w:divBdr>
                            <w:top w:val="none" w:sz="0" w:space="0" w:color="auto"/>
                            <w:left w:val="none" w:sz="0" w:space="0" w:color="auto"/>
                            <w:bottom w:val="none" w:sz="0" w:space="0" w:color="auto"/>
                            <w:right w:val="none" w:sz="0" w:space="0" w:color="auto"/>
                          </w:divBdr>
                          <w:divsChild>
                            <w:div w:id="1849056364">
                              <w:marLeft w:val="0"/>
                              <w:marRight w:val="0"/>
                              <w:marTop w:val="0"/>
                              <w:marBottom w:val="0"/>
                              <w:divBdr>
                                <w:top w:val="none" w:sz="0" w:space="0" w:color="auto"/>
                                <w:left w:val="none" w:sz="0" w:space="0" w:color="auto"/>
                                <w:bottom w:val="none" w:sz="0" w:space="0" w:color="auto"/>
                                <w:right w:val="none" w:sz="0" w:space="0" w:color="auto"/>
                              </w:divBdr>
                              <w:divsChild>
                                <w:div w:id="132254346">
                                  <w:marLeft w:val="0"/>
                                  <w:marRight w:val="0"/>
                                  <w:marTop w:val="0"/>
                                  <w:marBottom w:val="0"/>
                                  <w:divBdr>
                                    <w:top w:val="none" w:sz="0" w:space="0" w:color="auto"/>
                                    <w:left w:val="none" w:sz="0" w:space="0" w:color="auto"/>
                                    <w:bottom w:val="none" w:sz="0" w:space="0" w:color="auto"/>
                                    <w:right w:val="none" w:sz="0" w:space="0" w:color="auto"/>
                                  </w:divBdr>
                                  <w:divsChild>
                                    <w:div w:id="1803963044">
                                      <w:marLeft w:val="0"/>
                                      <w:marRight w:val="0"/>
                                      <w:marTop w:val="0"/>
                                      <w:marBottom w:val="0"/>
                                      <w:divBdr>
                                        <w:top w:val="none" w:sz="0" w:space="0" w:color="auto"/>
                                        <w:left w:val="none" w:sz="0" w:space="0" w:color="auto"/>
                                        <w:bottom w:val="none" w:sz="0" w:space="0" w:color="auto"/>
                                        <w:right w:val="none" w:sz="0" w:space="0" w:color="auto"/>
                                      </w:divBdr>
                                      <w:divsChild>
                                        <w:div w:id="1625767810">
                                          <w:marLeft w:val="0"/>
                                          <w:marRight w:val="0"/>
                                          <w:marTop w:val="0"/>
                                          <w:marBottom w:val="0"/>
                                          <w:divBdr>
                                            <w:top w:val="none" w:sz="0" w:space="0" w:color="auto"/>
                                            <w:left w:val="none" w:sz="0" w:space="0" w:color="auto"/>
                                            <w:bottom w:val="none" w:sz="0" w:space="0" w:color="auto"/>
                                            <w:right w:val="none" w:sz="0" w:space="0" w:color="auto"/>
                                          </w:divBdr>
                                          <w:divsChild>
                                            <w:div w:id="2062974217">
                                              <w:marLeft w:val="0"/>
                                              <w:marRight w:val="0"/>
                                              <w:marTop w:val="0"/>
                                              <w:marBottom w:val="0"/>
                                              <w:divBdr>
                                                <w:top w:val="none" w:sz="0" w:space="0" w:color="auto"/>
                                                <w:left w:val="none" w:sz="0" w:space="0" w:color="auto"/>
                                                <w:bottom w:val="none" w:sz="0" w:space="0" w:color="auto"/>
                                                <w:right w:val="none" w:sz="0" w:space="0" w:color="auto"/>
                                              </w:divBdr>
                                              <w:divsChild>
                                                <w:div w:id="1769420060">
                                                  <w:marLeft w:val="0"/>
                                                  <w:marRight w:val="0"/>
                                                  <w:marTop w:val="0"/>
                                                  <w:marBottom w:val="0"/>
                                                  <w:divBdr>
                                                    <w:top w:val="none" w:sz="0" w:space="0" w:color="auto"/>
                                                    <w:left w:val="none" w:sz="0" w:space="0" w:color="auto"/>
                                                    <w:bottom w:val="none" w:sz="0" w:space="0" w:color="auto"/>
                                                    <w:right w:val="none" w:sz="0" w:space="0" w:color="auto"/>
                                                  </w:divBdr>
                                                  <w:divsChild>
                                                    <w:div w:id="1873835279">
                                                      <w:marLeft w:val="0"/>
                                                      <w:marRight w:val="0"/>
                                                      <w:marTop w:val="0"/>
                                                      <w:marBottom w:val="0"/>
                                                      <w:divBdr>
                                                        <w:top w:val="none" w:sz="0" w:space="0" w:color="auto"/>
                                                        <w:left w:val="none" w:sz="0" w:space="0" w:color="auto"/>
                                                        <w:bottom w:val="none" w:sz="0" w:space="0" w:color="auto"/>
                                                        <w:right w:val="none" w:sz="0" w:space="0" w:color="auto"/>
                                                      </w:divBdr>
                                                      <w:divsChild>
                                                        <w:div w:id="641081352">
                                                          <w:marLeft w:val="0"/>
                                                          <w:marRight w:val="0"/>
                                                          <w:marTop w:val="0"/>
                                                          <w:marBottom w:val="0"/>
                                                          <w:divBdr>
                                                            <w:top w:val="none" w:sz="0" w:space="0" w:color="auto"/>
                                                            <w:left w:val="none" w:sz="0" w:space="0" w:color="auto"/>
                                                            <w:bottom w:val="none" w:sz="0" w:space="0" w:color="auto"/>
                                                            <w:right w:val="none" w:sz="0" w:space="0" w:color="auto"/>
                                                          </w:divBdr>
                                                          <w:divsChild>
                                                            <w:div w:id="1338339750">
                                                              <w:marLeft w:val="0"/>
                                                              <w:marRight w:val="0"/>
                                                              <w:marTop w:val="180"/>
                                                              <w:marBottom w:val="0"/>
                                                              <w:divBdr>
                                                                <w:top w:val="none" w:sz="0" w:space="0" w:color="auto"/>
                                                                <w:left w:val="none" w:sz="0" w:space="0" w:color="auto"/>
                                                                <w:bottom w:val="none" w:sz="0" w:space="0" w:color="auto"/>
                                                                <w:right w:val="none" w:sz="0" w:space="0" w:color="auto"/>
                                                              </w:divBdr>
                                                              <w:divsChild>
                                                                <w:div w:id="651787941">
                                                                  <w:marLeft w:val="0"/>
                                                                  <w:marRight w:val="0"/>
                                                                  <w:marTop w:val="0"/>
                                                                  <w:marBottom w:val="0"/>
                                                                  <w:divBdr>
                                                                    <w:top w:val="none" w:sz="0" w:space="0" w:color="auto"/>
                                                                    <w:left w:val="none" w:sz="0" w:space="0" w:color="auto"/>
                                                                    <w:bottom w:val="none" w:sz="0" w:space="0" w:color="auto"/>
                                                                    <w:right w:val="none" w:sz="0" w:space="0" w:color="auto"/>
                                                                  </w:divBdr>
                                                                  <w:divsChild>
                                                                    <w:div w:id="1515000611">
                                                                      <w:marLeft w:val="0"/>
                                                                      <w:marRight w:val="0"/>
                                                                      <w:marTop w:val="0"/>
                                                                      <w:marBottom w:val="0"/>
                                                                      <w:divBdr>
                                                                        <w:top w:val="none" w:sz="0" w:space="0" w:color="auto"/>
                                                                        <w:left w:val="none" w:sz="0" w:space="0" w:color="auto"/>
                                                                        <w:bottom w:val="none" w:sz="0" w:space="0" w:color="auto"/>
                                                                        <w:right w:val="none" w:sz="0" w:space="0" w:color="auto"/>
                                                                      </w:divBdr>
                                                                      <w:divsChild>
                                                                        <w:div w:id="1333336435">
                                                                          <w:marLeft w:val="0"/>
                                                                          <w:marRight w:val="0"/>
                                                                          <w:marTop w:val="0"/>
                                                                          <w:marBottom w:val="0"/>
                                                                          <w:divBdr>
                                                                            <w:top w:val="none" w:sz="0" w:space="0" w:color="auto"/>
                                                                            <w:left w:val="none" w:sz="0" w:space="0" w:color="auto"/>
                                                                            <w:bottom w:val="none" w:sz="0" w:space="0" w:color="auto"/>
                                                                            <w:right w:val="none" w:sz="0" w:space="0" w:color="auto"/>
                                                                          </w:divBdr>
                                                                          <w:divsChild>
                                                                            <w:div w:id="816872025">
                                                                              <w:marLeft w:val="0"/>
                                                                              <w:marRight w:val="0"/>
                                                                              <w:marTop w:val="0"/>
                                                                              <w:marBottom w:val="0"/>
                                                                              <w:divBdr>
                                                                                <w:top w:val="none" w:sz="0" w:space="0" w:color="auto"/>
                                                                                <w:left w:val="none" w:sz="0" w:space="0" w:color="auto"/>
                                                                                <w:bottom w:val="none" w:sz="0" w:space="0" w:color="auto"/>
                                                                                <w:right w:val="none" w:sz="0" w:space="0" w:color="auto"/>
                                                                              </w:divBdr>
                                                                              <w:divsChild>
                                                                                <w:div w:id="8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5199169">
      <w:bodyDiv w:val="1"/>
      <w:marLeft w:val="0"/>
      <w:marRight w:val="0"/>
      <w:marTop w:val="0"/>
      <w:marBottom w:val="0"/>
      <w:divBdr>
        <w:top w:val="none" w:sz="0" w:space="0" w:color="auto"/>
        <w:left w:val="none" w:sz="0" w:space="0" w:color="auto"/>
        <w:bottom w:val="none" w:sz="0" w:space="0" w:color="auto"/>
        <w:right w:val="none" w:sz="0" w:space="0" w:color="auto"/>
      </w:divBdr>
      <w:divsChild>
        <w:div w:id="1535731681">
          <w:marLeft w:val="0"/>
          <w:marRight w:val="0"/>
          <w:marTop w:val="120"/>
          <w:marBottom w:val="120"/>
          <w:divBdr>
            <w:top w:val="none" w:sz="0" w:space="0" w:color="auto"/>
            <w:left w:val="none" w:sz="0" w:space="0" w:color="auto"/>
            <w:bottom w:val="none" w:sz="0" w:space="0" w:color="auto"/>
            <w:right w:val="none" w:sz="0" w:space="0" w:color="auto"/>
          </w:divBdr>
        </w:div>
      </w:divsChild>
    </w:div>
    <w:div w:id="1188367474">
      <w:bodyDiv w:val="1"/>
      <w:marLeft w:val="0"/>
      <w:marRight w:val="0"/>
      <w:marTop w:val="0"/>
      <w:marBottom w:val="0"/>
      <w:divBdr>
        <w:top w:val="none" w:sz="0" w:space="0" w:color="auto"/>
        <w:left w:val="none" w:sz="0" w:space="0" w:color="auto"/>
        <w:bottom w:val="none" w:sz="0" w:space="0" w:color="auto"/>
        <w:right w:val="none" w:sz="0" w:space="0" w:color="auto"/>
      </w:divBdr>
      <w:divsChild>
        <w:div w:id="916090205">
          <w:marLeft w:val="0"/>
          <w:marRight w:val="0"/>
          <w:marTop w:val="0"/>
          <w:marBottom w:val="0"/>
          <w:divBdr>
            <w:top w:val="none" w:sz="0" w:space="0" w:color="auto"/>
            <w:left w:val="none" w:sz="0" w:space="0" w:color="auto"/>
            <w:bottom w:val="none" w:sz="0" w:space="0" w:color="auto"/>
            <w:right w:val="none" w:sz="0" w:space="0" w:color="auto"/>
          </w:divBdr>
        </w:div>
        <w:div w:id="599529241">
          <w:marLeft w:val="0"/>
          <w:marRight w:val="0"/>
          <w:marTop w:val="0"/>
          <w:marBottom w:val="0"/>
          <w:divBdr>
            <w:top w:val="none" w:sz="0" w:space="0" w:color="auto"/>
            <w:left w:val="none" w:sz="0" w:space="0" w:color="auto"/>
            <w:bottom w:val="none" w:sz="0" w:space="0" w:color="auto"/>
            <w:right w:val="none" w:sz="0" w:space="0" w:color="auto"/>
          </w:divBdr>
        </w:div>
        <w:div w:id="1120606485">
          <w:marLeft w:val="0"/>
          <w:marRight w:val="0"/>
          <w:marTop w:val="0"/>
          <w:marBottom w:val="0"/>
          <w:divBdr>
            <w:top w:val="none" w:sz="0" w:space="0" w:color="auto"/>
            <w:left w:val="none" w:sz="0" w:space="0" w:color="auto"/>
            <w:bottom w:val="none" w:sz="0" w:space="0" w:color="auto"/>
            <w:right w:val="none" w:sz="0" w:space="0" w:color="auto"/>
          </w:divBdr>
        </w:div>
        <w:div w:id="553542771">
          <w:marLeft w:val="0"/>
          <w:marRight w:val="0"/>
          <w:marTop w:val="0"/>
          <w:marBottom w:val="0"/>
          <w:divBdr>
            <w:top w:val="none" w:sz="0" w:space="0" w:color="auto"/>
            <w:left w:val="none" w:sz="0" w:space="0" w:color="auto"/>
            <w:bottom w:val="none" w:sz="0" w:space="0" w:color="auto"/>
            <w:right w:val="none" w:sz="0" w:space="0" w:color="auto"/>
          </w:divBdr>
        </w:div>
      </w:divsChild>
    </w:div>
    <w:div w:id="1278023063">
      <w:bodyDiv w:val="1"/>
      <w:marLeft w:val="0"/>
      <w:marRight w:val="0"/>
      <w:marTop w:val="0"/>
      <w:marBottom w:val="0"/>
      <w:divBdr>
        <w:top w:val="none" w:sz="0" w:space="0" w:color="auto"/>
        <w:left w:val="none" w:sz="0" w:space="0" w:color="auto"/>
        <w:bottom w:val="none" w:sz="0" w:space="0" w:color="auto"/>
        <w:right w:val="none" w:sz="0" w:space="0" w:color="auto"/>
      </w:divBdr>
    </w:div>
    <w:div w:id="1324119645">
      <w:bodyDiv w:val="1"/>
      <w:marLeft w:val="0"/>
      <w:marRight w:val="0"/>
      <w:marTop w:val="0"/>
      <w:marBottom w:val="0"/>
      <w:divBdr>
        <w:top w:val="none" w:sz="0" w:space="0" w:color="auto"/>
        <w:left w:val="none" w:sz="0" w:space="0" w:color="auto"/>
        <w:bottom w:val="none" w:sz="0" w:space="0" w:color="auto"/>
        <w:right w:val="none" w:sz="0" w:space="0" w:color="auto"/>
      </w:divBdr>
      <w:divsChild>
        <w:div w:id="1146584823">
          <w:marLeft w:val="0"/>
          <w:marRight w:val="0"/>
          <w:marTop w:val="0"/>
          <w:marBottom w:val="0"/>
          <w:divBdr>
            <w:top w:val="none" w:sz="0" w:space="0" w:color="auto"/>
            <w:left w:val="none" w:sz="0" w:space="0" w:color="auto"/>
            <w:bottom w:val="none" w:sz="0" w:space="0" w:color="auto"/>
            <w:right w:val="none" w:sz="0" w:space="0" w:color="auto"/>
          </w:divBdr>
        </w:div>
        <w:div w:id="86270524">
          <w:marLeft w:val="0"/>
          <w:marRight w:val="0"/>
          <w:marTop w:val="0"/>
          <w:marBottom w:val="0"/>
          <w:divBdr>
            <w:top w:val="none" w:sz="0" w:space="0" w:color="auto"/>
            <w:left w:val="none" w:sz="0" w:space="0" w:color="auto"/>
            <w:bottom w:val="none" w:sz="0" w:space="0" w:color="auto"/>
            <w:right w:val="none" w:sz="0" w:space="0" w:color="auto"/>
          </w:divBdr>
        </w:div>
        <w:div w:id="819813354">
          <w:marLeft w:val="0"/>
          <w:marRight w:val="0"/>
          <w:marTop w:val="0"/>
          <w:marBottom w:val="0"/>
          <w:divBdr>
            <w:top w:val="none" w:sz="0" w:space="0" w:color="auto"/>
            <w:left w:val="none" w:sz="0" w:space="0" w:color="auto"/>
            <w:bottom w:val="none" w:sz="0" w:space="0" w:color="auto"/>
            <w:right w:val="none" w:sz="0" w:space="0" w:color="auto"/>
          </w:divBdr>
        </w:div>
      </w:divsChild>
    </w:div>
    <w:div w:id="1338075929">
      <w:bodyDiv w:val="1"/>
      <w:marLeft w:val="0"/>
      <w:marRight w:val="0"/>
      <w:marTop w:val="0"/>
      <w:marBottom w:val="0"/>
      <w:divBdr>
        <w:top w:val="none" w:sz="0" w:space="0" w:color="auto"/>
        <w:left w:val="none" w:sz="0" w:space="0" w:color="auto"/>
        <w:bottom w:val="none" w:sz="0" w:space="0" w:color="auto"/>
        <w:right w:val="none" w:sz="0" w:space="0" w:color="auto"/>
      </w:divBdr>
    </w:div>
    <w:div w:id="1353533236">
      <w:bodyDiv w:val="1"/>
      <w:marLeft w:val="0"/>
      <w:marRight w:val="0"/>
      <w:marTop w:val="0"/>
      <w:marBottom w:val="0"/>
      <w:divBdr>
        <w:top w:val="none" w:sz="0" w:space="0" w:color="auto"/>
        <w:left w:val="none" w:sz="0" w:space="0" w:color="auto"/>
        <w:bottom w:val="none" w:sz="0" w:space="0" w:color="auto"/>
        <w:right w:val="none" w:sz="0" w:space="0" w:color="auto"/>
      </w:divBdr>
      <w:divsChild>
        <w:div w:id="1525706109">
          <w:marLeft w:val="0"/>
          <w:marRight w:val="0"/>
          <w:marTop w:val="0"/>
          <w:marBottom w:val="0"/>
          <w:divBdr>
            <w:top w:val="none" w:sz="0" w:space="0" w:color="auto"/>
            <w:left w:val="none" w:sz="0" w:space="0" w:color="auto"/>
            <w:bottom w:val="none" w:sz="0" w:space="0" w:color="auto"/>
            <w:right w:val="none" w:sz="0" w:space="0" w:color="auto"/>
          </w:divBdr>
        </w:div>
        <w:div w:id="1788544314">
          <w:marLeft w:val="0"/>
          <w:marRight w:val="0"/>
          <w:marTop w:val="0"/>
          <w:marBottom w:val="0"/>
          <w:divBdr>
            <w:top w:val="none" w:sz="0" w:space="0" w:color="auto"/>
            <w:left w:val="none" w:sz="0" w:space="0" w:color="auto"/>
            <w:bottom w:val="none" w:sz="0" w:space="0" w:color="auto"/>
            <w:right w:val="none" w:sz="0" w:space="0" w:color="auto"/>
          </w:divBdr>
        </w:div>
        <w:div w:id="463930754">
          <w:marLeft w:val="0"/>
          <w:marRight w:val="0"/>
          <w:marTop w:val="0"/>
          <w:marBottom w:val="0"/>
          <w:divBdr>
            <w:top w:val="none" w:sz="0" w:space="0" w:color="auto"/>
            <w:left w:val="none" w:sz="0" w:space="0" w:color="auto"/>
            <w:bottom w:val="none" w:sz="0" w:space="0" w:color="auto"/>
            <w:right w:val="none" w:sz="0" w:space="0" w:color="auto"/>
          </w:divBdr>
        </w:div>
        <w:div w:id="252010729">
          <w:marLeft w:val="0"/>
          <w:marRight w:val="0"/>
          <w:marTop w:val="0"/>
          <w:marBottom w:val="0"/>
          <w:divBdr>
            <w:top w:val="none" w:sz="0" w:space="0" w:color="auto"/>
            <w:left w:val="none" w:sz="0" w:space="0" w:color="auto"/>
            <w:bottom w:val="none" w:sz="0" w:space="0" w:color="auto"/>
            <w:right w:val="none" w:sz="0" w:space="0" w:color="auto"/>
          </w:divBdr>
        </w:div>
        <w:div w:id="1959674510">
          <w:marLeft w:val="0"/>
          <w:marRight w:val="0"/>
          <w:marTop w:val="0"/>
          <w:marBottom w:val="0"/>
          <w:divBdr>
            <w:top w:val="none" w:sz="0" w:space="0" w:color="auto"/>
            <w:left w:val="none" w:sz="0" w:space="0" w:color="auto"/>
            <w:bottom w:val="none" w:sz="0" w:space="0" w:color="auto"/>
            <w:right w:val="none" w:sz="0" w:space="0" w:color="auto"/>
          </w:divBdr>
        </w:div>
      </w:divsChild>
    </w:div>
    <w:div w:id="1355570663">
      <w:bodyDiv w:val="1"/>
      <w:marLeft w:val="0"/>
      <w:marRight w:val="0"/>
      <w:marTop w:val="0"/>
      <w:marBottom w:val="0"/>
      <w:divBdr>
        <w:top w:val="none" w:sz="0" w:space="0" w:color="auto"/>
        <w:left w:val="none" w:sz="0" w:space="0" w:color="auto"/>
        <w:bottom w:val="none" w:sz="0" w:space="0" w:color="auto"/>
        <w:right w:val="none" w:sz="0" w:space="0" w:color="auto"/>
      </w:divBdr>
      <w:divsChild>
        <w:div w:id="1459836691">
          <w:marLeft w:val="0"/>
          <w:marRight w:val="0"/>
          <w:marTop w:val="0"/>
          <w:marBottom w:val="0"/>
          <w:divBdr>
            <w:top w:val="none" w:sz="0" w:space="0" w:color="auto"/>
            <w:left w:val="none" w:sz="0" w:space="0" w:color="auto"/>
            <w:bottom w:val="none" w:sz="0" w:space="0" w:color="auto"/>
            <w:right w:val="none" w:sz="0" w:space="0" w:color="auto"/>
          </w:divBdr>
        </w:div>
        <w:div w:id="374626284">
          <w:marLeft w:val="0"/>
          <w:marRight w:val="0"/>
          <w:marTop w:val="0"/>
          <w:marBottom w:val="0"/>
          <w:divBdr>
            <w:top w:val="none" w:sz="0" w:space="0" w:color="auto"/>
            <w:left w:val="none" w:sz="0" w:space="0" w:color="auto"/>
            <w:bottom w:val="none" w:sz="0" w:space="0" w:color="auto"/>
            <w:right w:val="none" w:sz="0" w:space="0" w:color="auto"/>
          </w:divBdr>
        </w:div>
        <w:div w:id="649215038">
          <w:marLeft w:val="0"/>
          <w:marRight w:val="0"/>
          <w:marTop w:val="0"/>
          <w:marBottom w:val="0"/>
          <w:divBdr>
            <w:top w:val="none" w:sz="0" w:space="0" w:color="auto"/>
            <w:left w:val="none" w:sz="0" w:space="0" w:color="auto"/>
            <w:bottom w:val="none" w:sz="0" w:space="0" w:color="auto"/>
            <w:right w:val="none" w:sz="0" w:space="0" w:color="auto"/>
          </w:divBdr>
        </w:div>
        <w:div w:id="1128469110">
          <w:marLeft w:val="0"/>
          <w:marRight w:val="0"/>
          <w:marTop w:val="0"/>
          <w:marBottom w:val="0"/>
          <w:divBdr>
            <w:top w:val="none" w:sz="0" w:space="0" w:color="auto"/>
            <w:left w:val="none" w:sz="0" w:space="0" w:color="auto"/>
            <w:bottom w:val="none" w:sz="0" w:space="0" w:color="auto"/>
            <w:right w:val="none" w:sz="0" w:space="0" w:color="auto"/>
          </w:divBdr>
        </w:div>
        <w:div w:id="885413562">
          <w:marLeft w:val="0"/>
          <w:marRight w:val="0"/>
          <w:marTop w:val="0"/>
          <w:marBottom w:val="0"/>
          <w:divBdr>
            <w:top w:val="none" w:sz="0" w:space="0" w:color="auto"/>
            <w:left w:val="none" w:sz="0" w:space="0" w:color="auto"/>
            <w:bottom w:val="none" w:sz="0" w:space="0" w:color="auto"/>
            <w:right w:val="none" w:sz="0" w:space="0" w:color="auto"/>
          </w:divBdr>
        </w:div>
      </w:divsChild>
    </w:div>
    <w:div w:id="1362511441">
      <w:bodyDiv w:val="1"/>
      <w:marLeft w:val="0"/>
      <w:marRight w:val="0"/>
      <w:marTop w:val="0"/>
      <w:marBottom w:val="0"/>
      <w:divBdr>
        <w:top w:val="none" w:sz="0" w:space="0" w:color="auto"/>
        <w:left w:val="none" w:sz="0" w:space="0" w:color="auto"/>
        <w:bottom w:val="none" w:sz="0" w:space="0" w:color="auto"/>
        <w:right w:val="none" w:sz="0" w:space="0" w:color="auto"/>
      </w:divBdr>
      <w:divsChild>
        <w:div w:id="1668054471">
          <w:marLeft w:val="0"/>
          <w:marRight w:val="0"/>
          <w:marTop w:val="0"/>
          <w:marBottom w:val="0"/>
          <w:divBdr>
            <w:top w:val="none" w:sz="0" w:space="0" w:color="auto"/>
            <w:left w:val="none" w:sz="0" w:space="0" w:color="auto"/>
            <w:bottom w:val="none" w:sz="0" w:space="0" w:color="auto"/>
            <w:right w:val="none" w:sz="0" w:space="0" w:color="auto"/>
          </w:divBdr>
        </w:div>
        <w:div w:id="149106019">
          <w:marLeft w:val="0"/>
          <w:marRight w:val="0"/>
          <w:marTop w:val="0"/>
          <w:marBottom w:val="0"/>
          <w:divBdr>
            <w:top w:val="none" w:sz="0" w:space="0" w:color="auto"/>
            <w:left w:val="none" w:sz="0" w:space="0" w:color="auto"/>
            <w:bottom w:val="none" w:sz="0" w:space="0" w:color="auto"/>
            <w:right w:val="none" w:sz="0" w:space="0" w:color="auto"/>
          </w:divBdr>
        </w:div>
        <w:div w:id="2057385456">
          <w:marLeft w:val="0"/>
          <w:marRight w:val="0"/>
          <w:marTop w:val="0"/>
          <w:marBottom w:val="0"/>
          <w:divBdr>
            <w:top w:val="none" w:sz="0" w:space="0" w:color="auto"/>
            <w:left w:val="none" w:sz="0" w:space="0" w:color="auto"/>
            <w:bottom w:val="none" w:sz="0" w:space="0" w:color="auto"/>
            <w:right w:val="none" w:sz="0" w:space="0" w:color="auto"/>
          </w:divBdr>
        </w:div>
        <w:div w:id="1052076243">
          <w:marLeft w:val="0"/>
          <w:marRight w:val="0"/>
          <w:marTop w:val="0"/>
          <w:marBottom w:val="0"/>
          <w:divBdr>
            <w:top w:val="none" w:sz="0" w:space="0" w:color="auto"/>
            <w:left w:val="none" w:sz="0" w:space="0" w:color="auto"/>
            <w:bottom w:val="none" w:sz="0" w:space="0" w:color="auto"/>
            <w:right w:val="none" w:sz="0" w:space="0" w:color="auto"/>
          </w:divBdr>
        </w:div>
        <w:div w:id="2107580097">
          <w:marLeft w:val="0"/>
          <w:marRight w:val="0"/>
          <w:marTop w:val="0"/>
          <w:marBottom w:val="0"/>
          <w:divBdr>
            <w:top w:val="none" w:sz="0" w:space="0" w:color="auto"/>
            <w:left w:val="none" w:sz="0" w:space="0" w:color="auto"/>
            <w:bottom w:val="none" w:sz="0" w:space="0" w:color="auto"/>
            <w:right w:val="none" w:sz="0" w:space="0" w:color="auto"/>
          </w:divBdr>
        </w:div>
        <w:div w:id="1009256440">
          <w:marLeft w:val="0"/>
          <w:marRight w:val="0"/>
          <w:marTop w:val="0"/>
          <w:marBottom w:val="0"/>
          <w:divBdr>
            <w:top w:val="none" w:sz="0" w:space="0" w:color="auto"/>
            <w:left w:val="none" w:sz="0" w:space="0" w:color="auto"/>
            <w:bottom w:val="none" w:sz="0" w:space="0" w:color="auto"/>
            <w:right w:val="none" w:sz="0" w:space="0" w:color="auto"/>
          </w:divBdr>
        </w:div>
        <w:div w:id="59795479">
          <w:marLeft w:val="0"/>
          <w:marRight w:val="0"/>
          <w:marTop w:val="0"/>
          <w:marBottom w:val="0"/>
          <w:divBdr>
            <w:top w:val="none" w:sz="0" w:space="0" w:color="auto"/>
            <w:left w:val="none" w:sz="0" w:space="0" w:color="auto"/>
            <w:bottom w:val="none" w:sz="0" w:space="0" w:color="auto"/>
            <w:right w:val="none" w:sz="0" w:space="0" w:color="auto"/>
          </w:divBdr>
        </w:div>
        <w:div w:id="1591309676">
          <w:marLeft w:val="0"/>
          <w:marRight w:val="0"/>
          <w:marTop w:val="0"/>
          <w:marBottom w:val="0"/>
          <w:divBdr>
            <w:top w:val="none" w:sz="0" w:space="0" w:color="auto"/>
            <w:left w:val="none" w:sz="0" w:space="0" w:color="auto"/>
            <w:bottom w:val="none" w:sz="0" w:space="0" w:color="auto"/>
            <w:right w:val="none" w:sz="0" w:space="0" w:color="auto"/>
          </w:divBdr>
        </w:div>
        <w:div w:id="804738760">
          <w:marLeft w:val="0"/>
          <w:marRight w:val="0"/>
          <w:marTop w:val="0"/>
          <w:marBottom w:val="0"/>
          <w:divBdr>
            <w:top w:val="none" w:sz="0" w:space="0" w:color="auto"/>
            <w:left w:val="none" w:sz="0" w:space="0" w:color="auto"/>
            <w:bottom w:val="none" w:sz="0" w:space="0" w:color="auto"/>
            <w:right w:val="none" w:sz="0" w:space="0" w:color="auto"/>
          </w:divBdr>
        </w:div>
      </w:divsChild>
    </w:div>
    <w:div w:id="1408958684">
      <w:bodyDiv w:val="1"/>
      <w:marLeft w:val="0"/>
      <w:marRight w:val="0"/>
      <w:marTop w:val="0"/>
      <w:marBottom w:val="0"/>
      <w:divBdr>
        <w:top w:val="none" w:sz="0" w:space="0" w:color="auto"/>
        <w:left w:val="none" w:sz="0" w:space="0" w:color="auto"/>
        <w:bottom w:val="none" w:sz="0" w:space="0" w:color="auto"/>
        <w:right w:val="none" w:sz="0" w:space="0" w:color="auto"/>
      </w:divBdr>
      <w:divsChild>
        <w:div w:id="2101414042">
          <w:marLeft w:val="0"/>
          <w:marRight w:val="0"/>
          <w:marTop w:val="0"/>
          <w:marBottom w:val="0"/>
          <w:divBdr>
            <w:top w:val="none" w:sz="0" w:space="0" w:color="auto"/>
            <w:left w:val="none" w:sz="0" w:space="0" w:color="auto"/>
            <w:bottom w:val="none" w:sz="0" w:space="0" w:color="auto"/>
            <w:right w:val="none" w:sz="0" w:space="0" w:color="auto"/>
          </w:divBdr>
        </w:div>
        <w:div w:id="305624662">
          <w:marLeft w:val="0"/>
          <w:marRight w:val="0"/>
          <w:marTop w:val="0"/>
          <w:marBottom w:val="0"/>
          <w:divBdr>
            <w:top w:val="none" w:sz="0" w:space="0" w:color="auto"/>
            <w:left w:val="none" w:sz="0" w:space="0" w:color="auto"/>
            <w:bottom w:val="none" w:sz="0" w:space="0" w:color="auto"/>
            <w:right w:val="none" w:sz="0" w:space="0" w:color="auto"/>
          </w:divBdr>
        </w:div>
        <w:div w:id="1942568189">
          <w:marLeft w:val="0"/>
          <w:marRight w:val="0"/>
          <w:marTop w:val="0"/>
          <w:marBottom w:val="0"/>
          <w:divBdr>
            <w:top w:val="none" w:sz="0" w:space="0" w:color="auto"/>
            <w:left w:val="none" w:sz="0" w:space="0" w:color="auto"/>
            <w:bottom w:val="none" w:sz="0" w:space="0" w:color="auto"/>
            <w:right w:val="none" w:sz="0" w:space="0" w:color="auto"/>
          </w:divBdr>
        </w:div>
        <w:div w:id="1217669213">
          <w:marLeft w:val="0"/>
          <w:marRight w:val="0"/>
          <w:marTop w:val="0"/>
          <w:marBottom w:val="0"/>
          <w:divBdr>
            <w:top w:val="none" w:sz="0" w:space="0" w:color="auto"/>
            <w:left w:val="none" w:sz="0" w:space="0" w:color="auto"/>
            <w:bottom w:val="none" w:sz="0" w:space="0" w:color="auto"/>
            <w:right w:val="none" w:sz="0" w:space="0" w:color="auto"/>
          </w:divBdr>
        </w:div>
        <w:div w:id="380206147">
          <w:marLeft w:val="0"/>
          <w:marRight w:val="0"/>
          <w:marTop w:val="0"/>
          <w:marBottom w:val="0"/>
          <w:divBdr>
            <w:top w:val="none" w:sz="0" w:space="0" w:color="auto"/>
            <w:left w:val="none" w:sz="0" w:space="0" w:color="auto"/>
            <w:bottom w:val="none" w:sz="0" w:space="0" w:color="auto"/>
            <w:right w:val="none" w:sz="0" w:space="0" w:color="auto"/>
          </w:divBdr>
        </w:div>
      </w:divsChild>
    </w:div>
    <w:div w:id="1409112252">
      <w:bodyDiv w:val="1"/>
      <w:marLeft w:val="0"/>
      <w:marRight w:val="0"/>
      <w:marTop w:val="0"/>
      <w:marBottom w:val="0"/>
      <w:divBdr>
        <w:top w:val="none" w:sz="0" w:space="0" w:color="auto"/>
        <w:left w:val="none" w:sz="0" w:space="0" w:color="auto"/>
        <w:bottom w:val="none" w:sz="0" w:space="0" w:color="auto"/>
        <w:right w:val="none" w:sz="0" w:space="0" w:color="auto"/>
      </w:divBdr>
      <w:divsChild>
        <w:div w:id="1839997551">
          <w:marLeft w:val="0"/>
          <w:marRight w:val="0"/>
          <w:marTop w:val="0"/>
          <w:marBottom w:val="0"/>
          <w:divBdr>
            <w:top w:val="none" w:sz="0" w:space="0" w:color="auto"/>
            <w:left w:val="none" w:sz="0" w:space="0" w:color="auto"/>
            <w:bottom w:val="none" w:sz="0" w:space="0" w:color="auto"/>
            <w:right w:val="none" w:sz="0" w:space="0" w:color="auto"/>
          </w:divBdr>
        </w:div>
        <w:div w:id="476844276">
          <w:marLeft w:val="0"/>
          <w:marRight w:val="0"/>
          <w:marTop w:val="0"/>
          <w:marBottom w:val="0"/>
          <w:divBdr>
            <w:top w:val="none" w:sz="0" w:space="0" w:color="auto"/>
            <w:left w:val="none" w:sz="0" w:space="0" w:color="auto"/>
            <w:bottom w:val="none" w:sz="0" w:space="0" w:color="auto"/>
            <w:right w:val="none" w:sz="0" w:space="0" w:color="auto"/>
          </w:divBdr>
        </w:div>
        <w:div w:id="2028214062">
          <w:marLeft w:val="0"/>
          <w:marRight w:val="0"/>
          <w:marTop w:val="0"/>
          <w:marBottom w:val="0"/>
          <w:divBdr>
            <w:top w:val="none" w:sz="0" w:space="0" w:color="auto"/>
            <w:left w:val="none" w:sz="0" w:space="0" w:color="auto"/>
            <w:bottom w:val="none" w:sz="0" w:space="0" w:color="auto"/>
            <w:right w:val="none" w:sz="0" w:space="0" w:color="auto"/>
          </w:divBdr>
        </w:div>
      </w:divsChild>
    </w:div>
    <w:div w:id="1425881658">
      <w:bodyDiv w:val="1"/>
      <w:marLeft w:val="0"/>
      <w:marRight w:val="0"/>
      <w:marTop w:val="0"/>
      <w:marBottom w:val="0"/>
      <w:divBdr>
        <w:top w:val="none" w:sz="0" w:space="0" w:color="auto"/>
        <w:left w:val="none" w:sz="0" w:space="0" w:color="auto"/>
        <w:bottom w:val="none" w:sz="0" w:space="0" w:color="auto"/>
        <w:right w:val="none" w:sz="0" w:space="0" w:color="auto"/>
      </w:divBdr>
      <w:divsChild>
        <w:div w:id="257834264">
          <w:marLeft w:val="0"/>
          <w:marRight w:val="0"/>
          <w:marTop w:val="0"/>
          <w:marBottom w:val="0"/>
          <w:divBdr>
            <w:top w:val="none" w:sz="0" w:space="0" w:color="auto"/>
            <w:left w:val="none" w:sz="0" w:space="0" w:color="auto"/>
            <w:bottom w:val="none" w:sz="0" w:space="0" w:color="auto"/>
            <w:right w:val="none" w:sz="0" w:space="0" w:color="auto"/>
          </w:divBdr>
        </w:div>
        <w:div w:id="1600144176">
          <w:marLeft w:val="0"/>
          <w:marRight w:val="0"/>
          <w:marTop w:val="0"/>
          <w:marBottom w:val="0"/>
          <w:divBdr>
            <w:top w:val="none" w:sz="0" w:space="0" w:color="auto"/>
            <w:left w:val="none" w:sz="0" w:space="0" w:color="auto"/>
            <w:bottom w:val="none" w:sz="0" w:space="0" w:color="auto"/>
            <w:right w:val="none" w:sz="0" w:space="0" w:color="auto"/>
          </w:divBdr>
        </w:div>
        <w:div w:id="606818695">
          <w:marLeft w:val="0"/>
          <w:marRight w:val="0"/>
          <w:marTop w:val="0"/>
          <w:marBottom w:val="0"/>
          <w:divBdr>
            <w:top w:val="none" w:sz="0" w:space="0" w:color="auto"/>
            <w:left w:val="none" w:sz="0" w:space="0" w:color="auto"/>
            <w:bottom w:val="none" w:sz="0" w:space="0" w:color="auto"/>
            <w:right w:val="none" w:sz="0" w:space="0" w:color="auto"/>
          </w:divBdr>
        </w:div>
      </w:divsChild>
    </w:div>
    <w:div w:id="1445347102">
      <w:bodyDiv w:val="1"/>
      <w:marLeft w:val="0"/>
      <w:marRight w:val="0"/>
      <w:marTop w:val="0"/>
      <w:marBottom w:val="0"/>
      <w:divBdr>
        <w:top w:val="none" w:sz="0" w:space="0" w:color="auto"/>
        <w:left w:val="none" w:sz="0" w:space="0" w:color="auto"/>
        <w:bottom w:val="none" w:sz="0" w:space="0" w:color="auto"/>
        <w:right w:val="none" w:sz="0" w:space="0" w:color="auto"/>
      </w:divBdr>
      <w:divsChild>
        <w:div w:id="913782367">
          <w:marLeft w:val="0"/>
          <w:marRight w:val="0"/>
          <w:marTop w:val="0"/>
          <w:marBottom w:val="0"/>
          <w:divBdr>
            <w:top w:val="none" w:sz="0" w:space="0" w:color="auto"/>
            <w:left w:val="none" w:sz="0" w:space="0" w:color="auto"/>
            <w:bottom w:val="none" w:sz="0" w:space="0" w:color="auto"/>
            <w:right w:val="none" w:sz="0" w:space="0" w:color="auto"/>
          </w:divBdr>
        </w:div>
        <w:div w:id="2119834178">
          <w:marLeft w:val="0"/>
          <w:marRight w:val="0"/>
          <w:marTop w:val="0"/>
          <w:marBottom w:val="0"/>
          <w:divBdr>
            <w:top w:val="none" w:sz="0" w:space="0" w:color="auto"/>
            <w:left w:val="none" w:sz="0" w:space="0" w:color="auto"/>
            <w:bottom w:val="none" w:sz="0" w:space="0" w:color="auto"/>
            <w:right w:val="none" w:sz="0" w:space="0" w:color="auto"/>
          </w:divBdr>
        </w:div>
        <w:div w:id="1430277034">
          <w:marLeft w:val="0"/>
          <w:marRight w:val="0"/>
          <w:marTop w:val="0"/>
          <w:marBottom w:val="0"/>
          <w:divBdr>
            <w:top w:val="none" w:sz="0" w:space="0" w:color="auto"/>
            <w:left w:val="none" w:sz="0" w:space="0" w:color="auto"/>
            <w:bottom w:val="none" w:sz="0" w:space="0" w:color="auto"/>
            <w:right w:val="none" w:sz="0" w:space="0" w:color="auto"/>
          </w:divBdr>
        </w:div>
        <w:div w:id="1489516279">
          <w:marLeft w:val="0"/>
          <w:marRight w:val="0"/>
          <w:marTop w:val="0"/>
          <w:marBottom w:val="0"/>
          <w:divBdr>
            <w:top w:val="none" w:sz="0" w:space="0" w:color="auto"/>
            <w:left w:val="none" w:sz="0" w:space="0" w:color="auto"/>
            <w:bottom w:val="none" w:sz="0" w:space="0" w:color="auto"/>
            <w:right w:val="none" w:sz="0" w:space="0" w:color="auto"/>
          </w:divBdr>
        </w:div>
        <w:div w:id="842478734">
          <w:marLeft w:val="0"/>
          <w:marRight w:val="0"/>
          <w:marTop w:val="0"/>
          <w:marBottom w:val="0"/>
          <w:divBdr>
            <w:top w:val="none" w:sz="0" w:space="0" w:color="auto"/>
            <w:left w:val="none" w:sz="0" w:space="0" w:color="auto"/>
            <w:bottom w:val="none" w:sz="0" w:space="0" w:color="auto"/>
            <w:right w:val="none" w:sz="0" w:space="0" w:color="auto"/>
          </w:divBdr>
        </w:div>
        <w:div w:id="1315136167">
          <w:marLeft w:val="0"/>
          <w:marRight w:val="0"/>
          <w:marTop w:val="0"/>
          <w:marBottom w:val="0"/>
          <w:divBdr>
            <w:top w:val="none" w:sz="0" w:space="0" w:color="auto"/>
            <w:left w:val="none" w:sz="0" w:space="0" w:color="auto"/>
            <w:bottom w:val="none" w:sz="0" w:space="0" w:color="auto"/>
            <w:right w:val="none" w:sz="0" w:space="0" w:color="auto"/>
          </w:divBdr>
        </w:div>
        <w:div w:id="1481117321">
          <w:marLeft w:val="0"/>
          <w:marRight w:val="0"/>
          <w:marTop w:val="0"/>
          <w:marBottom w:val="0"/>
          <w:divBdr>
            <w:top w:val="none" w:sz="0" w:space="0" w:color="auto"/>
            <w:left w:val="none" w:sz="0" w:space="0" w:color="auto"/>
            <w:bottom w:val="none" w:sz="0" w:space="0" w:color="auto"/>
            <w:right w:val="none" w:sz="0" w:space="0" w:color="auto"/>
          </w:divBdr>
        </w:div>
        <w:div w:id="577327832">
          <w:marLeft w:val="0"/>
          <w:marRight w:val="0"/>
          <w:marTop w:val="0"/>
          <w:marBottom w:val="0"/>
          <w:divBdr>
            <w:top w:val="none" w:sz="0" w:space="0" w:color="auto"/>
            <w:left w:val="none" w:sz="0" w:space="0" w:color="auto"/>
            <w:bottom w:val="none" w:sz="0" w:space="0" w:color="auto"/>
            <w:right w:val="none" w:sz="0" w:space="0" w:color="auto"/>
          </w:divBdr>
        </w:div>
        <w:div w:id="1379935885">
          <w:marLeft w:val="0"/>
          <w:marRight w:val="0"/>
          <w:marTop w:val="0"/>
          <w:marBottom w:val="0"/>
          <w:divBdr>
            <w:top w:val="none" w:sz="0" w:space="0" w:color="auto"/>
            <w:left w:val="none" w:sz="0" w:space="0" w:color="auto"/>
            <w:bottom w:val="none" w:sz="0" w:space="0" w:color="auto"/>
            <w:right w:val="none" w:sz="0" w:space="0" w:color="auto"/>
          </w:divBdr>
        </w:div>
        <w:div w:id="161823884">
          <w:marLeft w:val="0"/>
          <w:marRight w:val="0"/>
          <w:marTop w:val="0"/>
          <w:marBottom w:val="0"/>
          <w:divBdr>
            <w:top w:val="none" w:sz="0" w:space="0" w:color="auto"/>
            <w:left w:val="none" w:sz="0" w:space="0" w:color="auto"/>
            <w:bottom w:val="none" w:sz="0" w:space="0" w:color="auto"/>
            <w:right w:val="none" w:sz="0" w:space="0" w:color="auto"/>
          </w:divBdr>
        </w:div>
      </w:divsChild>
    </w:div>
    <w:div w:id="1467042797">
      <w:bodyDiv w:val="1"/>
      <w:marLeft w:val="0"/>
      <w:marRight w:val="0"/>
      <w:marTop w:val="0"/>
      <w:marBottom w:val="0"/>
      <w:divBdr>
        <w:top w:val="none" w:sz="0" w:space="0" w:color="auto"/>
        <w:left w:val="none" w:sz="0" w:space="0" w:color="auto"/>
        <w:bottom w:val="none" w:sz="0" w:space="0" w:color="auto"/>
        <w:right w:val="none" w:sz="0" w:space="0" w:color="auto"/>
      </w:divBdr>
      <w:divsChild>
        <w:div w:id="2132820331">
          <w:marLeft w:val="0"/>
          <w:marRight w:val="0"/>
          <w:marTop w:val="0"/>
          <w:marBottom w:val="0"/>
          <w:divBdr>
            <w:top w:val="none" w:sz="0" w:space="0" w:color="auto"/>
            <w:left w:val="none" w:sz="0" w:space="0" w:color="auto"/>
            <w:bottom w:val="none" w:sz="0" w:space="0" w:color="auto"/>
            <w:right w:val="none" w:sz="0" w:space="0" w:color="auto"/>
          </w:divBdr>
        </w:div>
        <w:div w:id="1094203905">
          <w:marLeft w:val="0"/>
          <w:marRight w:val="0"/>
          <w:marTop w:val="0"/>
          <w:marBottom w:val="0"/>
          <w:divBdr>
            <w:top w:val="none" w:sz="0" w:space="0" w:color="auto"/>
            <w:left w:val="none" w:sz="0" w:space="0" w:color="auto"/>
            <w:bottom w:val="none" w:sz="0" w:space="0" w:color="auto"/>
            <w:right w:val="none" w:sz="0" w:space="0" w:color="auto"/>
          </w:divBdr>
        </w:div>
      </w:divsChild>
    </w:div>
    <w:div w:id="1482623652">
      <w:bodyDiv w:val="1"/>
      <w:marLeft w:val="0"/>
      <w:marRight w:val="0"/>
      <w:marTop w:val="0"/>
      <w:marBottom w:val="0"/>
      <w:divBdr>
        <w:top w:val="none" w:sz="0" w:space="0" w:color="auto"/>
        <w:left w:val="none" w:sz="0" w:space="0" w:color="auto"/>
        <w:bottom w:val="none" w:sz="0" w:space="0" w:color="auto"/>
        <w:right w:val="none" w:sz="0" w:space="0" w:color="auto"/>
      </w:divBdr>
    </w:div>
    <w:div w:id="1491556388">
      <w:bodyDiv w:val="1"/>
      <w:marLeft w:val="0"/>
      <w:marRight w:val="0"/>
      <w:marTop w:val="0"/>
      <w:marBottom w:val="0"/>
      <w:divBdr>
        <w:top w:val="none" w:sz="0" w:space="0" w:color="auto"/>
        <w:left w:val="none" w:sz="0" w:space="0" w:color="auto"/>
        <w:bottom w:val="none" w:sz="0" w:space="0" w:color="auto"/>
        <w:right w:val="none" w:sz="0" w:space="0" w:color="auto"/>
      </w:divBdr>
      <w:divsChild>
        <w:div w:id="1203439826">
          <w:marLeft w:val="0"/>
          <w:marRight w:val="0"/>
          <w:marTop w:val="0"/>
          <w:marBottom w:val="0"/>
          <w:divBdr>
            <w:top w:val="none" w:sz="0" w:space="0" w:color="auto"/>
            <w:left w:val="none" w:sz="0" w:space="0" w:color="auto"/>
            <w:bottom w:val="none" w:sz="0" w:space="0" w:color="auto"/>
            <w:right w:val="none" w:sz="0" w:space="0" w:color="auto"/>
          </w:divBdr>
        </w:div>
        <w:div w:id="1933934155">
          <w:marLeft w:val="0"/>
          <w:marRight w:val="0"/>
          <w:marTop w:val="0"/>
          <w:marBottom w:val="0"/>
          <w:divBdr>
            <w:top w:val="none" w:sz="0" w:space="0" w:color="auto"/>
            <w:left w:val="none" w:sz="0" w:space="0" w:color="auto"/>
            <w:bottom w:val="none" w:sz="0" w:space="0" w:color="auto"/>
            <w:right w:val="none" w:sz="0" w:space="0" w:color="auto"/>
          </w:divBdr>
        </w:div>
        <w:div w:id="931009229">
          <w:marLeft w:val="0"/>
          <w:marRight w:val="0"/>
          <w:marTop w:val="0"/>
          <w:marBottom w:val="0"/>
          <w:divBdr>
            <w:top w:val="none" w:sz="0" w:space="0" w:color="auto"/>
            <w:left w:val="none" w:sz="0" w:space="0" w:color="auto"/>
            <w:bottom w:val="none" w:sz="0" w:space="0" w:color="auto"/>
            <w:right w:val="none" w:sz="0" w:space="0" w:color="auto"/>
          </w:divBdr>
        </w:div>
        <w:div w:id="1395079948">
          <w:marLeft w:val="0"/>
          <w:marRight w:val="0"/>
          <w:marTop w:val="0"/>
          <w:marBottom w:val="0"/>
          <w:divBdr>
            <w:top w:val="none" w:sz="0" w:space="0" w:color="auto"/>
            <w:left w:val="none" w:sz="0" w:space="0" w:color="auto"/>
            <w:bottom w:val="none" w:sz="0" w:space="0" w:color="auto"/>
            <w:right w:val="none" w:sz="0" w:space="0" w:color="auto"/>
          </w:divBdr>
        </w:div>
        <w:div w:id="1307124816">
          <w:marLeft w:val="0"/>
          <w:marRight w:val="0"/>
          <w:marTop w:val="0"/>
          <w:marBottom w:val="0"/>
          <w:divBdr>
            <w:top w:val="none" w:sz="0" w:space="0" w:color="auto"/>
            <w:left w:val="none" w:sz="0" w:space="0" w:color="auto"/>
            <w:bottom w:val="none" w:sz="0" w:space="0" w:color="auto"/>
            <w:right w:val="none" w:sz="0" w:space="0" w:color="auto"/>
          </w:divBdr>
        </w:div>
        <w:div w:id="457726955">
          <w:marLeft w:val="0"/>
          <w:marRight w:val="0"/>
          <w:marTop w:val="0"/>
          <w:marBottom w:val="0"/>
          <w:divBdr>
            <w:top w:val="none" w:sz="0" w:space="0" w:color="auto"/>
            <w:left w:val="none" w:sz="0" w:space="0" w:color="auto"/>
            <w:bottom w:val="none" w:sz="0" w:space="0" w:color="auto"/>
            <w:right w:val="none" w:sz="0" w:space="0" w:color="auto"/>
          </w:divBdr>
        </w:div>
        <w:div w:id="1483233971">
          <w:marLeft w:val="0"/>
          <w:marRight w:val="0"/>
          <w:marTop w:val="0"/>
          <w:marBottom w:val="0"/>
          <w:divBdr>
            <w:top w:val="none" w:sz="0" w:space="0" w:color="auto"/>
            <w:left w:val="none" w:sz="0" w:space="0" w:color="auto"/>
            <w:bottom w:val="none" w:sz="0" w:space="0" w:color="auto"/>
            <w:right w:val="none" w:sz="0" w:space="0" w:color="auto"/>
          </w:divBdr>
        </w:div>
        <w:div w:id="757941332">
          <w:marLeft w:val="0"/>
          <w:marRight w:val="0"/>
          <w:marTop w:val="0"/>
          <w:marBottom w:val="0"/>
          <w:divBdr>
            <w:top w:val="none" w:sz="0" w:space="0" w:color="auto"/>
            <w:left w:val="none" w:sz="0" w:space="0" w:color="auto"/>
            <w:bottom w:val="none" w:sz="0" w:space="0" w:color="auto"/>
            <w:right w:val="none" w:sz="0" w:space="0" w:color="auto"/>
          </w:divBdr>
        </w:div>
        <w:div w:id="1490902051">
          <w:marLeft w:val="0"/>
          <w:marRight w:val="0"/>
          <w:marTop w:val="0"/>
          <w:marBottom w:val="0"/>
          <w:divBdr>
            <w:top w:val="none" w:sz="0" w:space="0" w:color="auto"/>
            <w:left w:val="none" w:sz="0" w:space="0" w:color="auto"/>
            <w:bottom w:val="none" w:sz="0" w:space="0" w:color="auto"/>
            <w:right w:val="none" w:sz="0" w:space="0" w:color="auto"/>
          </w:divBdr>
        </w:div>
      </w:divsChild>
    </w:div>
    <w:div w:id="1494566401">
      <w:bodyDiv w:val="1"/>
      <w:marLeft w:val="0"/>
      <w:marRight w:val="0"/>
      <w:marTop w:val="0"/>
      <w:marBottom w:val="0"/>
      <w:divBdr>
        <w:top w:val="none" w:sz="0" w:space="0" w:color="auto"/>
        <w:left w:val="none" w:sz="0" w:space="0" w:color="auto"/>
        <w:bottom w:val="none" w:sz="0" w:space="0" w:color="auto"/>
        <w:right w:val="none" w:sz="0" w:space="0" w:color="auto"/>
      </w:divBdr>
      <w:divsChild>
        <w:div w:id="1961573963">
          <w:marLeft w:val="0"/>
          <w:marRight w:val="0"/>
          <w:marTop w:val="0"/>
          <w:marBottom w:val="0"/>
          <w:divBdr>
            <w:top w:val="none" w:sz="0" w:space="0" w:color="auto"/>
            <w:left w:val="none" w:sz="0" w:space="0" w:color="auto"/>
            <w:bottom w:val="none" w:sz="0" w:space="0" w:color="auto"/>
            <w:right w:val="none" w:sz="0" w:space="0" w:color="auto"/>
          </w:divBdr>
        </w:div>
        <w:div w:id="1425833274">
          <w:marLeft w:val="0"/>
          <w:marRight w:val="0"/>
          <w:marTop w:val="0"/>
          <w:marBottom w:val="0"/>
          <w:divBdr>
            <w:top w:val="none" w:sz="0" w:space="0" w:color="auto"/>
            <w:left w:val="none" w:sz="0" w:space="0" w:color="auto"/>
            <w:bottom w:val="none" w:sz="0" w:space="0" w:color="auto"/>
            <w:right w:val="none" w:sz="0" w:space="0" w:color="auto"/>
          </w:divBdr>
        </w:div>
      </w:divsChild>
    </w:div>
    <w:div w:id="1495754245">
      <w:bodyDiv w:val="1"/>
      <w:marLeft w:val="0"/>
      <w:marRight w:val="0"/>
      <w:marTop w:val="0"/>
      <w:marBottom w:val="0"/>
      <w:divBdr>
        <w:top w:val="none" w:sz="0" w:space="0" w:color="auto"/>
        <w:left w:val="none" w:sz="0" w:space="0" w:color="auto"/>
        <w:bottom w:val="none" w:sz="0" w:space="0" w:color="auto"/>
        <w:right w:val="none" w:sz="0" w:space="0" w:color="auto"/>
      </w:divBdr>
      <w:divsChild>
        <w:div w:id="1556232569">
          <w:marLeft w:val="0"/>
          <w:marRight w:val="0"/>
          <w:marTop w:val="0"/>
          <w:marBottom w:val="0"/>
          <w:divBdr>
            <w:top w:val="none" w:sz="0" w:space="0" w:color="auto"/>
            <w:left w:val="none" w:sz="0" w:space="0" w:color="auto"/>
            <w:bottom w:val="none" w:sz="0" w:space="0" w:color="auto"/>
            <w:right w:val="none" w:sz="0" w:space="0" w:color="auto"/>
          </w:divBdr>
        </w:div>
        <w:div w:id="1818648672">
          <w:marLeft w:val="0"/>
          <w:marRight w:val="0"/>
          <w:marTop w:val="0"/>
          <w:marBottom w:val="0"/>
          <w:divBdr>
            <w:top w:val="none" w:sz="0" w:space="0" w:color="auto"/>
            <w:left w:val="none" w:sz="0" w:space="0" w:color="auto"/>
            <w:bottom w:val="none" w:sz="0" w:space="0" w:color="auto"/>
            <w:right w:val="none" w:sz="0" w:space="0" w:color="auto"/>
          </w:divBdr>
        </w:div>
      </w:divsChild>
    </w:div>
    <w:div w:id="1496720207">
      <w:bodyDiv w:val="1"/>
      <w:marLeft w:val="0"/>
      <w:marRight w:val="0"/>
      <w:marTop w:val="0"/>
      <w:marBottom w:val="0"/>
      <w:divBdr>
        <w:top w:val="none" w:sz="0" w:space="0" w:color="auto"/>
        <w:left w:val="none" w:sz="0" w:space="0" w:color="auto"/>
        <w:bottom w:val="none" w:sz="0" w:space="0" w:color="auto"/>
        <w:right w:val="none" w:sz="0" w:space="0" w:color="auto"/>
      </w:divBdr>
      <w:divsChild>
        <w:div w:id="1484619253">
          <w:marLeft w:val="0"/>
          <w:marRight w:val="0"/>
          <w:marTop w:val="0"/>
          <w:marBottom w:val="0"/>
          <w:divBdr>
            <w:top w:val="none" w:sz="0" w:space="0" w:color="auto"/>
            <w:left w:val="none" w:sz="0" w:space="0" w:color="auto"/>
            <w:bottom w:val="none" w:sz="0" w:space="0" w:color="auto"/>
            <w:right w:val="none" w:sz="0" w:space="0" w:color="auto"/>
          </w:divBdr>
        </w:div>
        <w:div w:id="1475220180">
          <w:marLeft w:val="0"/>
          <w:marRight w:val="0"/>
          <w:marTop w:val="0"/>
          <w:marBottom w:val="0"/>
          <w:divBdr>
            <w:top w:val="none" w:sz="0" w:space="0" w:color="auto"/>
            <w:left w:val="none" w:sz="0" w:space="0" w:color="auto"/>
            <w:bottom w:val="none" w:sz="0" w:space="0" w:color="auto"/>
            <w:right w:val="none" w:sz="0" w:space="0" w:color="auto"/>
          </w:divBdr>
        </w:div>
        <w:div w:id="1323853512">
          <w:marLeft w:val="0"/>
          <w:marRight w:val="0"/>
          <w:marTop w:val="0"/>
          <w:marBottom w:val="0"/>
          <w:divBdr>
            <w:top w:val="none" w:sz="0" w:space="0" w:color="auto"/>
            <w:left w:val="none" w:sz="0" w:space="0" w:color="auto"/>
            <w:bottom w:val="none" w:sz="0" w:space="0" w:color="auto"/>
            <w:right w:val="none" w:sz="0" w:space="0" w:color="auto"/>
          </w:divBdr>
        </w:div>
        <w:div w:id="474487326">
          <w:marLeft w:val="0"/>
          <w:marRight w:val="0"/>
          <w:marTop w:val="0"/>
          <w:marBottom w:val="0"/>
          <w:divBdr>
            <w:top w:val="none" w:sz="0" w:space="0" w:color="auto"/>
            <w:left w:val="none" w:sz="0" w:space="0" w:color="auto"/>
            <w:bottom w:val="none" w:sz="0" w:space="0" w:color="auto"/>
            <w:right w:val="none" w:sz="0" w:space="0" w:color="auto"/>
          </w:divBdr>
        </w:div>
        <w:div w:id="196964757">
          <w:marLeft w:val="0"/>
          <w:marRight w:val="0"/>
          <w:marTop w:val="0"/>
          <w:marBottom w:val="0"/>
          <w:divBdr>
            <w:top w:val="none" w:sz="0" w:space="0" w:color="auto"/>
            <w:left w:val="none" w:sz="0" w:space="0" w:color="auto"/>
            <w:bottom w:val="none" w:sz="0" w:space="0" w:color="auto"/>
            <w:right w:val="none" w:sz="0" w:space="0" w:color="auto"/>
          </w:divBdr>
        </w:div>
        <w:div w:id="400829539">
          <w:marLeft w:val="0"/>
          <w:marRight w:val="0"/>
          <w:marTop w:val="0"/>
          <w:marBottom w:val="0"/>
          <w:divBdr>
            <w:top w:val="none" w:sz="0" w:space="0" w:color="auto"/>
            <w:left w:val="none" w:sz="0" w:space="0" w:color="auto"/>
            <w:bottom w:val="none" w:sz="0" w:space="0" w:color="auto"/>
            <w:right w:val="none" w:sz="0" w:space="0" w:color="auto"/>
          </w:divBdr>
        </w:div>
        <w:div w:id="1674066561">
          <w:marLeft w:val="0"/>
          <w:marRight w:val="0"/>
          <w:marTop w:val="0"/>
          <w:marBottom w:val="0"/>
          <w:divBdr>
            <w:top w:val="none" w:sz="0" w:space="0" w:color="auto"/>
            <w:left w:val="none" w:sz="0" w:space="0" w:color="auto"/>
            <w:bottom w:val="none" w:sz="0" w:space="0" w:color="auto"/>
            <w:right w:val="none" w:sz="0" w:space="0" w:color="auto"/>
          </w:divBdr>
        </w:div>
        <w:div w:id="251162163">
          <w:marLeft w:val="0"/>
          <w:marRight w:val="0"/>
          <w:marTop w:val="0"/>
          <w:marBottom w:val="0"/>
          <w:divBdr>
            <w:top w:val="none" w:sz="0" w:space="0" w:color="auto"/>
            <w:left w:val="none" w:sz="0" w:space="0" w:color="auto"/>
            <w:bottom w:val="none" w:sz="0" w:space="0" w:color="auto"/>
            <w:right w:val="none" w:sz="0" w:space="0" w:color="auto"/>
          </w:divBdr>
        </w:div>
        <w:div w:id="1448546811">
          <w:marLeft w:val="0"/>
          <w:marRight w:val="0"/>
          <w:marTop w:val="0"/>
          <w:marBottom w:val="0"/>
          <w:divBdr>
            <w:top w:val="none" w:sz="0" w:space="0" w:color="auto"/>
            <w:left w:val="none" w:sz="0" w:space="0" w:color="auto"/>
            <w:bottom w:val="none" w:sz="0" w:space="0" w:color="auto"/>
            <w:right w:val="none" w:sz="0" w:space="0" w:color="auto"/>
          </w:divBdr>
        </w:div>
      </w:divsChild>
    </w:div>
    <w:div w:id="1499419567">
      <w:bodyDiv w:val="1"/>
      <w:marLeft w:val="0"/>
      <w:marRight w:val="0"/>
      <w:marTop w:val="0"/>
      <w:marBottom w:val="0"/>
      <w:divBdr>
        <w:top w:val="none" w:sz="0" w:space="0" w:color="auto"/>
        <w:left w:val="none" w:sz="0" w:space="0" w:color="auto"/>
        <w:bottom w:val="none" w:sz="0" w:space="0" w:color="auto"/>
        <w:right w:val="none" w:sz="0" w:space="0" w:color="auto"/>
      </w:divBdr>
      <w:divsChild>
        <w:div w:id="416754469">
          <w:marLeft w:val="0"/>
          <w:marRight w:val="0"/>
          <w:marTop w:val="0"/>
          <w:marBottom w:val="0"/>
          <w:divBdr>
            <w:top w:val="none" w:sz="0" w:space="0" w:color="auto"/>
            <w:left w:val="none" w:sz="0" w:space="0" w:color="auto"/>
            <w:bottom w:val="none" w:sz="0" w:space="0" w:color="auto"/>
            <w:right w:val="none" w:sz="0" w:space="0" w:color="auto"/>
          </w:divBdr>
        </w:div>
      </w:divsChild>
    </w:div>
    <w:div w:id="1550220652">
      <w:bodyDiv w:val="1"/>
      <w:marLeft w:val="0"/>
      <w:marRight w:val="0"/>
      <w:marTop w:val="0"/>
      <w:marBottom w:val="0"/>
      <w:divBdr>
        <w:top w:val="none" w:sz="0" w:space="0" w:color="auto"/>
        <w:left w:val="none" w:sz="0" w:space="0" w:color="auto"/>
        <w:bottom w:val="none" w:sz="0" w:space="0" w:color="auto"/>
        <w:right w:val="none" w:sz="0" w:space="0" w:color="auto"/>
      </w:divBdr>
      <w:divsChild>
        <w:div w:id="1456604961">
          <w:marLeft w:val="0"/>
          <w:marRight w:val="0"/>
          <w:marTop w:val="0"/>
          <w:marBottom w:val="0"/>
          <w:divBdr>
            <w:top w:val="none" w:sz="0" w:space="0" w:color="auto"/>
            <w:left w:val="none" w:sz="0" w:space="0" w:color="auto"/>
            <w:bottom w:val="none" w:sz="0" w:space="0" w:color="auto"/>
            <w:right w:val="none" w:sz="0" w:space="0" w:color="auto"/>
          </w:divBdr>
        </w:div>
      </w:divsChild>
    </w:div>
    <w:div w:id="1556434415">
      <w:bodyDiv w:val="1"/>
      <w:marLeft w:val="0"/>
      <w:marRight w:val="0"/>
      <w:marTop w:val="0"/>
      <w:marBottom w:val="0"/>
      <w:divBdr>
        <w:top w:val="none" w:sz="0" w:space="0" w:color="auto"/>
        <w:left w:val="none" w:sz="0" w:space="0" w:color="auto"/>
        <w:bottom w:val="none" w:sz="0" w:space="0" w:color="auto"/>
        <w:right w:val="none" w:sz="0" w:space="0" w:color="auto"/>
      </w:divBdr>
    </w:div>
    <w:div w:id="1602031438">
      <w:bodyDiv w:val="1"/>
      <w:marLeft w:val="0"/>
      <w:marRight w:val="0"/>
      <w:marTop w:val="0"/>
      <w:marBottom w:val="0"/>
      <w:divBdr>
        <w:top w:val="none" w:sz="0" w:space="0" w:color="auto"/>
        <w:left w:val="none" w:sz="0" w:space="0" w:color="auto"/>
        <w:bottom w:val="none" w:sz="0" w:space="0" w:color="auto"/>
        <w:right w:val="none" w:sz="0" w:space="0" w:color="auto"/>
      </w:divBdr>
    </w:div>
    <w:div w:id="1608343833">
      <w:bodyDiv w:val="1"/>
      <w:marLeft w:val="0"/>
      <w:marRight w:val="0"/>
      <w:marTop w:val="0"/>
      <w:marBottom w:val="0"/>
      <w:divBdr>
        <w:top w:val="none" w:sz="0" w:space="0" w:color="auto"/>
        <w:left w:val="none" w:sz="0" w:space="0" w:color="auto"/>
        <w:bottom w:val="none" w:sz="0" w:space="0" w:color="auto"/>
        <w:right w:val="none" w:sz="0" w:space="0" w:color="auto"/>
      </w:divBdr>
      <w:divsChild>
        <w:div w:id="566722096">
          <w:marLeft w:val="0"/>
          <w:marRight w:val="0"/>
          <w:marTop w:val="0"/>
          <w:marBottom w:val="0"/>
          <w:divBdr>
            <w:top w:val="none" w:sz="0" w:space="0" w:color="auto"/>
            <w:left w:val="none" w:sz="0" w:space="0" w:color="auto"/>
            <w:bottom w:val="none" w:sz="0" w:space="0" w:color="auto"/>
            <w:right w:val="none" w:sz="0" w:space="0" w:color="auto"/>
          </w:divBdr>
        </w:div>
        <w:div w:id="663707271">
          <w:marLeft w:val="0"/>
          <w:marRight w:val="0"/>
          <w:marTop w:val="0"/>
          <w:marBottom w:val="0"/>
          <w:divBdr>
            <w:top w:val="none" w:sz="0" w:space="0" w:color="auto"/>
            <w:left w:val="none" w:sz="0" w:space="0" w:color="auto"/>
            <w:bottom w:val="none" w:sz="0" w:space="0" w:color="auto"/>
            <w:right w:val="none" w:sz="0" w:space="0" w:color="auto"/>
          </w:divBdr>
        </w:div>
        <w:div w:id="1957322893">
          <w:marLeft w:val="0"/>
          <w:marRight w:val="0"/>
          <w:marTop w:val="0"/>
          <w:marBottom w:val="0"/>
          <w:divBdr>
            <w:top w:val="none" w:sz="0" w:space="0" w:color="auto"/>
            <w:left w:val="none" w:sz="0" w:space="0" w:color="auto"/>
            <w:bottom w:val="none" w:sz="0" w:space="0" w:color="auto"/>
            <w:right w:val="none" w:sz="0" w:space="0" w:color="auto"/>
          </w:divBdr>
        </w:div>
        <w:div w:id="662853524">
          <w:marLeft w:val="0"/>
          <w:marRight w:val="0"/>
          <w:marTop w:val="0"/>
          <w:marBottom w:val="0"/>
          <w:divBdr>
            <w:top w:val="none" w:sz="0" w:space="0" w:color="auto"/>
            <w:left w:val="none" w:sz="0" w:space="0" w:color="auto"/>
            <w:bottom w:val="none" w:sz="0" w:space="0" w:color="auto"/>
            <w:right w:val="none" w:sz="0" w:space="0" w:color="auto"/>
          </w:divBdr>
        </w:div>
      </w:divsChild>
    </w:div>
    <w:div w:id="1623686979">
      <w:bodyDiv w:val="1"/>
      <w:marLeft w:val="0"/>
      <w:marRight w:val="0"/>
      <w:marTop w:val="0"/>
      <w:marBottom w:val="0"/>
      <w:divBdr>
        <w:top w:val="none" w:sz="0" w:space="0" w:color="auto"/>
        <w:left w:val="none" w:sz="0" w:space="0" w:color="auto"/>
        <w:bottom w:val="none" w:sz="0" w:space="0" w:color="auto"/>
        <w:right w:val="none" w:sz="0" w:space="0" w:color="auto"/>
      </w:divBdr>
      <w:divsChild>
        <w:div w:id="837620187">
          <w:marLeft w:val="0"/>
          <w:marRight w:val="0"/>
          <w:marTop w:val="0"/>
          <w:marBottom w:val="0"/>
          <w:divBdr>
            <w:top w:val="none" w:sz="0" w:space="0" w:color="auto"/>
            <w:left w:val="none" w:sz="0" w:space="0" w:color="auto"/>
            <w:bottom w:val="none" w:sz="0" w:space="0" w:color="auto"/>
            <w:right w:val="none" w:sz="0" w:space="0" w:color="auto"/>
          </w:divBdr>
        </w:div>
        <w:div w:id="479269600">
          <w:marLeft w:val="0"/>
          <w:marRight w:val="0"/>
          <w:marTop w:val="0"/>
          <w:marBottom w:val="0"/>
          <w:divBdr>
            <w:top w:val="none" w:sz="0" w:space="0" w:color="auto"/>
            <w:left w:val="none" w:sz="0" w:space="0" w:color="auto"/>
            <w:bottom w:val="none" w:sz="0" w:space="0" w:color="auto"/>
            <w:right w:val="none" w:sz="0" w:space="0" w:color="auto"/>
          </w:divBdr>
        </w:div>
        <w:div w:id="840966512">
          <w:marLeft w:val="0"/>
          <w:marRight w:val="0"/>
          <w:marTop w:val="0"/>
          <w:marBottom w:val="0"/>
          <w:divBdr>
            <w:top w:val="none" w:sz="0" w:space="0" w:color="auto"/>
            <w:left w:val="none" w:sz="0" w:space="0" w:color="auto"/>
            <w:bottom w:val="none" w:sz="0" w:space="0" w:color="auto"/>
            <w:right w:val="none" w:sz="0" w:space="0" w:color="auto"/>
          </w:divBdr>
        </w:div>
        <w:div w:id="1336372506">
          <w:marLeft w:val="0"/>
          <w:marRight w:val="0"/>
          <w:marTop w:val="0"/>
          <w:marBottom w:val="0"/>
          <w:divBdr>
            <w:top w:val="none" w:sz="0" w:space="0" w:color="auto"/>
            <w:left w:val="none" w:sz="0" w:space="0" w:color="auto"/>
            <w:bottom w:val="none" w:sz="0" w:space="0" w:color="auto"/>
            <w:right w:val="none" w:sz="0" w:space="0" w:color="auto"/>
          </w:divBdr>
        </w:div>
        <w:div w:id="520631664">
          <w:marLeft w:val="0"/>
          <w:marRight w:val="0"/>
          <w:marTop w:val="0"/>
          <w:marBottom w:val="0"/>
          <w:divBdr>
            <w:top w:val="none" w:sz="0" w:space="0" w:color="auto"/>
            <w:left w:val="none" w:sz="0" w:space="0" w:color="auto"/>
            <w:bottom w:val="none" w:sz="0" w:space="0" w:color="auto"/>
            <w:right w:val="none" w:sz="0" w:space="0" w:color="auto"/>
          </w:divBdr>
        </w:div>
        <w:div w:id="687944670">
          <w:marLeft w:val="0"/>
          <w:marRight w:val="0"/>
          <w:marTop w:val="0"/>
          <w:marBottom w:val="0"/>
          <w:divBdr>
            <w:top w:val="none" w:sz="0" w:space="0" w:color="auto"/>
            <w:left w:val="none" w:sz="0" w:space="0" w:color="auto"/>
            <w:bottom w:val="none" w:sz="0" w:space="0" w:color="auto"/>
            <w:right w:val="none" w:sz="0" w:space="0" w:color="auto"/>
          </w:divBdr>
        </w:div>
      </w:divsChild>
    </w:div>
    <w:div w:id="1636450386">
      <w:bodyDiv w:val="1"/>
      <w:marLeft w:val="0"/>
      <w:marRight w:val="0"/>
      <w:marTop w:val="0"/>
      <w:marBottom w:val="0"/>
      <w:divBdr>
        <w:top w:val="none" w:sz="0" w:space="0" w:color="auto"/>
        <w:left w:val="none" w:sz="0" w:space="0" w:color="auto"/>
        <w:bottom w:val="none" w:sz="0" w:space="0" w:color="auto"/>
        <w:right w:val="none" w:sz="0" w:space="0" w:color="auto"/>
      </w:divBdr>
      <w:divsChild>
        <w:div w:id="287198766">
          <w:marLeft w:val="0"/>
          <w:marRight w:val="0"/>
          <w:marTop w:val="0"/>
          <w:marBottom w:val="0"/>
          <w:divBdr>
            <w:top w:val="none" w:sz="0" w:space="0" w:color="auto"/>
            <w:left w:val="none" w:sz="0" w:space="0" w:color="auto"/>
            <w:bottom w:val="none" w:sz="0" w:space="0" w:color="auto"/>
            <w:right w:val="none" w:sz="0" w:space="0" w:color="auto"/>
          </w:divBdr>
        </w:div>
      </w:divsChild>
    </w:div>
    <w:div w:id="1639408374">
      <w:bodyDiv w:val="1"/>
      <w:marLeft w:val="0"/>
      <w:marRight w:val="0"/>
      <w:marTop w:val="0"/>
      <w:marBottom w:val="0"/>
      <w:divBdr>
        <w:top w:val="none" w:sz="0" w:space="0" w:color="auto"/>
        <w:left w:val="none" w:sz="0" w:space="0" w:color="auto"/>
        <w:bottom w:val="none" w:sz="0" w:space="0" w:color="auto"/>
        <w:right w:val="none" w:sz="0" w:space="0" w:color="auto"/>
      </w:divBdr>
      <w:divsChild>
        <w:div w:id="520750201">
          <w:marLeft w:val="0"/>
          <w:marRight w:val="0"/>
          <w:marTop w:val="0"/>
          <w:marBottom w:val="0"/>
          <w:divBdr>
            <w:top w:val="none" w:sz="0" w:space="0" w:color="auto"/>
            <w:left w:val="none" w:sz="0" w:space="0" w:color="auto"/>
            <w:bottom w:val="none" w:sz="0" w:space="0" w:color="auto"/>
            <w:right w:val="none" w:sz="0" w:space="0" w:color="auto"/>
          </w:divBdr>
        </w:div>
      </w:divsChild>
    </w:div>
    <w:div w:id="1643541547">
      <w:bodyDiv w:val="1"/>
      <w:marLeft w:val="0"/>
      <w:marRight w:val="0"/>
      <w:marTop w:val="0"/>
      <w:marBottom w:val="0"/>
      <w:divBdr>
        <w:top w:val="none" w:sz="0" w:space="0" w:color="auto"/>
        <w:left w:val="none" w:sz="0" w:space="0" w:color="auto"/>
        <w:bottom w:val="none" w:sz="0" w:space="0" w:color="auto"/>
        <w:right w:val="none" w:sz="0" w:space="0" w:color="auto"/>
      </w:divBdr>
      <w:divsChild>
        <w:div w:id="51857689">
          <w:marLeft w:val="0"/>
          <w:marRight w:val="0"/>
          <w:marTop w:val="0"/>
          <w:marBottom w:val="0"/>
          <w:divBdr>
            <w:top w:val="none" w:sz="0" w:space="0" w:color="auto"/>
            <w:left w:val="none" w:sz="0" w:space="0" w:color="auto"/>
            <w:bottom w:val="none" w:sz="0" w:space="0" w:color="auto"/>
            <w:right w:val="none" w:sz="0" w:space="0" w:color="auto"/>
          </w:divBdr>
        </w:div>
        <w:div w:id="1656058779">
          <w:marLeft w:val="0"/>
          <w:marRight w:val="0"/>
          <w:marTop w:val="0"/>
          <w:marBottom w:val="0"/>
          <w:divBdr>
            <w:top w:val="none" w:sz="0" w:space="0" w:color="auto"/>
            <w:left w:val="none" w:sz="0" w:space="0" w:color="auto"/>
            <w:bottom w:val="none" w:sz="0" w:space="0" w:color="auto"/>
            <w:right w:val="none" w:sz="0" w:space="0" w:color="auto"/>
          </w:divBdr>
        </w:div>
        <w:div w:id="978533266">
          <w:marLeft w:val="0"/>
          <w:marRight w:val="0"/>
          <w:marTop w:val="0"/>
          <w:marBottom w:val="0"/>
          <w:divBdr>
            <w:top w:val="none" w:sz="0" w:space="0" w:color="auto"/>
            <w:left w:val="none" w:sz="0" w:space="0" w:color="auto"/>
            <w:bottom w:val="none" w:sz="0" w:space="0" w:color="auto"/>
            <w:right w:val="none" w:sz="0" w:space="0" w:color="auto"/>
          </w:divBdr>
        </w:div>
      </w:divsChild>
    </w:div>
    <w:div w:id="1650859331">
      <w:bodyDiv w:val="1"/>
      <w:marLeft w:val="0"/>
      <w:marRight w:val="0"/>
      <w:marTop w:val="0"/>
      <w:marBottom w:val="0"/>
      <w:divBdr>
        <w:top w:val="none" w:sz="0" w:space="0" w:color="auto"/>
        <w:left w:val="none" w:sz="0" w:space="0" w:color="auto"/>
        <w:bottom w:val="none" w:sz="0" w:space="0" w:color="auto"/>
        <w:right w:val="none" w:sz="0" w:space="0" w:color="auto"/>
      </w:divBdr>
      <w:divsChild>
        <w:div w:id="609582104">
          <w:marLeft w:val="0"/>
          <w:marRight w:val="0"/>
          <w:marTop w:val="0"/>
          <w:marBottom w:val="0"/>
          <w:divBdr>
            <w:top w:val="none" w:sz="0" w:space="0" w:color="auto"/>
            <w:left w:val="none" w:sz="0" w:space="0" w:color="auto"/>
            <w:bottom w:val="none" w:sz="0" w:space="0" w:color="auto"/>
            <w:right w:val="none" w:sz="0" w:space="0" w:color="auto"/>
          </w:divBdr>
        </w:div>
      </w:divsChild>
    </w:div>
    <w:div w:id="1707024805">
      <w:bodyDiv w:val="1"/>
      <w:marLeft w:val="0"/>
      <w:marRight w:val="0"/>
      <w:marTop w:val="0"/>
      <w:marBottom w:val="0"/>
      <w:divBdr>
        <w:top w:val="none" w:sz="0" w:space="0" w:color="auto"/>
        <w:left w:val="none" w:sz="0" w:space="0" w:color="auto"/>
        <w:bottom w:val="none" w:sz="0" w:space="0" w:color="auto"/>
        <w:right w:val="none" w:sz="0" w:space="0" w:color="auto"/>
      </w:divBdr>
      <w:divsChild>
        <w:div w:id="1302417282">
          <w:marLeft w:val="0"/>
          <w:marRight w:val="0"/>
          <w:marTop w:val="0"/>
          <w:marBottom w:val="0"/>
          <w:divBdr>
            <w:top w:val="none" w:sz="0" w:space="0" w:color="auto"/>
            <w:left w:val="none" w:sz="0" w:space="0" w:color="auto"/>
            <w:bottom w:val="none" w:sz="0" w:space="0" w:color="auto"/>
            <w:right w:val="none" w:sz="0" w:space="0" w:color="auto"/>
          </w:divBdr>
        </w:div>
        <w:div w:id="1464421230">
          <w:marLeft w:val="0"/>
          <w:marRight w:val="0"/>
          <w:marTop w:val="0"/>
          <w:marBottom w:val="0"/>
          <w:divBdr>
            <w:top w:val="none" w:sz="0" w:space="0" w:color="auto"/>
            <w:left w:val="none" w:sz="0" w:space="0" w:color="auto"/>
            <w:bottom w:val="none" w:sz="0" w:space="0" w:color="auto"/>
            <w:right w:val="none" w:sz="0" w:space="0" w:color="auto"/>
          </w:divBdr>
        </w:div>
      </w:divsChild>
    </w:div>
    <w:div w:id="1710834684">
      <w:bodyDiv w:val="1"/>
      <w:marLeft w:val="0"/>
      <w:marRight w:val="0"/>
      <w:marTop w:val="0"/>
      <w:marBottom w:val="0"/>
      <w:divBdr>
        <w:top w:val="none" w:sz="0" w:space="0" w:color="auto"/>
        <w:left w:val="none" w:sz="0" w:space="0" w:color="auto"/>
        <w:bottom w:val="none" w:sz="0" w:space="0" w:color="auto"/>
        <w:right w:val="none" w:sz="0" w:space="0" w:color="auto"/>
      </w:divBdr>
      <w:divsChild>
        <w:div w:id="1620646222">
          <w:marLeft w:val="0"/>
          <w:marRight w:val="0"/>
          <w:marTop w:val="0"/>
          <w:marBottom w:val="0"/>
          <w:divBdr>
            <w:top w:val="none" w:sz="0" w:space="0" w:color="auto"/>
            <w:left w:val="none" w:sz="0" w:space="0" w:color="auto"/>
            <w:bottom w:val="none" w:sz="0" w:space="0" w:color="auto"/>
            <w:right w:val="none" w:sz="0" w:space="0" w:color="auto"/>
          </w:divBdr>
        </w:div>
      </w:divsChild>
    </w:div>
    <w:div w:id="1725638369">
      <w:bodyDiv w:val="1"/>
      <w:marLeft w:val="0"/>
      <w:marRight w:val="0"/>
      <w:marTop w:val="0"/>
      <w:marBottom w:val="0"/>
      <w:divBdr>
        <w:top w:val="none" w:sz="0" w:space="0" w:color="auto"/>
        <w:left w:val="none" w:sz="0" w:space="0" w:color="auto"/>
        <w:bottom w:val="none" w:sz="0" w:space="0" w:color="auto"/>
        <w:right w:val="none" w:sz="0" w:space="0" w:color="auto"/>
      </w:divBdr>
      <w:divsChild>
        <w:div w:id="1701206170">
          <w:marLeft w:val="0"/>
          <w:marRight w:val="0"/>
          <w:marTop w:val="0"/>
          <w:marBottom w:val="0"/>
          <w:divBdr>
            <w:top w:val="none" w:sz="0" w:space="0" w:color="auto"/>
            <w:left w:val="none" w:sz="0" w:space="0" w:color="auto"/>
            <w:bottom w:val="none" w:sz="0" w:space="0" w:color="auto"/>
            <w:right w:val="none" w:sz="0" w:space="0" w:color="auto"/>
          </w:divBdr>
        </w:div>
        <w:div w:id="655573235">
          <w:marLeft w:val="0"/>
          <w:marRight w:val="0"/>
          <w:marTop w:val="0"/>
          <w:marBottom w:val="0"/>
          <w:divBdr>
            <w:top w:val="none" w:sz="0" w:space="0" w:color="auto"/>
            <w:left w:val="none" w:sz="0" w:space="0" w:color="auto"/>
            <w:bottom w:val="none" w:sz="0" w:space="0" w:color="auto"/>
            <w:right w:val="none" w:sz="0" w:space="0" w:color="auto"/>
          </w:divBdr>
        </w:div>
        <w:div w:id="1489635151">
          <w:marLeft w:val="0"/>
          <w:marRight w:val="0"/>
          <w:marTop w:val="0"/>
          <w:marBottom w:val="0"/>
          <w:divBdr>
            <w:top w:val="none" w:sz="0" w:space="0" w:color="auto"/>
            <w:left w:val="none" w:sz="0" w:space="0" w:color="auto"/>
            <w:bottom w:val="none" w:sz="0" w:space="0" w:color="auto"/>
            <w:right w:val="none" w:sz="0" w:space="0" w:color="auto"/>
          </w:divBdr>
        </w:div>
      </w:divsChild>
    </w:div>
    <w:div w:id="1726681571">
      <w:bodyDiv w:val="1"/>
      <w:marLeft w:val="0"/>
      <w:marRight w:val="0"/>
      <w:marTop w:val="0"/>
      <w:marBottom w:val="0"/>
      <w:divBdr>
        <w:top w:val="none" w:sz="0" w:space="0" w:color="auto"/>
        <w:left w:val="none" w:sz="0" w:space="0" w:color="auto"/>
        <w:bottom w:val="none" w:sz="0" w:space="0" w:color="auto"/>
        <w:right w:val="none" w:sz="0" w:space="0" w:color="auto"/>
      </w:divBdr>
    </w:div>
    <w:div w:id="1737704970">
      <w:bodyDiv w:val="1"/>
      <w:marLeft w:val="0"/>
      <w:marRight w:val="0"/>
      <w:marTop w:val="0"/>
      <w:marBottom w:val="0"/>
      <w:divBdr>
        <w:top w:val="none" w:sz="0" w:space="0" w:color="auto"/>
        <w:left w:val="none" w:sz="0" w:space="0" w:color="auto"/>
        <w:bottom w:val="none" w:sz="0" w:space="0" w:color="auto"/>
        <w:right w:val="none" w:sz="0" w:space="0" w:color="auto"/>
      </w:divBdr>
      <w:divsChild>
        <w:div w:id="85032301">
          <w:marLeft w:val="0"/>
          <w:marRight w:val="0"/>
          <w:marTop w:val="0"/>
          <w:marBottom w:val="0"/>
          <w:divBdr>
            <w:top w:val="none" w:sz="0" w:space="0" w:color="auto"/>
            <w:left w:val="none" w:sz="0" w:space="0" w:color="auto"/>
            <w:bottom w:val="none" w:sz="0" w:space="0" w:color="auto"/>
            <w:right w:val="none" w:sz="0" w:space="0" w:color="auto"/>
          </w:divBdr>
        </w:div>
        <w:div w:id="1989170247">
          <w:marLeft w:val="0"/>
          <w:marRight w:val="0"/>
          <w:marTop w:val="0"/>
          <w:marBottom w:val="0"/>
          <w:divBdr>
            <w:top w:val="none" w:sz="0" w:space="0" w:color="auto"/>
            <w:left w:val="none" w:sz="0" w:space="0" w:color="auto"/>
            <w:bottom w:val="none" w:sz="0" w:space="0" w:color="auto"/>
            <w:right w:val="none" w:sz="0" w:space="0" w:color="auto"/>
          </w:divBdr>
        </w:div>
        <w:div w:id="1940480709">
          <w:marLeft w:val="0"/>
          <w:marRight w:val="0"/>
          <w:marTop w:val="0"/>
          <w:marBottom w:val="0"/>
          <w:divBdr>
            <w:top w:val="none" w:sz="0" w:space="0" w:color="auto"/>
            <w:left w:val="none" w:sz="0" w:space="0" w:color="auto"/>
            <w:bottom w:val="none" w:sz="0" w:space="0" w:color="auto"/>
            <w:right w:val="none" w:sz="0" w:space="0" w:color="auto"/>
          </w:divBdr>
        </w:div>
        <w:div w:id="1013143366">
          <w:marLeft w:val="0"/>
          <w:marRight w:val="0"/>
          <w:marTop w:val="0"/>
          <w:marBottom w:val="0"/>
          <w:divBdr>
            <w:top w:val="none" w:sz="0" w:space="0" w:color="auto"/>
            <w:left w:val="none" w:sz="0" w:space="0" w:color="auto"/>
            <w:bottom w:val="none" w:sz="0" w:space="0" w:color="auto"/>
            <w:right w:val="none" w:sz="0" w:space="0" w:color="auto"/>
          </w:divBdr>
        </w:div>
        <w:div w:id="1882664349">
          <w:marLeft w:val="0"/>
          <w:marRight w:val="0"/>
          <w:marTop w:val="0"/>
          <w:marBottom w:val="0"/>
          <w:divBdr>
            <w:top w:val="none" w:sz="0" w:space="0" w:color="auto"/>
            <w:left w:val="none" w:sz="0" w:space="0" w:color="auto"/>
            <w:bottom w:val="none" w:sz="0" w:space="0" w:color="auto"/>
            <w:right w:val="none" w:sz="0" w:space="0" w:color="auto"/>
          </w:divBdr>
        </w:div>
        <w:div w:id="20060272">
          <w:marLeft w:val="0"/>
          <w:marRight w:val="0"/>
          <w:marTop w:val="0"/>
          <w:marBottom w:val="0"/>
          <w:divBdr>
            <w:top w:val="none" w:sz="0" w:space="0" w:color="auto"/>
            <w:left w:val="none" w:sz="0" w:space="0" w:color="auto"/>
            <w:bottom w:val="none" w:sz="0" w:space="0" w:color="auto"/>
            <w:right w:val="none" w:sz="0" w:space="0" w:color="auto"/>
          </w:divBdr>
        </w:div>
        <w:div w:id="980764961">
          <w:marLeft w:val="0"/>
          <w:marRight w:val="0"/>
          <w:marTop w:val="0"/>
          <w:marBottom w:val="0"/>
          <w:divBdr>
            <w:top w:val="none" w:sz="0" w:space="0" w:color="auto"/>
            <w:left w:val="none" w:sz="0" w:space="0" w:color="auto"/>
            <w:bottom w:val="none" w:sz="0" w:space="0" w:color="auto"/>
            <w:right w:val="none" w:sz="0" w:space="0" w:color="auto"/>
          </w:divBdr>
        </w:div>
        <w:div w:id="550002269">
          <w:marLeft w:val="0"/>
          <w:marRight w:val="0"/>
          <w:marTop w:val="0"/>
          <w:marBottom w:val="0"/>
          <w:divBdr>
            <w:top w:val="none" w:sz="0" w:space="0" w:color="auto"/>
            <w:left w:val="none" w:sz="0" w:space="0" w:color="auto"/>
            <w:bottom w:val="none" w:sz="0" w:space="0" w:color="auto"/>
            <w:right w:val="none" w:sz="0" w:space="0" w:color="auto"/>
          </w:divBdr>
        </w:div>
        <w:div w:id="843395427">
          <w:marLeft w:val="0"/>
          <w:marRight w:val="0"/>
          <w:marTop w:val="0"/>
          <w:marBottom w:val="0"/>
          <w:divBdr>
            <w:top w:val="none" w:sz="0" w:space="0" w:color="auto"/>
            <w:left w:val="none" w:sz="0" w:space="0" w:color="auto"/>
            <w:bottom w:val="none" w:sz="0" w:space="0" w:color="auto"/>
            <w:right w:val="none" w:sz="0" w:space="0" w:color="auto"/>
          </w:divBdr>
        </w:div>
      </w:divsChild>
    </w:div>
    <w:div w:id="1740978449">
      <w:bodyDiv w:val="1"/>
      <w:marLeft w:val="0"/>
      <w:marRight w:val="0"/>
      <w:marTop w:val="0"/>
      <w:marBottom w:val="0"/>
      <w:divBdr>
        <w:top w:val="none" w:sz="0" w:space="0" w:color="auto"/>
        <w:left w:val="none" w:sz="0" w:space="0" w:color="auto"/>
        <w:bottom w:val="none" w:sz="0" w:space="0" w:color="auto"/>
        <w:right w:val="none" w:sz="0" w:space="0" w:color="auto"/>
      </w:divBdr>
      <w:divsChild>
        <w:div w:id="350567384">
          <w:marLeft w:val="0"/>
          <w:marRight w:val="0"/>
          <w:marTop w:val="0"/>
          <w:marBottom w:val="0"/>
          <w:divBdr>
            <w:top w:val="none" w:sz="0" w:space="0" w:color="auto"/>
            <w:left w:val="none" w:sz="0" w:space="0" w:color="auto"/>
            <w:bottom w:val="none" w:sz="0" w:space="0" w:color="auto"/>
            <w:right w:val="none" w:sz="0" w:space="0" w:color="auto"/>
          </w:divBdr>
        </w:div>
        <w:div w:id="1881669824">
          <w:marLeft w:val="0"/>
          <w:marRight w:val="0"/>
          <w:marTop w:val="0"/>
          <w:marBottom w:val="0"/>
          <w:divBdr>
            <w:top w:val="none" w:sz="0" w:space="0" w:color="auto"/>
            <w:left w:val="none" w:sz="0" w:space="0" w:color="auto"/>
            <w:bottom w:val="none" w:sz="0" w:space="0" w:color="auto"/>
            <w:right w:val="none" w:sz="0" w:space="0" w:color="auto"/>
          </w:divBdr>
        </w:div>
        <w:div w:id="2017808479">
          <w:marLeft w:val="0"/>
          <w:marRight w:val="0"/>
          <w:marTop w:val="0"/>
          <w:marBottom w:val="0"/>
          <w:divBdr>
            <w:top w:val="none" w:sz="0" w:space="0" w:color="auto"/>
            <w:left w:val="none" w:sz="0" w:space="0" w:color="auto"/>
            <w:bottom w:val="none" w:sz="0" w:space="0" w:color="auto"/>
            <w:right w:val="none" w:sz="0" w:space="0" w:color="auto"/>
          </w:divBdr>
          <w:divsChild>
            <w:div w:id="1387954166">
              <w:marLeft w:val="0"/>
              <w:marRight w:val="0"/>
              <w:marTop w:val="120"/>
              <w:marBottom w:val="0"/>
              <w:divBdr>
                <w:top w:val="none" w:sz="0" w:space="0" w:color="auto"/>
                <w:left w:val="none" w:sz="0" w:space="0" w:color="auto"/>
                <w:bottom w:val="none" w:sz="0" w:space="0" w:color="auto"/>
                <w:right w:val="none" w:sz="0" w:space="0" w:color="auto"/>
              </w:divBdr>
              <w:divsChild>
                <w:div w:id="957569569">
                  <w:marLeft w:val="0"/>
                  <w:marRight w:val="0"/>
                  <w:marTop w:val="0"/>
                  <w:marBottom w:val="0"/>
                  <w:divBdr>
                    <w:top w:val="none" w:sz="0" w:space="0" w:color="auto"/>
                    <w:left w:val="none" w:sz="0" w:space="0" w:color="auto"/>
                    <w:bottom w:val="none" w:sz="0" w:space="0" w:color="auto"/>
                    <w:right w:val="none" w:sz="0" w:space="0" w:color="auto"/>
                  </w:divBdr>
                  <w:divsChild>
                    <w:div w:id="249505655">
                      <w:marLeft w:val="0"/>
                      <w:marRight w:val="0"/>
                      <w:marTop w:val="0"/>
                      <w:marBottom w:val="0"/>
                      <w:divBdr>
                        <w:top w:val="none" w:sz="0" w:space="0" w:color="auto"/>
                        <w:left w:val="none" w:sz="0" w:space="0" w:color="auto"/>
                        <w:bottom w:val="none" w:sz="0" w:space="0" w:color="auto"/>
                        <w:right w:val="none" w:sz="0" w:space="0" w:color="auto"/>
                      </w:divBdr>
                      <w:divsChild>
                        <w:div w:id="1082218766">
                          <w:marLeft w:val="0"/>
                          <w:marRight w:val="0"/>
                          <w:marTop w:val="0"/>
                          <w:marBottom w:val="0"/>
                          <w:divBdr>
                            <w:top w:val="none" w:sz="0" w:space="0" w:color="auto"/>
                            <w:left w:val="none" w:sz="0" w:space="0" w:color="auto"/>
                            <w:bottom w:val="none" w:sz="0" w:space="5" w:color="auto"/>
                            <w:right w:val="none" w:sz="0" w:space="0" w:color="auto"/>
                          </w:divBdr>
                          <w:divsChild>
                            <w:div w:id="18091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9136">
                      <w:marLeft w:val="0"/>
                      <w:marRight w:val="0"/>
                      <w:marTop w:val="0"/>
                      <w:marBottom w:val="0"/>
                      <w:divBdr>
                        <w:top w:val="single" w:sz="2" w:space="9" w:color="auto"/>
                        <w:left w:val="single" w:sz="6" w:space="12" w:color="auto"/>
                        <w:bottom w:val="single" w:sz="6" w:space="12" w:color="auto"/>
                        <w:right w:val="single" w:sz="6" w:space="12" w:color="auto"/>
                      </w:divBdr>
                    </w:div>
                  </w:divsChild>
                </w:div>
              </w:divsChild>
            </w:div>
            <w:div w:id="1730572342">
              <w:marLeft w:val="0"/>
              <w:marRight w:val="0"/>
              <w:marTop w:val="0"/>
              <w:marBottom w:val="0"/>
              <w:divBdr>
                <w:top w:val="none" w:sz="0" w:space="0" w:color="auto"/>
                <w:left w:val="none" w:sz="0" w:space="0" w:color="auto"/>
                <w:bottom w:val="none" w:sz="0" w:space="0" w:color="auto"/>
                <w:right w:val="none" w:sz="0" w:space="0" w:color="auto"/>
              </w:divBdr>
              <w:divsChild>
                <w:div w:id="2007049354">
                  <w:marLeft w:val="0"/>
                  <w:marRight w:val="0"/>
                  <w:marTop w:val="0"/>
                  <w:marBottom w:val="0"/>
                  <w:divBdr>
                    <w:top w:val="none" w:sz="0" w:space="0" w:color="auto"/>
                    <w:left w:val="none" w:sz="0" w:space="0" w:color="auto"/>
                    <w:bottom w:val="none" w:sz="0" w:space="0" w:color="auto"/>
                    <w:right w:val="none" w:sz="0" w:space="0" w:color="auto"/>
                  </w:divBdr>
                  <w:divsChild>
                    <w:div w:id="217665738">
                      <w:marLeft w:val="0"/>
                      <w:marRight w:val="0"/>
                      <w:marTop w:val="0"/>
                      <w:marBottom w:val="0"/>
                      <w:divBdr>
                        <w:top w:val="none" w:sz="0" w:space="0" w:color="auto"/>
                        <w:left w:val="none" w:sz="0" w:space="0" w:color="auto"/>
                        <w:bottom w:val="none" w:sz="0" w:space="0" w:color="auto"/>
                        <w:right w:val="none" w:sz="0" w:space="0" w:color="auto"/>
                      </w:divBdr>
                      <w:divsChild>
                        <w:div w:id="1138307226">
                          <w:marLeft w:val="0"/>
                          <w:marRight w:val="0"/>
                          <w:marTop w:val="0"/>
                          <w:marBottom w:val="0"/>
                          <w:divBdr>
                            <w:top w:val="none" w:sz="0" w:space="0" w:color="auto"/>
                            <w:left w:val="none" w:sz="0" w:space="0" w:color="auto"/>
                            <w:bottom w:val="none" w:sz="0" w:space="0" w:color="auto"/>
                            <w:right w:val="none" w:sz="0" w:space="0" w:color="auto"/>
                          </w:divBdr>
                          <w:divsChild>
                            <w:div w:id="80034185">
                              <w:marLeft w:val="0"/>
                              <w:marRight w:val="0"/>
                              <w:marTop w:val="0"/>
                              <w:marBottom w:val="0"/>
                              <w:divBdr>
                                <w:top w:val="none" w:sz="0" w:space="0" w:color="auto"/>
                                <w:left w:val="none" w:sz="0" w:space="0" w:color="auto"/>
                                <w:bottom w:val="none" w:sz="0" w:space="0" w:color="auto"/>
                                <w:right w:val="none" w:sz="0" w:space="0" w:color="auto"/>
                              </w:divBdr>
                              <w:divsChild>
                                <w:div w:id="439227764">
                                  <w:marLeft w:val="0"/>
                                  <w:marRight w:val="0"/>
                                  <w:marTop w:val="0"/>
                                  <w:marBottom w:val="0"/>
                                  <w:divBdr>
                                    <w:top w:val="none" w:sz="0" w:space="0" w:color="auto"/>
                                    <w:left w:val="none" w:sz="0" w:space="0" w:color="auto"/>
                                    <w:bottom w:val="none" w:sz="0" w:space="0" w:color="auto"/>
                                    <w:right w:val="none" w:sz="0" w:space="0" w:color="auto"/>
                                  </w:divBdr>
                                  <w:divsChild>
                                    <w:div w:id="1872257211">
                                      <w:marLeft w:val="0"/>
                                      <w:marRight w:val="0"/>
                                      <w:marTop w:val="0"/>
                                      <w:marBottom w:val="0"/>
                                      <w:divBdr>
                                        <w:top w:val="none" w:sz="0" w:space="0" w:color="auto"/>
                                        <w:left w:val="none" w:sz="0" w:space="0" w:color="auto"/>
                                        <w:bottom w:val="none" w:sz="0" w:space="0" w:color="auto"/>
                                        <w:right w:val="none" w:sz="0" w:space="0" w:color="auto"/>
                                      </w:divBdr>
                                      <w:divsChild>
                                        <w:div w:id="1913929095">
                                          <w:marLeft w:val="0"/>
                                          <w:marRight w:val="0"/>
                                          <w:marTop w:val="0"/>
                                          <w:marBottom w:val="0"/>
                                          <w:divBdr>
                                            <w:top w:val="none" w:sz="0" w:space="0" w:color="auto"/>
                                            <w:left w:val="none" w:sz="0" w:space="0" w:color="auto"/>
                                            <w:bottom w:val="none" w:sz="0" w:space="0" w:color="auto"/>
                                            <w:right w:val="none" w:sz="0" w:space="0" w:color="auto"/>
                                          </w:divBdr>
                                          <w:divsChild>
                                            <w:div w:id="791827788">
                                              <w:marLeft w:val="0"/>
                                              <w:marRight w:val="0"/>
                                              <w:marTop w:val="0"/>
                                              <w:marBottom w:val="0"/>
                                              <w:divBdr>
                                                <w:top w:val="none" w:sz="0" w:space="0" w:color="auto"/>
                                                <w:left w:val="none" w:sz="0" w:space="0" w:color="auto"/>
                                                <w:bottom w:val="none" w:sz="0" w:space="0" w:color="auto"/>
                                                <w:right w:val="none" w:sz="0" w:space="0" w:color="auto"/>
                                              </w:divBdr>
                                              <w:divsChild>
                                                <w:div w:id="1296788689">
                                                  <w:marLeft w:val="0"/>
                                                  <w:marRight w:val="0"/>
                                                  <w:marTop w:val="0"/>
                                                  <w:marBottom w:val="0"/>
                                                  <w:divBdr>
                                                    <w:top w:val="none" w:sz="0" w:space="0" w:color="auto"/>
                                                    <w:left w:val="none" w:sz="0" w:space="0" w:color="auto"/>
                                                    <w:bottom w:val="none" w:sz="0" w:space="0" w:color="auto"/>
                                                    <w:right w:val="none" w:sz="0" w:space="0" w:color="auto"/>
                                                  </w:divBdr>
                                                  <w:divsChild>
                                                    <w:div w:id="350034444">
                                                      <w:marLeft w:val="0"/>
                                                      <w:marRight w:val="0"/>
                                                      <w:marTop w:val="0"/>
                                                      <w:marBottom w:val="0"/>
                                                      <w:divBdr>
                                                        <w:top w:val="none" w:sz="0" w:space="0" w:color="auto"/>
                                                        <w:left w:val="none" w:sz="0" w:space="0" w:color="auto"/>
                                                        <w:bottom w:val="none" w:sz="0" w:space="0" w:color="auto"/>
                                                        <w:right w:val="none" w:sz="0" w:space="0" w:color="auto"/>
                                                      </w:divBdr>
                                                      <w:divsChild>
                                                        <w:div w:id="1215776033">
                                                          <w:marLeft w:val="0"/>
                                                          <w:marRight w:val="0"/>
                                                          <w:marTop w:val="0"/>
                                                          <w:marBottom w:val="0"/>
                                                          <w:divBdr>
                                                            <w:top w:val="none" w:sz="0" w:space="0" w:color="auto"/>
                                                            <w:left w:val="none" w:sz="0" w:space="0" w:color="auto"/>
                                                            <w:bottom w:val="none" w:sz="0" w:space="0" w:color="auto"/>
                                                            <w:right w:val="none" w:sz="0" w:space="0" w:color="auto"/>
                                                          </w:divBdr>
                                                          <w:divsChild>
                                                            <w:div w:id="919947231">
                                                              <w:marLeft w:val="0"/>
                                                              <w:marRight w:val="0"/>
                                                              <w:marTop w:val="180"/>
                                                              <w:marBottom w:val="0"/>
                                                              <w:divBdr>
                                                                <w:top w:val="none" w:sz="0" w:space="0" w:color="auto"/>
                                                                <w:left w:val="none" w:sz="0" w:space="0" w:color="auto"/>
                                                                <w:bottom w:val="none" w:sz="0" w:space="0" w:color="auto"/>
                                                                <w:right w:val="none" w:sz="0" w:space="0" w:color="auto"/>
                                                              </w:divBdr>
                                                              <w:divsChild>
                                                                <w:div w:id="76635042">
                                                                  <w:marLeft w:val="0"/>
                                                                  <w:marRight w:val="0"/>
                                                                  <w:marTop w:val="0"/>
                                                                  <w:marBottom w:val="0"/>
                                                                  <w:divBdr>
                                                                    <w:top w:val="none" w:sz="0" w:space="0" w:color="auto"/>
                                                                    <w:left w:val="none" w:sz="0" w:space="0" w:color="auto"/>
                                                                    <w:bottom w:val="none" w:sz="0" w:space="0" w:color="auto"/>
                                                                    <w:right w:val="none" w:sz="0" w:space="0" w:color="auto"/>
                                                                  </w:divBdr>
                                                                  <w:divsChild>
                                                                    <w:div w:id="2144999749">
                                                                      <w:marLeft w:val="0"/>
                                                                      <w:marRight w:val="0"/>
                                                                      <w:marTop w:val="0"/>
                                                                      <w:marBottom w:val="0"/>
                                                                      <w:divBdr>
                                                                        <w:top w:val="none" w:sz="0" w:space="0" w:color="auto"/>
                                                                        <w:left w:val="none" w:sz="0" w:space="0" w:color="auto"/>
                                                                        <w:bottom w:val="none" w:sz="0" w:space="0" w:color="auto"/>
                                                                        <w:right w:val="none" w:sz="0" w:space="0" w:color="auto"/>
                                                                      </w:divBdr>
                                                                      <w:divsChild>
                                                                        <w:div w:id="698749042">
                                                                          <w:marLeft w:val="0"/>
                                                                          <w:marRight w:val="0"/>
                                                                          <w:marTop w:val="0"/>
                                                                          <w:marBottom w:val="0"/>
                                                                          <w:divBdr>
                                                                            <w:top w:val="none" w:sz="0" w:space="0" w:color="auto"/>
                                                                            <w:left w:val="none" w:sz="0" w:space="0" w:color="auto"/>
                                                                            <w:bottom w:val="none" w:sz="0" w:space="0" w:color="auto"/>
                                                                            <w:right w:val="none" w:sz="0" w:space="0" w:color="auto"/>
                                                                          </w:divBdr>
                                                                          <w:divsChild>
                                                                            <w:div w:id="208273856">
                                                                              <w:marLeft w:val="0"/>
                                                                              <w:marRight w:val="0"/>
                                                                              <w:marTop w:val="0"/>
                                                                              <w:marBottom w:val="0"/>
                                                                              <w:divBdr>
                                                                                <w:top w:val="none" w:sz="0" w:space="0" w:color="auto"/>
                                                                                <w:left w:val="none" w:sz="0" w:space="0" w:color="auto"/>
                                                                                <w:bottom w:val="none" w:sz="0" w:space="0" w:color="auto"/>
                                                                                <w:right w:val="none" w:sz="0" w:space="0" w:color="auto"/>
                                                                              </w:divBdr>
                                                                              <w:divsChild>
                                                                                <w:div w:id="7346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542267">
      <w:bodyDiv w:val="1"/>
      <w:marLeft w:val="0"/>
      <w:marRight w:val="0"/>
      <w:marTop w:val="0"/>
      <w:marBottom w:val="0"/>
      <w:divBdr>
        <w:top w:val="none" w:sz="0" w:space="0" w:color="auto"/>
        <w:left w:val="none" w:sz="0" w:space="0" w:color="auto"/>
        <w:bottom w:val="none" w:sz="0" w:space="0" w:color="auto"/>
        <w:right w:val="none" w:sz="0" w:space="0" w:color="auto"/>
      </w:divBdr>
      <w:divsChild>
        <w:div w:id="173040330">
          <w:marLeft w:val="0"/>
          <w:marRight w:val="0"/>
          <w:marTop w:val="0"/>
          <w:marBottom w:val="0"/>
          <w:divBdr>
            <w:top w:val="none" w:sz="0" w:space="0" w:color="auto"/>
            <w:left w:val="none" w:sz="0" w:space="0" w:color="auto"/>
            <w:bottom w:val="none" w:sz="0" w:space="0" w:color="auto"/>
            <w:right w:val="none" w:sz="0" w:space="0" w:color="auto"/>
          </w:divBdr>
        </w:div>
      </w:divsChild>
    </w:div>
    <w:div w:id="1788504181">
      <w:bodyDiv w:val="1"/>
      <w:marLeft w:val="0"/>
      <w:marRight w:val="0"/>
      <w:marTop w:val="0"/>
      <w:marBottom w:val="0"/>
      <w:divBdr>
        <w:top w:val="none" w:sz="0" w:space="0" w:color="auto"/>
        <w:left w:val="none" w:sz="0" w:space="0" w:color="auto"/>
        <w:bottom w:val="none" w:sz="0" w:space="0" w:color="auto"/>
        <w:right w:val="none" w:sz="0" w:space="0" w:color="auto"/>
      </w:divBdr>
      <w:divsChild>
        <w:div w:id="1223909364">
          <w:marLeft w:val="0"/>
          <w:marRight w:val="0"/>
          <w:marTop w:val="0"/>
          <w:marBottom w:val="0"/>
          <w:divBdr>
            <w:top w:val="none" w:sz="0" w:space="0" w:color="auto"/>
            <w:left w:val="none" w:sz="0" w:space="0" w:color="auto"/>
            <w:bottom w:val="none" w:sz="0" w:space="0" w:color="auto"/>
            <w:right w:val="none" w:sz="0" w:space="0" w:color="auto"/>
          </w:divBdr>
        </w:div>
        <w:div w:id="1239435530">
          <w:marLeft w:val="0"/>
          <w:marRight w:val="0"/>
          <w:marTop w:val="0"/>
          <w:marBottom w:val="0"/>
          <w:divBdr>
            <w:top w:val="none" w:sz="0" w:space="0" w:color="auto"/>
            <w:left w:val="none" w:sz="0" w:space="0" w:color="auto"/>
            <w:bottom w:val="none" w:sz="0" w:space="0" w:color="auto"/>
            <w:right w:val="none" w:sz="0" w:space="0" w:color="auto"/>
          </w:divBdr>
        </w:div>
        <w:div w:id="351763692">
          <w:marLeft w:val="0"/>
          <w:marRight w:val="0"/>
          <w:marTop w:val="0"/>
          <w:marBottom w:val="0"/>
          <w:divBdr>
            <w:top w:val="none" w:sz="0" w:space="0" w:color="auto"/>
            <w:left w:val="none" w:sz="0" w:space="0" w:color="auto"/>
            <w:bottom w:val="none" w:sz="0" w:space="0" w:color="auto"/>
            <w:right w:val="none" w:sz="0" w:space="0" w:color="auto"/>
          </w:divBdr>
        </w:div>
        <w:div w:id="902330759">
          <w:marLeft w:val="0"/>
          <w:marRight w:val="0"/>
          <w:marTop w:val="0"/>
          <w:marBottom w:val="0"/>
          <w:divBdr>
            <w:top w:val="none" w:sz="0" w:space="0" w:color="auto"/>
            <w:left w:val="none" w:sz="0" w:space="0" w:color="auto"/>
            <w:bottom w:val="none" w:sz="0" w:space="0" w:color="auto"/>
            <w:right w:val="none" w:sz="0" w:space="0" w:color="auto"/>
          </w:divBdr>
        </w:div>
        <w:div w:id="881406737">
          <w:marLeft w:val="0"/>
          <w:marRight w:val="0"/>
          <w:marTop w:val="0"/>
          <w:marBottom w:val="0"/>
          <w:divBdr>
            <w:top w:val="none" w:sz="0" w:space="0" w:color="auto"/>
            <w:left w:val="none" w:sz="0" w:space="0" w:color="auto"/>
            <w:bottom w:val="none" w:sz="0" w:space="0" w:color="auto"/>
            <w:right w:val="none" w:sz="0" w:space="0" w:color="auto"/>
          </w:divBdr>
        </w:div>
        <w:div w:id="2055613974">
          <w:marLeft w:val="0"/>
          <w:marRight w:val="0"/>
          <w:marTop w:val="0"/>
          <w:marBottom w:val="0"/>
          <w:divBdr>
            <w:top w:val="none" w:sz="0" w:space="0" w:color="auto"/>
            <w:left w:val="none" w:sz="0" w:space="0" w:color="auto"/>
            <w:bottom w:val="none" w:sz="0" w:space="0" w:color="auto"/>
            <w:right w:val="none" w:sz="0" w:space="0" w:color="auto"/>
          </w:divBdr>
        </w:div>
        <w:div w:id="401484724">
          <w:marLeft w:val="0"/>
          <w:marRight w:val="0"/>
          <w:marTop w:val="0"/>
          <w:marBottom w:val="0"/>
          <w:divBdr>
            <w:top w:val="none" w:sz="0" w:space="0" w:color="auto"/>
            <w:left w:val="none" w:sz="0" w:space="0" w:color="auto"/>
            <w:bottom w:val="none" w:sz="0" w:space="0" w:color="auto"/>
            <w:right w:val="none" w:sz="0" w:space="0" w:color="auto"/>
          </w:divBdr>
        </w:div>
        <w:div w:id="1991396870">
          <w:marLeft w:val="0"/>
          <w:marRight w:val="0"/>
          <w:marTop w:val="0"/>
          <w:marBottom w:val="0"/>
          <w:divBdr>
            <w:top w:val="none" w:sz="0" w:space="0" w:color="auto"/>
            <w:left w:val="none" w:sz="0" w:space="0" w:color="auto"/>
            <w:bottom w:val="none" w:sz="0" w:space="0" w:color="auto"/>
            <w:right w:val="none" w:sz="0" w:space="0" w:color="auto"/>
          </w:divBdr>
        </w:div>
      </w:divsChild>
    </w:div>
    <w:div w:id="1801485809">
      <w:bodyDiv w:val="1"/>
      <w:marLeft w:val="0"/>
      <w:marRight w:val="0"/>
      <w:marTop w:val="0"/>
      <w:marBottom w:val="0"/>
      <w:divBdr>
        <w:top w:val="none" w:sz="0" w:space="0" w:color="auto"/>
        <w:left w:val="none" w:sz="0" w:space="0" w:color="auto"/>
        <w:bottom w:val="none" w:sz="0" w:space="0" w:color="auto"/>
        <w:right w:val="none" w:sz="0" w:space="0" w:color="auto"/>
      </w:divBdr>
      <w:divsChild>
        <w:div w:id="749080025">
          <w:marLeft w:val="0"/>
          <w:marRight w:val="0"/>
          <w:marTop w:val="0"/>
          <w:marBottom w:val="0"/>
          <w:divBdr>
            <w:top w:val="none" w:sz="0" w:space="0" w:color="auto"/>
            <w:left w:val="none" w:sz="0" w:space="0" w:color="auto"/>
            <w:bottom w:val="none" w:sz="0" w:space="0" w:color="auto"/>
            <w:right w:val="none" w:sz="0" w:space="0" w:color="auto"/>
          </w:divBdr>
        </w:div>
        <w:div w:id="1480029922">
          <w:marLeft w:val="0"/>
          <w:marRight w:val="0"/>
          <w:marTop w:val="0"/>
          <w:marBottom w:val="0"/>
          <w:divBdr>
            <w:top w:val="none" w:sz="0" w:space="0" w:color="auto"/>
            <w:left w:val="none" w:sz="0" w:space="0" w:color="auto"/>
            <w:bottom w:val="none" w:sz="0" w:space="0" w:color="auto"/>
            <w:right w:val="none" w:sz="0" w:space="0" w:color="auto"/>
          </w:divBdr>
        </w:div>
        <w:div w:id="1980188406">
          <w:marLeft w:val="0"/>
          <w:marRight w:val="0"/>
          <w:marTop w:val="0"/>
          <w:marBottom w:val="0"/>
          <w:divBdr>
            <w:top w:val="none" w:sz="0" w:space="0" w:color="auto"/>
            <w:left w:val="none" w:sz="0" w:space="0" w:color="auto"/>
            <w:bottom w:val="none" w:sz="0" w:space="0" w:color="auto"/>
            <w:right w:val="none" w:sz="0" w:space="0" w:color="auto"/>
          </w:divBdr>
        </w:div>
        <w:div w:id="1634942860">
          <w:marLeft w:val="0"/>
          <w:marRight w:val="0"/>
          <w:marTop w:val="0"/>
          <w:marBottom w:val="0"/>
          <w:divBdr>
            <w:top w:val="none" w:sz="0" w:space="0" w:color="auto"/>
            <w:left w:val="none" w:sz="0" w:space="0" w:color="auto"/>
            <w:bottom w:val="none" w:sz="0" w:space="0" w:color="auto"/>
            <w:right w:val="none" w:sz="0" w:space="0" w:color="auto"/>
          </w:divBdr>
        </w:div>
        <w:div w:id="1867325817">
          <w:marLeft w:val="0"/>
          <w:marRight w:val="0"/>
          <w:marTop w:val="0"/>
          <w:marBottom w:val="0"/>
          <w:divBdr>
            <w:top w:val="none" w:sz="0" w:space="0" w:color="auto"/>
            <w:left w:val="none" w:sz="0" w:space="0" w:color="auto"/>
            <w:bottom w:val="none" w:sz="0" w:space="0" w:color="auto"/>
            <w:right w:val="none" w:sz="0" w:space="0" w:color="auto"/>
          </w:divBdr>
        </w:div>
        <w:div w:id="1099640232">
          <w:marLeft w:val="0"/>
          <w:marRight w:val="0"/>
          <w:marTop w:val="0"/>
          <w:marBottom w:val="0"/>
          <w:divBdr>
            <w:top w:val="none" w:sz="0" w:space="0" w:color="auto"/>
            <w:left w:val="none" w:sz="0" w:space="0" w:color="auto"/>
            <w:bottom w:val="none" w:sz="0" w:space="0" w:color="auto"/>
            <w:right w:val="none" w:sz="0" w:space="0" w:color="auto"/>
          </w:divBdr>
        </w:div>
        <w:div w:id="348021228">
          <w:marLeft w:val="0"/>
          <w:marRight w:val="0"/>
          <w:marTop w:val="0"/>
          <w:marBottom w:val="0"/>
          <w:divBdr>
            <w:top w:val="none" w:sz="0" w:space="0" w:color="auto"/>
            <w:left w:val="none" w:sz="0" w:space="0" w:color="auto"/>
            <w:bottom w:val="none" w:sz="0" w:space="0" w:color="auto"/>
            <w:right w:val="none" w:sz="0" w:space="0" w:color="auto"/>
          </w:divBdr>
        </w:div>
        <w:div w:id="1305159655">
          <w:marLeft w:val="0"/>
          <w:marRight w:val="0"/>
          <w:marTop w:val="0"/>
          <w:marBottom w:val="0"/>
          <w:divBdr>
            <w:top w:val="none" w:sz="0" w:space="0" w:color="auto"/>
            <w:left w:val="none" w:sz="0" w:space="0" w:color="auto"/>
            <w:bottom w:val="none" w:sz="0" w:space="0" w:color="auto"/>
            <w:right w:val="none" w:sz="0" w:space="0" w:color="auto"/>
          </w:divBdr>
        </w:div>
      </w:divsChild>
    </w:div>
    <w:div w:id="1847598356">
      <w:bodyDiv w:val="1"/>
      <w:marLeft w:val="0"/>
      <w:marRight w:val="0"/>
      <w:marTop w:val="0"/>
      <w:marBottom w:val="0"/>
      <w:divBdr>
        <w:top w:val="none" w:sz="0" w:space="0" w:color="auto"/>
        <w:left w:val="none" w:sz="0" w:space="0" w:color="auto"/>
        <w:bottom w:val="none" w:sz="0" w:space="0" w:color="auto"/>
        <w:right w:val="none" w:sz="0" w:space="0" w:color="auto"/>
      </w:divBdr>
    </w:div>
    <w:div w:id="1893543734">
      <w:bodyDiv w:val="1"/>
      <w:marLeft w:val="0"/>
      <w:marRight w:val="0"/>
      <w:marTop w:val="0"/>
      <w:marBottom w:val="0"/>
      <w:divBdr>
        <w:top w:val="none" w:sz="0" w:space="0" w:color="auto"/>
        <w:left w:val="none" w:sz="0" w:space="0" w:color="auto"/>
        <w:bottom w:val="none" w:sz="0" w:space="0" w:color="auto"/>
        <w:right w:val="none" w:sz="0" w:space="0" w:color="auto"/>
      </w:divBdr>
      <w:divsChild>
        <w:div w:id="1287157728">
          <w:marLeft w:val="0"/>
          <w:marRight w:val="0"/>
          <w:marTop w:val="0"/>
          <w:marBottom w:val="0"/>
          <w:divBdr>
            <w:top w:val="none" w:sz="0" w:space="0" w:color="auto"/>
            <w:left w:val="none" w:sz="0" w:space="0" w:color="auto"/>
            <w:bottom w:val="none" w:sz="0" w:space="0" w:color="auto"/>
            <w:right w:val="none" w:sz="0" w:space="0" w:color="auto"/>
          </w:divBdr>
        </w:div>
        <w:div w:id="1481531613">
          <w:marLeft w:val="0"/>
          <w:marRight w:val="0"/>
          <w:marTop w:val="0"/>
          <w:marBottom w:val="0"/>
          <w:divBdr>
            <w:top w:val="none" w:sz="0" w:space="0" w:color="auto"/>
            <w:left w:val="none" w:sz="0" w:space="0" w:color="auto"/>
            <w:bottom w:val="none" w:sz="0" w:space="0" w:color="auto"/>
            <w:right w:val="none" w:sz="0" w:space="0" w:color="auto"/>
          </w:divBdr>
        </w:div>
      </w:divsChild>
    </w:div>
    <w:div w:id="1900436265">
      <w:bodyDiv w:val="1"/>
      <w:marLeft w:val="0"/>
      <w:marRight w:val="0"/>
      <w:marTop w:val="0"/>
      <w:marBottom w:val="0"/>
      <w:divBdr>
        <w:top w:val="none" w:sz="0" w:space="0" w:color="auto"/>
        <w:left w:val="none" w:sz="0" w:space="0" w:color="auto"/>
        <w:bottom w:val="none" w:sz="0" w:space="0" w:color="auto"/>
        <w:right w:val="none" w:sz="0" w:space="0" w:color="auto"/>
      </w:divBdr>
      <w:divsChild>
        <w:div w:id="79645139">
          <w:marLeft w:val="0"/>
          <w:marRight w:val="0"/>
          <w:marTop w:val="0"/>
          <w:marBottom w:val="0"/>
          <w:divBdr>
            <w:top w:val="none" w:sz="0" w:space="0" w:color="auto"/>
            <w:left w:val="none" w:sz="0" w:space="0" w:color="auto"/>
            <w:bottom w:val="none" w:sz="0" w:space="0" w:color="auto"/>
            <w:right w:val="none" w:sz="0" w:space="0" w:color="auto"/>
          </w:divBdr>
        </w:div>
        <w:div w:id="1121538660">
          <w:marLeft w:val="0"/>
          <w:marRight w:val="0"/>
          <w:marTop w:val="0"/>
          <w:marBottom w:val="0"/>
          <w:divBdr>
            <w:top w:val="none" w:sz="0" w:space="0" w:color="auto"/>
            <w:left w:val="none" w:sz="0" w:space="0" w:color="auto"/>
            <w:bottom w:val="none" w:sz="0" w:space="0" w:color="auto"/>
            <w:right w:val="none" w:sz="0" w:space="0" w:color="auto"/>
          </w:divBdr>
        </w:div>
      </w:divsChild>
    </w:div>
    <w:div w:id="1993024795">
      <w:bodyDiv w:val="1"/>
      <w:marLeft w:val="0"/>
      <w:marRight w:val="0"/>
      <w:marTop w:val="0"/>
      <w:marBottom w:val="0"/>
      <w:divBdr>
        <w:top w:val="none" w:sz="0" w:space="0" w:color="auto"/>
        <w:left w:val="none" w:sz="0" w:space="0" w:color="auto"/>
        <w:bottom w:val="none" w:sz="0" w:space="0" w:color="auto"/>
        <w:right w:val="none" w:sz="0" w:space="0" w:color="auto"/>
      </w:divBdr>
      <w:divsChild>
        <w:div w:id="537743572">
          <w:marLeft w:val="0"/>
          <w:marRight w:val="0"/>
          <w:marTop w:val="0"/>
          <w:marBottom w:val="0"/>
          <w:divBdr>
            <w:top w:val="none" w:sz="0" w:space="0" w:color="auto"/>
            <w:left w:val="none" w:sz="0" w:space="0" w:color="auto"/>
            <w:bottom w:val="none" w:sz="0" w:space="0" w:color="auto"/>
            <w:right w:val="none" w:sz="0" w:space="0" w:color="auto"/>
          </w:divBdr>
        </w:div>
        <w:div w:id="2119399453">
          <w:marLeft w:val="0"/>
          <w:marRight w:val="0"/>
          <w:marTop w:val="0"/>
          <w:marBottom w:val="0"/>
          <w:divBdr>
            <w:top w:val="none" w:sz="0" w:space="0" w:color="auto"/>
            <w:left w:val="none" w:sz="0" w:space="0" w:color="auto"/>
            <w:bottom w:val="none" w:sz="0" w:space="0" w:color="auto"/>
            <w:right w:val="none" w:sz="0" w:space="0" w:color="auto"/>
          </w:divBdr>
        </w:div>
        <w:div w:id="341975045">
          <w:marLeft w:val="0"/>
          <w:marRight w:val="0"/>
          <w:marTop w:val="0"/>
          <w:marBottom w:val="0"/>
          <w:divBdr>
            <w:top w:val="none" w:sz="0" w:space="0" w:color="auto"/>
            <w:left w:val="none" w:sz="0" w:space="0" w:color="auto"/>
            <w:bottom w:val="none" w:sz="0" w:space="0" w:color="auto"/>
            <w:right w:val="none" w:sz="0" w:space="0" w:color="auto"/>
          </w:divBdr>
        </w:div>
        <w:div w:id="1990746280">
          <w:marLeft w:val="0"/>
          <w:marRight w:val="0"/>
          <w:marTop w:val="0"/>
          <w:marBottom w:val="0"/>
          <w:divBdr>
            <w:top w:val="none" w:sz="0" w:space="0" w:color="auto"/>
            <w:left w:val="none" w:sz="0" w:space="0" w:color="auto"/>
            <w:bottom w:val="none" w:sz="0" w:space="0" w:color="auto"/>
            <w:right w:val="none" w:sz="0" w:space="0" w:color="auto"/>
          </w:divBdr>
        </w:div>
        <w:div w:id="1139304612">
          <w:marLeft w:val="0"/>
          <w:marRight w:val="0"/>
          <w:marTop w:val="0"/>
          <w:marBottom w:val="0"/>
          <w:divBdr>
            <w:top w:val="none" w:sz="0" w:space="0" w:color="auto"/>
            <w:left w:val="none" w:sz="0" w:space="0" w:color="auto"/>
            <w:bottom w:val="none" w:sz="0" w:space="0" w:color="auto"/>
            <w:right w:val="none" w:sz="0" w:space="0" w:color="auto"/>
          </w:divBdr>
        </w:div>
        <w:div w:id="1883901741">
          <w:marLeft w:val="0"/>
          <w:marRight w:val="0"/>
          <w:marTop w:val="0"/>
          <w:marBottom w:val="0"/>
          <w:divBdr>
            <w:top w:val="none" w:sz="0" w:space="0" w:color="auto"/>
            <w:left w:val="none" w:sz="0" w:space="0" w:color="auto"/>
            <w:bottom w:val="none" w:sz="0" w:space="0" w:color="auto"/>
            <w:right w:val="none" w:sz="0" w:space="0" w:color="auto"/>
          </w:divBdr>
        </w:div>
        <w:div w:id="874856025">
          <w:marLeft w:val="0"/>
          <w:marRight w:val="0"/>
          <w:marTop w:val="0"/>
          <w:marBottom w:val="0"/>
          <w:divBdr>
            <w:top w:val="none" w:sz="0" w:space="0" w:color="auto"/>
            <w:left w:val="none" w:sz="0" w:space="0" w:color="auto"/>
            <w:bottom w:val="none" w:sz="0" w:space="0" w:color="auto"/>
            <w:right w:val="none" w:sz="0" w:space="0" w:color="auto"/>
          </w:divBdr>
        </w:div>
      </w:divsChild>
    </w:div>
    <w:div w:id="1997802681">
      <w:bodyDiv w:val="1"/>
      <w:marLeft w:val="0"/>
      <w:marRight w:val="0"/>
      <w:marTop w:val="0"/>
      <w:marBottom w:val="0"/>
      <w:divBdr>
        <w:top w:val="none" w:sz="0" w:space="0" w:color="auto"/>
        <w:left w:val="none" w:sz="0" w:space="0" w:color="auto"/>
        <w:bottom w:val="none" w:sz="0" w:space="0" w:color="auto"/>
        <w:right w:val="none" w:sz="0" w:space="0" w:color="auto"/>
      </w:divBdr>
      <w:divsChild>
        <w:div w:id="1549147147">
          <w:marLeft w:val="0"/>
          <w:marRight w:val="0"/>
          <w:marTop w:val="0"/>
          <w:marBottom w:val="0"/>
          <w:divBdr>
            <w:top w:val="none" w:sz="0" w:space="0" w:color="auto"/>
            <w:left w:val="none" w:sz="0" w:space="0" w:color="auto"/>
            <w:bottom w:val="none" w:sz="0" w:space="0" w:color="auto"/>
            <w:right w:val="none" w:sz="0" w:space="0" w:color="auto"/>
          </w:divBdr>
        </w:div>
      </w:divsChild>
    </w:div>
    <w:div w:id="2020349617">
      <w:bodyDiv w:val="1"/>
      <w:marLeft w:val="0"/>
      <w:marRight w:val="0"/>
      <w:marTop w:val="0"/>
      <w:marBottom w:val="0"/>
      <w:divBdr>
        <w:top w:val="none" w:sz="0" w:space="0" w:color="auto"/>
        <w:left w:val="none" w:sz="0" w:space="0" w:color="auto"/>
        <w:bottom w:val="none" w:sz="0" w:space="0" w:color="auto"/>
        <w:right w:val="none" w:sz="0" w:space="0" w:color="auto"/>
      </w:divBdr>
      <w:divsChild>
        <w:div w:id="1310205720">
          <w:marLeft w:val="0"/>
          <w:marRight w:val="0"/>
          <w:marTop w:val="0"/>
          <w:marBottom w:val="0"/>
          <w:divBdr>
            <w:top w:val="none" w:sz="0" w:space="0" w:color="auto"/>
            <w:left w:val="none" w:sz="0" w:space="0" w:color="auto"/>
            <w:bottom w:val="none" w:sz="0" w:space="0" w:color="auto"/>
            <w:right w:val="none" w:sz="0" w:space="0" w:color="auto"/>
          </w:divBdr>
        </w:div>
      </w:divsChild>
    </w:div>
    <w:div w:id="2036031445">
      <w:bodyDiv w:val="1"/>
      <w:marLeft w:val="0"/>
      <w:marRight w:val="0"/>
      <w:marTop w:val="0"/>
      <w:marBottom w:val="0"/>
      <w:divBdr>
        <w:top w:val="none" w:sz="0" w:space="0" w:color="auto"/>
        <w:left w:val="none" w:sz="0" w:space="0" w:color="auto"/>
        <w:bottom w:val="none" w:sz="0" w:space="0" w:color="auto"/>
        <w:right w:val="none" w:sz="0" w:space="0" w:color="auto"/>
      </w:divBdr>
    </w:div>
    <w:div w:id="2041472231">
      <w:bodyDiv w:val="1"/>
      <w:marLeft w:val="0"/>
      <w:marRight w:val="0"/>
      <w:marTop w:val="0"/>
      <w:marBottom w:val="0"/>
      <w:divBdr>
        <w:top w:val="none" w:sz="0" w:space="0" w:color="auto"/>
        <w:left w:val="none" w:sz="0" w:space="0" w:color="auto"/>
        <w:bottom w:val="none" w:sz="0" w:space="0" w:color="auto"/>
        <w:right w:val="none" w:sz="0" w:space="0" w:color="auto"/>
      </w:divBdr>
      <w:divsChild>
        <w:div w:id="1996371882">
          <w:marLeft w:val="0"/>
          <w:marRight w:val="0"/>
          <w:marTop w:val="0"/>
          <w:marBottom w:val="0"/>
          <w:divBdr>
            <w:top w:val="none" w:sz="0" w:space="0" w:color="auto"/>
            <w:left w:val="none" w:sz="0" w:space="0" w:color="auto"/>
            <w:bottom w:val="none" w:sz="0" w:space="0" w:color="auto"/>
            <w:right w:val="none" w:sz="0" w:space="0" w:color="auto"/>
          </w:divBdr>
        </w:div>
        <w:div w:id="118768381">
          <w:marLeft w:val="0"/>
          <w:marRight w:val="0"/>
          <w:marTop w:val="0"/>
          <w:marBottom w:val="0"/>
          <w:divBdr>
            <w:top w:val="none" w:sz="0" w:space="0" w:color="auto"/>
            <w:left w:val="none" w:sz="0" w:space="0" w:color="auto"/>
            <w:bottom w:val="none" w:sz="0" w:space="0" w:color="auto"/>
            <w:right w:val="none" w:sz="0" w:space="0" w:color="auto"/>
          </w:divBdr>
        </w:div>
        <w:div w:id="1890259046">
          <w:marLeft w:val="0"/>
          <w:marRight w:val="0"/>
          <w:marTop w:val="0"/>
          <w:marBottom w:val="0"/>
          <w:divBdr>
            <w:top w:val="none" w:sz="0" w:space="0" w:color="auto"/>
            <w:left w:val="none" w:sz="0" w:space="0" w:color="auto"/>
            <w:bottom w:val="none" w:sz="0" w:space="0" w:color="auto"/>
            <w:right w:val="none" w:sz="0" w:space="0" w:color="auto"/>
          </w:divBdr>
        </w:div>
        <w:div w:id="780732649">
          <w:marLeft w:val="0"/>
          <w:marRight w:val="0"/>
          <w:marTop w:val="0"/>
          <w:marBottom w:val="0"/>
          <w:divBdr>
            <w:top w:val="none" w:sz="0" w:space="0" w:color="auto"/>
            <w:left w:val="none" w:sz="0" w:space="0" w:color="auto"/>
            <w:bottom w:val="none" w:sz="0" w:space="0" w:color="auto"/>
            <w:right w:val="none" w:sz="0" w:space="0" w:color="auto"/>
          </w:divBdr>
        </w:div>
        <w:div w:id="1659261640">
          <w:marLeft w:val="0"/>
          <w:marRight w:val="0"/>
          <w:marTop w:val="0"/>
          <w:marBottom w:val="0"/>
          <w:divBdr>
            <w:top w:val="none" w:sz="0" w:space="0" w:color="auto"/>
            <w:left w:val="none" w:sz="0" w:space="0" w:color="auto"/>
            <w:bottom w:val="none" w:sz="0" w:space="0" w:color="auto"/>
            <w:right w:val="none" w:sz="0" w:space="0" w:color="auto"/>
          </w:divBdr>
        </w:div>
        <w:div w:id="1762796900">
          <w:marLeft w:val="0"/>
          <w:marRight w:val="0"/>
          <w:marTop w:val="0"/>
          <w:marBottom w:val="0"/>
          <w:divBdr>
            <w:top w:val="none" w:sz="0" w:space="0" w:color="auto"/>
            <w:left w:val="none" w:sz="0" w:space="0" w:color="auto"/>
            <w:bottom w:val="none" w:sz="0" w:space="0" w:color="auto"/>
            <w:right w:val="none" w:sz="0" w:space="0" w:color="auto"/>
          </w:divBdr>
        </w:div>
        <w:div w:id="80683235">
          <w:marLeft w:val="0"/>
          <w:marRight w:val="0"/>
          <w:marTop w:val="0"/>
          <w:marBottom w:val="0"/>
          <w:divBdr>
            <w:top w:val="none" w:sz="0" w:space="0" w:color="auto"/>
            <w:left w:val="none" w:sz="0" w:space="0" w:color="auto"/>
            <w:bottom w:val="none" w:sz="0" w:space="0" w:color="auto"/>
            <w:right w:val="none" w:sz="0" w:space="0" w:color="auto"/>
          </w:divBdr>
        </w:div>
        <w:div w:id="971640059">
          <w:marLeft w:val="0"/>
          <w:marRight w:val="0"/>
          <w:marTop w:val="0"/>
          <w:marBottom w:val="0"/>
          <w:divBdr>
            <w:top w:val="none" w:sz="0" w:space="0" w:color="auto"/>
            <w:left w:val="none" w:sz="0" w:space="0" w:color="auto"/>
            <w:bottom w:val="none" w:sz="0" w:space="0" w:color="auto"/>
            <w:right w:val="none" w:sz="0" w:space="0" w:color="auto"/>
          </w:divBdr>
        </w:div>
        <w:div w:id="155461966">
          <w:marLeft w:val="0"/>
          <w:marRight w:val="0"/>
          <w:marTop w:val="0"/>
          <w:marBottom w:val="0"/>
          <w:divBdr>
            <w:top w:val="none" w:sz="0" w:space="0" w:color="auto"/>
            <w:left w:val="none" w:sz="0" w:space="0" w:color="auto"/>
            <w:bottom w:val="none" w:sz="0" w:space="0" w:color="auto"/>
            <w:right w:val="none" w:sz="0" w:space="0" w:color="auto"/>
          </w:divBdr>
        </w:div>
        <w:div w:id="717313792">
          <w:marLeft w:val="0"/>
          <w:marRight w:val="0"/>
          <w:marTop w:val="0"/>
          <w:marBottom w:val="0"/>
          <w:divBdr>
            <w:top w:val="none" w:sz="0" w:space="0" w:color="auto"/>
            <w:left w:val="none" w:sz="0" w:space="0" w:color="auto"/>
            <w:bottom w:val="none" w:sz="0" w:space="0" w:color="auto"/>
            <w:right w:val="none" w:sz="0" w:space="0" w:color="auto"/>
          </w:divBdr>
        </w:div>
        <w:div w:id="1148546846">
          <w:marLeft w:val="0"/>
          <w:marRight w:val="0"/>
          <w:marTop w:val="0"/>
          <w:marBottom w:val="0"/>
          <w:divBdr>
            <w:top w:val="none" w:sz="0" w:space="0" w:color="auto"/>
            <w:left w:val="none" w:sz="0" w:space="0" w:color="auto"/>
            <w:bottom w:val="none" w:sz="0" w:space="0" w:color="auto"/>
            <w:right w:val="none" w:sz="0" w:space="0" w:color="auto"/>
          </w:divBdr>
        </w:div>
      </w:divsChild>
    </w:div>
    <w:div w:id="2089962689">
      <w:bodyDiv w:val="1"/>
      <w:marLeft w:val="0"/>
      <w:marRight w:val="0"/>
      <w:marTop w:val="0"/>
      <w:marBottom w:val="0"/>
      <w:divBdr>
        <w:top w:val="none" w:sz="0" w:space="0" w:color="auto"/>
        <w:left w:val="none" w:sz="0" w:space="0" w:color="auto"/>
        <w:bottom w:val="none" w:sz="0" w:space="0" w:color="auto"/>
        <w:right w:val="none" w:sz="0" w:space="0" w:color="auto"/>
      </w:divBdr>
      <w:divsChild>
        <w:div w:id="856846541">
          <w:marLeft w:val="0"/>
          <w:marRight w:val="0"/>
          <w:marTop w:val="0"/>
          <w:marBottom w:val="0"/>
          <w:divBdr>
            <w:top w:val="none" w:sz="0" w:space="0" w:color="auto"/>
            <w:left w:val="none" w:sz="0" w:space="0" w:color="auto"/>
            <w:bottom w:val="none" w:sz="0" w:space="0" w:color="auto"/>
            <w:right w:val="none" w:sz="0" w:space="0" w:color="auto"/>
          </w:divBdr>
        </w:div>
        <w:div w:id="550575253">
          <w:marLeft w:val="0"/>
          <w:marRight w:val="0"/>
          <w:marTop w:val="0"/>
          <w:marBottom w:val="0"/>
          <w:divBdr>
            <w:top w:val="none" w:sz="0" w:space="0" w:color="auto"/>
            <w:left w:val="none" w:sz="0" w:space="0" w:color="auto"/>
            <w:bottom w:val="none" w:sz="0" w:space="0" w:color="auto"/>
            <w:right w:val="none" w:sz="0" w:space="0" w:color="auto"/>
          </w:divBdr>
        </w:div>
        <w:div w:id="164370993">
          <w:marLeft w:val="0"/>
          <w:marRight w:val="0"/>
          <w:marTop w:val="0"/>
          <w:marBottom w:val="0"/>
          <w:divBdr>
            <w:top w:val="none" w:sz="0" w:space="0" w:color="auto"/>
            <w:left w:val="none" w:sz="0" w:space="0" w:color="auto"/>
            <w:bottom w:val="none" w:sz="0" w:space="0" w:color="auto"/>
            <w:right w:val="none" w:sz="0" w:space="0" w:color="auto"/>
          </w:divBdr>
        </w:div>
        <w:div w:id="910164717">
          <w:marLeft w:val="0"/>
          <w:marRight w:val="0"/>
          <w:marTop w:val="0"/>
          <w:marBottom w:val="0"/>
          <w:divBdr>
            <w:top w:val="none" w:sz="0" w:space="0" w:color="auto"/>
            <w:left w:val="none" w:sz="0" w:space="0" w:color="auto"/>
            <w:bottom w:val="none" w:sz="0" w:space="0" w:color="auto"/>
            <w:right w:val="none" w:sz="0" w:space="0" w:color="auto"/>
          </w:divBdr>
        </w:div>
        <w:div w:id="1415393911">
          <w:marLeft w:val="0"/>
          <w:marRight w:val="0"/>
          <w:marTop w:val="0"/>
          <w:marBottom w:val="0"/>
          <w:divBdr>
            <w:top w:val="none" w:sz="0" w:space="0" w:color="auto"/>
            <w:left w:val="none" w:sz="0" w:space="0" w:color="auto"/>
            <w:bottom w:val="none" w:sz="0" w:space="0" w:color="auto"/>
            <w:right w:val="none" w:sz="0" w:space="0" w:color="auto"/>
          </w:divBdr>
        </w:div>
        <w:div w:id="427505927">
          <w:marLeft w:val="0"/>
          <w:marRight w:val="0"/>
          <w:marTop w:val="0"/>
          <w:marBottom w:val="0"/>
          <w:divBdr>
            <w:top w:val="none" w:sz="0" w:space="0" w:color="auto"/>
            <w:left w:val="none" w:sz="0" w:space="0" w:color="auto"/>
            <w:bottom w:val="none" w:sz="0" w:space="0" w:color="auto"/>
            <w:right w:val="none" w:sz="0" w:space="0" w:color="auto"/>
          </w:divBdr>
        </w:div>
        <w:div w:id="1720084624">
          <w:marLeft w:val="0"/>
          <w:marRight w:val="0"/>
          <w:marTop w:val="0"/>
          <w:marBottom w:val="0"/>
          <w:divBdr>
            <w:top w:val="none" w:sz="0" w:space="0" w:color="auto"/>
            <w:left w:val="none" w:sz="0" w:space="0" w:color="auto"/>
            <w:bottom w:val="none" w:sz="0" w:space="0" w:color="auto"/>
            <w:right w:val="none" w:sz="0" w:space="0" w:color="auto"/>
          </w:divBdr>
        </w:div>
        <w:div w:id="889078635">
          <w:marLeft w:val="0"/>
          <w:marRight w:val="0"/>
          <w:marTop w:val="0"/>
          <w:marBottom w:val="0"/>
          <w:divBdr>
            <w:top w:val="none" w:sz="0" w:space="0" w:color="auto"/>
            <w:left w:val="none" w:sz="0" w:space="0" w:color="auto"/>
            <w:bottom w:val="none" w:sz="0" w:space="0" w:color="auto"/>
            <w:right w:val="none" w:sz="0" w:space="0" w:color="auto"/>
          </w:divBdr>
        </w:div>
      </w:divsChild>
    </w:div>
    <w:div w:id="2094157731">
      <w:bodyDiv w:val="1"/>
      <w:marLeft w:val="0"/>
      <w:marRight w:val="0"/>
      <w:marTop w:val="0"/>
      <w:marBottom w:val="0"/>
      <w:divBdr>
        <w:top w:val="none" w:sz="0" w:space="0" w:color="auto"/>
        <w:left w:val="none" w:sz="0" w:space="0" w:color="auto"/>
        <w:bottom w:val="none" w:sz="0" w:space="0" w:color="auto"/>
        <w:right w:val="none" w:sz="0" w:space="0" w:color="auto"/>
      </w:divBdr>
      <w:divsChild>
        <w:div w:id="73748601">
          <w:marLeft w:val="0"/>
          <w:marRight w:val="0"/>
          <w:marTop w:val="0"/>
          <w:marBottom w:val="0"/>
          <w:divBdr>
            <w:top w:val="none" w:sz="0" w:space="0" w:color="auto"/>
            <w:left w:val="none" w:sz="0" w:space="0" w:color="auto"/>
            <w:bottom w:val="none" w:sz="0" w:space="0" w:color="auto"/>
            <w:right w:val="none" w:sz="0" w:space="0" w:color="auto"/>
          </w:divBdr>
        </w:div>
        <w:div w:id="1205949687">
          <w:marLeft w:val="0"/>
          <w:marRight w:val="0"/>
          <w:marTop w:val="0"/>
          <w:marBottom w:val="0"/>
          <w:divBdr>
            <w:top w:val="none" w:sz="0" w:space="0" w:color="auto"/>
            <w:left w:val="none" w:sz="0" w:space="0" w:color="auto"/>
            <w:bottom w:val="none" w:sz="0" w:space="0" w:color="auto"/>
            <w:right w:val="none" w:sz="0" w:space="0" w:color="auto"/>
          </w:divBdr>
        </w:div>
        <w:div w:id="575360303">
          <w:marLeft w:val="0"/>
          <w:marRight w:val="0"/>
          <w:marTop w:val="0"/>
          <w:marBottom w:val="0"/>
          <w:divBdr>
            <w:top w:val="none" w:sz="0" w:space="0" w:color="auto"/>
            <w:left w:val="none" w:sz="0" w:space="0" w:color="auto"/>
            <w:bottom w:val="none" w:sz="0" w:space="0" w:color="auto"/>
            <w:right w:val="none" w:sz="0" w:space="0" w:color="auto"/>
          </w:divBdr>
        </w:div>
        <w:div w:id="861673628">
          <w:marLeft w:val="0"/>
          <w:marRight w:val="0"/>
          <w:marTop w:val="0"/>
          <w:marBottom w:val="0"/>
          <w:divBdr>
            <w:top w:val="none" w:sz="0" w:space="0" w:color="auto"/>
            <w:left w:val="none" w:sz="0" w:space="0" w:color="auto"/>
            <w:bottom w:val="none" w:sz="0" w:space="0" w:color="auto"/>
            <w:right w:val="none" w:sz="0" w:space="0" w:color="auto"/>
          </w:divBdr>
        </w:div>
        <w:div w:id="900793552">
          <w:marLeft w:val="0"/>
          <w:marRight w:val="0"/>
          <w:marTop w:val="0"/>
          <w:marBottom w:val="0"/>
          <w:divBdr>
            <w:top w:val="none" w:sz="0" w:space="0" w:color="auto"/>
            <w:left w:val="none" w:sz="0" w:space="0" w:color="auto"/>
            <w:bottom w:val="none" w:sz="0" w:space="0" w:color="auto"/>
            <w:right w:val="none" w:sz="0" w:space="0" w:color="auto"/>
          </w:divBdr>
        </w:div>
        <w:div w:id="1006398738">
          <w:marLeft w:val="0"/>
          <w:marRight w:val="0"/>
          <w:marTop w:val="0"/>
          <w:marBottom w:val="0"/>
          <w:divBdr>
            <w:top w:val="none" w:sz="0" w:space="0" w:color="auto"/>
            <w:left w:val="none" w:sz="0" w:space="0" w:color="auto"/>
            <w:bottom w:val="none" w:sz="0" w:space="0" w:color="auto"/>
            <w:right w:val="none" w:sz="0" w:space="0" w:color="auto"/>
          </w:divBdr>
        </w:div>
        <w:div w:id="1719546384">
          <w:marLeft w:val="0"/>
          <w:marRight w:val="0"/>
          <w:marTop w:val="0"/>
          <w:marBottom w:val="0"/>
          <w:divBdr>
            <w:top w:val="none" w:sz="0" w:space="0" w:color="auto"/>
            <w:left w:val="none" w:sz="0" w:space="0" w:color="auto"/>
            <w:bottom w:val="none" w:sz="0" w:space="0" w:color="auto"/>
            <w:right w:val="none" w:sz="0" w:space="0" w:color="auto"/>
          </w:divBdr>
        </w:div>
        <w:div w:id="958757887">
          <w:marLeft w:val="0"/>
          <w:marRight w:val="0"/>
          <w:marTop w:val="0"/>
          <w:marBottom w:val="0"/>
          <w:divBdr>
            <w:top w:val="none" w:sz="0" w:space="0" w:color="auto"/>
            <w:left w:val="none" w:sz="0" w:space="0" w:color="auto"/>
            <w:bottom w:val="none" w:sz="0" w:space="0" w:color="auto"/>
            <w:right w:val="none" w:sz="0" w:space="0" w:color="auto"/>
          </w:divBdr>
        </w:div>
        <w:div w:id="35087824">
          <w:marLeft w:val="0"/>
          <w:marRight w:val="0"/>
          <w:marTop w:val="0"/>
          <w:marBottom w:val="0"/>
          <w:divBdr>
            <w:top w:val="none" w:sz="0" w:space="0" w:color="auto"/>
            <w:left w:val="none" w:sz="0" w:space="0" w:color="auto"/>
            <w:bottom w:val="none" w:sz="0" w:space="0" w:color="auto"/>
            <w:right w:val="none" w:sz="0" w:space="0" w:color="auto"/>
          </w:divBdr>
        </w:div>
        <w:div w:id="173036045">
          <w:marLeft w:val="0"/>
          <w:marRight w:val="0"/>
          <w:marTop w:val="0"/>
          <w:marBottom w:val="0"/>
          <w:divBdr>
            <w:top w:val="none" w:sz="0" w:space="0" w:color="auto"/>
            <w:left w:val="none" w:sz="0" w:space="0" w:color="auto"/>
            <w:bottom w:val="none" w:sz="0" w:space="0" w:color="auto"/>
            <w:right w:val="none" w:sz="0" w:space="0" w:color="auto"/>
          </w:divBdr>
        </w:div>
        <w:div w:id="1415396986">
          <w:marLeft w:val="0"/>
          <w:marRight w:val="0"/>
          <w:marTop w:val="0"/>
          <w:marBottom w:val="0"/>
          <w:divBdr>
            <w:top w:val="none" w:sz="0" w:space="0" w:color="auto"/>
            <w:left w:val="none" w:sz="0" w:space="0" w:color="auto"/>
            <w:bottom w:val="none" w:sz="0" w:space="0" w:color="auto"/>
            <w:right w:val="none" w:sz="0" w:space="0" w:color="auto"/>
          </w:divBdr>
        </w:div>
        <w:div w:id="1615551258">
          <w:marLeft w:val="0"/>
          <w:marRight w:val="0"/>
          <w:marTop w:val="0"/>
          <w:marBottom w:val="0"/>
          <w:divBdr>
            <w:top w:val="none" w:sz="0" w:space="0" w:color="auto"/>
            <w:left w:val="none" w:sz="0" w:space="0" w:color="auto"/>
            <w:bottom w:val="none" w:sz="0" w:space="0" w:color="auto"/>
            <w:right w:val="none" w:sz="0" w:space="0" w:color="auto"/>
          </w:divBdr>
        </w:div>
        <w:div w:id="588199796">
          <w:marLeft w:val="0"/>
          <w:marRight w:val="0"/>
          <w:marTop w:val="0"/>
          <w:marBottom w:val="0"/>
          <w:divBdr>
            <w:top w:val="none" w:sz="0" w:space="0" w:color="auto"/>
            <w:left w:val="none" w:sz="0" w:space="0" w:color="auto"/>
            <w:bottom w:val="none" w:sz="0" w:space="0" w:color="auto"/>
            <w:right w:val="none" w:sz="0" w:space="0" w:color="auto"/>
          </w:divBdr>
        </w:div>
      </w:divsChild>
    </w:div>
    <w:div w:id="2133354475">
      <w:bodyDiv w:val="1"/>
      <w:marLeft w:val="0"/>
      <w:marRight w:val="0"/>
      <w:marTop w:val="0"/>
      <w:marBottom w:val="0"/>
      <w:divBdr>
        <w:top w:val="none" w:sz="0" w:space="0" w:color="auto"/>
        <w:left w:val="none" w:sz="0" w:space="0" w:color="auto"/>
        <w:bottom w:val="none" w:sz="0" w:space="0" w:color="auto"/>
        <w:right w:val="none" w:sz="0" w:space="0" w:color="auto"/>
      </w:divBdr>
    </w:div>
    <w:div w:id="2143183924">
      <w:bodyDiv w:val="1"/>
      <w:marLeft w:val="0"/>
      <w:marRight w:val="0"/>
      <w:marTop w:val="0"/>
      <w:marBottom w:val="0"/>
      <w:divBdr>
        <w:top w:val="none" w:sz="0" w:space="0" w:color="auto"/>
        <w:left w:val="none" w:sz="0" w:space="0" w:color="auto"/>
        <w:bottom w:val="none" w:sz="0" w:space="0" w:color="auto"/>
        <w:right w:val="none" w:sz="0" w:space="0" w:color="auto"/>
      </w:divBdr>
      <w:divsChild>
        <w:div w:id="1535581752">
          <w:marLeft w:val="0"/>
          <w:marRight w:val="0"/>
          <w:marTop w:val="0"/>
          <w:marBottom w:val="0"/>
          <w:divBdr>
            <w:top w:val="none" w:sz="0" w:space="0" w:color="auto"/>
            <w:left w:val="none" w:sz="0" w:space="0" w:color="auto"/>
            <w:bottom w:val="none" w:sz="0" w:space="0" w:color="auto"/>
            <w:right w:val="none" w:sz="0" w:space="0" w:color="auto"/>
          </w:divBdr>
        </w:div>
        <w:div w:id="1340156969">
          <w:marLeft w:val="0"/>
          <w:marRight w:val="0"/>
          <w:marTop w:val="0"/>
          <w:marBottom w:val="0"/>
          <w:divBdr>
            <w:top w:val="none" w:sz="0" w:space="0" w:color="auto"/>
            <w:left w:val="none" w:sz="0" w:space="0" w:color="auto"/>
            <w:bottom w:val="none" w:sz="0" w:space="0" w:color="auto"/>
            <w:right w:val="none" w:sz="0" w:space="0" w:color="auto"/>
          </w:divBdr>
        </w:div>
        <w:div w:id="1114250680">
          <w:marLeft w:val="0"/>
          <w:marRight w:val="0"/>
          <w:marTop w:val="0"/>
          <w:marBottom w:val="0"/>
          <w:divBdr>
            <w:top w:val="none" w:sz="0" w:space="0" w:color="auto"/>
            <w:left w:val="none" w:sz="0" w:space="0" w:color="auto"/>
            <w:bottom w:val="none" w:sz="0" w:space="0" w:color="auto"/>
            <w:right w:val="none" w:sz="0" w:space="0" w:color="auto"/>
          </w:divBdr>
        </w:div>
        <w:div w:id="855188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oleObject" Target="embeddings/Microsoft_PowerPoint_97-2003_Presentation.ppt"/><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oleObject" Target="embeddings/Microsoft_Visio_2003-2010_Drawing.vsd"/><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82988</Words>
  <Characters>92118</Characters>
  <Application>Microsoft Office Word</Application>
  <DocSecurity>0</DocSecurity>
  <Lines>3838</Lines>
  <Paragraphs>2613</Paragraphs>
  <ScaleCrop>false</ScaleCrop>
  <Company/>
  <LinksUpToDate>false</LinksUpToDate>
  <CharactersWithSpaces>172493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office365</cp:lastModifiedBy>
  <cp:revision>4</cp:revision>
  <dcterms:created xsi:type="dcterms:W3CDTF">2025-07-03T13:15:00Z</dcterms:created>
  <dcterms:modified xsi:type="dcterms:W3CDTF">2025-07-03T13:16:00Z</dcterms:modified>
</cp:coreProperties>
</file>