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3844A0">
      <w:pPr>
        <w:jc w:val="center"/>
        <w:rPr>
          <w:b/>
          <w:sz w:val="44"/>
          <w:szCs w:val="44"/>
        </w:rPr>
      </w:pPr>
    </w:p>
    <w:p w14:paraId="288CF51E">
      <w:pPr>
        <w:jc w:val="center"/>
        <w:rPr>
          <w:b/>
          <w:sz w:val="44"/>
          <w:szCs w:val="44"/>
        </w:rPr>
      </w:pPr>
    </w:p>
    <w:p w14:paraId="0F3E1FD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直缝埋弧焊钢管采办一</w:t>
      </w:r>
      <w:r>
        <w:rPr>
          <w:rFonts w:hint="eastAsia"/>
          <w:b/>
          <w:sz w:val="44"/>
          <w:szCs w:val="44"/>
          <w:lang w:val="en-US" w:eastAsia="zh-CN"/>
        </w:rPr>
        <w:t>/二</w:t>
      </w:r>
      <w:r>
        <w:rPr>
          <w:rFonts w:hint="eastAsia"/>
          <w:b/>
          <w:sz w:val="44"/>
          <w:szCs w:val="44"/>
        </w:rPr>
        <w:t>标段管道项目</w:t>
      </w:r>
    </w:p>
    <w:p w14:paraId="2206D513">
      <w:pPr>
        <w:jc w:val="center"/>
        <w:rPr>
          <w:rFonts w:hint="eastAsia" w:eastAsia="宋体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</w:rPr>
        <w:t>用热轧钢板采购技术协议</w:t>
      </w:r>
      <w:r>
        <w:rPr>
          <w:rFonts w:hint="eastAsia"/>
          <w:b/>
          <w:sz w:val="44"/>
          <w:szCs w:val="44"/>
          <w:lang w:eastAsia="zh-CN"/>
        </w:rPr>
        <w:t>（</w:t>
      </w:r>
      <w:r>
        <w:rPr>
          <w:rFonts w:hint="eastAsia"/>
          <w:b/>
          <w:sz w:val="44"/>
          <w:szCs w:val="44"/>
          <w:lang w:val="en-US" w:eastAsia="zh-CN"/>
        </w:rPr>
        <w:t>干线管</w:t>
      </w:r>
      <w:r>
        <w:rPr>
          <w:rFonts w:hint="eastAsia"/>
          <w:b/>
          <w:sz w:val="44"/>
          <w:szCs w:val="44"/>
          <w:lang w:eastAsia="zh-CN"/>
        </w:rPr>
        <w:t>）</w:t>
      </w:r>
    </w:p>
    <w:p w14:paraId="42C7B20B">
      <w:pPr>
        <w:jc w:val="center"/>
        <w:rPr>
          <w:b/>
          <w:sz w:val="30"/>
          <w:szCs w:val="30"/>
        </w:rPr>
      </w:pPr>
    </w:p>
    <w:p w14:paraId="7FD3E1B7">
      <w:pPr>
        <w:jc w:val="center"/>
        <w:rPr>
          <w:b/>
          <w:sz w:val="30"/>
          <w:szCs w:val="30"/>
        </w:rPr>
      </w:pPr>
    </w:p>
    <w:p w14:paraId="45BDB8AD">
      <w:pPr>
        <w:jc w:val="center"/>
        <w:rPr>
          <w:b/>
          <w:sz w:val="30"/>
          <w:szCs w:val="30"/>
        </w:rPr>
      </w:pPr>
    </w:p>
    <w:p w14:paraId="433D5A46">
      <w:pPr>
        <w:jc w:val="center"/>
        <w:rPr>
          <w:b/>
          <w:sz w:val="30"/>
          <w:szCs w:val="30"/>
        </w:rPr>
      </w:pPr>
    </w:p>
    <w:p w14:paraId="4418A9D8">
      <w:pPr>
        <w:jc w:val="center"/>
        <w:rPr>
          <w:b/>
          <w:sz w:val="30"/>
          <w:szCs w:val="30"/>
        </w:rPr>
      </w:pPr>
    </w:p>
    <w:p w14:paraId="40ECCB33">
      <w:pPr>
        <w:jc w:val="center"/>
        <w:rPr>
          <w:b/>
          <w:sz w:val="30"/>
          <w:szCs w:val="30"/>
        </w:rPr>
      </w:pPr>
    </w:p>
    <w:p w14:paraId="709B64AE">
      <w:pPr>
        <w:jc w:val="center"/>
        <w:rPr>
          <w:b/>
          <w:sz w:val="30"/>
          <w:szCs w:val="30"/>
        </w:rPr>
      </w:pPr>
    </w:p>
    <w:p w14:paraId="789DC351">
      <w:pPr>
        <w:jc w:val="center"/>
        <w:rPr>
          <w:b/>
          <w:sz w:val="30"/>
          <w:szCs w:val="30"/>
        </w:rPr>
      </w:pPr>
    </w:p>
    <w:p w14:paraId="3F95AE9B">
      <w:pPr>
        <w:jc w:val="center"/>
        <w:rPr>
          <w:b/>
          <w:sz w:val="30"/>
          <w:szCs w:val="30"/>
        </w:rPr>
      </w:pPr>
    </w:p>
    <w:p w14:paraId="6DF4AB4F">
      <w:pPr>
        <w:jc w:val="center"/>
        <w:rPr>
          <w:b/>
          <w:sz w:val="30"/>
          <w:szCs w:val="30"/>
        </w:rPr>
      </w:pPr>
    </w:p>
    <w:tbl>
      <w:tblPr>
        <w:tblStyle w:val="18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800"/>
        <w:gridCol w:w="1801"/>
        <w:gridCol w:w="1801"/>
        <w:gridCol w:w="1801"/>
      </w:tblGrid>
      <w:tr w14:paraId="1F03F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0" w:type="dxa"/>
            <w:vAlign w:val="center"/>
          </w:tcPr>
          <w:p w14:paraId="713A9DFB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3F81AEC6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251616EC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7B75F2AD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5E570D4D">
            <w:pPr>
              <w:jc w:val="center"/>
              <w:rPr>
                <w:sz w:val="24"/>
              </w:rPr>
            </w:pPr>
          </w:p>
        </w:tc>
      </w:tr>
      <w:tr w14:paraId="60F5E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0" w:type="dxa"/>
            <w:vAlign w:val="center"/>
          </w:tcPr>
          <w:p w14:paraId="0F76206E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vAlign w:val="center"/>
          </w:tcPr>
          <w:p w14:paraId="05D522B0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1B35A997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4501E470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791D5E13">
            <w:pPr>
              <w:jc w:val="center"/>
              <w:rPr>
                <w:sz w:val="24"/>
              </w:rPr>
            </w:pPr>
          </w:p>
        </w:tc>
      </w:tr>
      <w:tr w14:paraId="041F1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0" w:type="dxa"/>
            <w:vAlign w:val="center"/>
          </w:tcPr>
          <w:p w14:paraId="7E8DF76E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Rev.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1800" w:type="dxa"/>
            <w:vAlign w:val="center"/>
          </w:tcPr>
          <w:p w14:paraId="27D3E64E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734474AA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74956D94">
            <w:pPr>
              <w:jc w:val="center"/>
              <w:rPr>
                <w:sz w:val="24"/>
              </w:rPr>
            </w:pPr>
          </w:p>
        </w:tc>
        <w:tc>
          <w:tcPr>
            <w:tcW w:w="1801" w:type="dxa"/>
            <w:vAlign w:val="center"/>
          </w:tcPr>
          <w:p w14:paraId="0DC84CDF">
            <w:pPr>
              <w:jc w:val="center"/>
              <w:rPr>
                <w:sz w:val="24"/>
              </w:rPr>
            </w:pPr>
          </w:p>
        </w:tc>
      </w:tr>
      <w:tr w14:paraId="6F358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0" w:type="dxa"/>
            <w:vAlign w:val="center"/>
          </w:tcPr>
          <w:p w14:paraId="15FB2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版本号</w:t>
            </w:r>
          </w:p>
        </w:tc>
        <w:tc>
          <w:tcPr>
            <w:tcW w:w="1800" w:type="dxa"/>
            <w:vAlign w:val="center"/>
          </w:tcPr>
          <w:p w14:paraId="542D9A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编制</w:t>
            </w:r>
          </w:p>
        </w:tc>
        <w:tc>
          <w:tcPr>
            <w:tcW w:w="1801" w:type="dxa"/>
            <w:vAlign w:val="center"/>
          </w:tcPr>
          <w:p w14:paraId="3429C9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</w:t>
            </w:r>
          </w:p>
        </w:tc>
        <w:tc>
          <w:tcPr>
            <w:tcW w:w="1801" w:type="dxa"/>
            <w:vAlign w:val="center"/>
          </w:tcPr>
          <w:p w14:paraId="65F571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批准</w:t>
            </w:r>
          </w:p>
        </w:tc>
        <w:tc>
          <w:tcPr>
            <w:tcW w:w="1801" w:type="dxa"/>
            <w:vAlign w:val="center"/>
          </w:tcPr>
          <w:p w14:paraId="41D9A3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</w:tr>
    </w:tbl>
    <w:p w14:paraId="75DF50A8">
      <w:pPr>
        <w:jc w:val="center"/>
        <w:rPr>
          <w:sz w:val="24"/>
        </w:rPr>
      </w:pPr>
    </w:p>
    <w:p w14:paraId="148A9E9D">
      <w:pPr>
        <w:widowControl/>
        <w:jc w:val="left"/>
        <w:rPr>
          <w:sz w:val="30"/>
          <w:szCs w:val="30"/>
        </w:rPr>
        <w:sectPr>
          <w:endnotePr>
            <w:numFmt w:val="decimal"/>
          </w:endnotePr>
          <w:pgSz w:w="11906" w:h="16838"/>
          <w:pgMar w:top="1588" w:right="1418" w:bottom="1418" w:left="1701" w:header="851" w:footer="862" w:gutter="0"/>
          <w:pgNumType w:start="1"/>
          <w:cols w:space="720" w:num="1"/>
          <w:docGrid w:type="lines" w:linePitch="312" w:charSpace="0"/>
        </w:sectPr>
      </w:pPr>
      <w:r>
        <w:rPr>
          <w:sz w:val="30"/>
          <w:szCs w:val="30"/>
        </w:rPr>
        <w:br w:type="page"/>
      </w:r>
    </w:p>
    <w:p w14:paraId="7655A5C7">
      <w:pPr>
        <w:jc w:val="center"/>
        <w:rPr>
          <w:sz w:val="24"/>
        </w:rPr>
      </w:pPr>
      <w:r>
        <w:rPr>
          <w:sz w:val="24"/>
        </w:rPr>
        <w:t>~~~~~~~~~~~~~~~~~~~~~~~~~~~~~~~~~~~~~~~~~~~~~~~~~~~~~~~~~~~~~~~</w:t>
      </w:r>
    </w:p>
    <w:p w14:paraId="2897E8D2">
      <w:pPr>
        <w:spacing w:before="156" w:beforeLines="50" w:after="156" w:afterLines="50"/>
        <w:rPr>
          <w:rFonts w:ascii="黑体" w:eastAsia="黑体"/>
          <w:sz w:val="24"/>
        </w:rPr>
      </w:pPr>
      <w:bookmarkStart w:id="0" w:name="_1范围"/>
      <w:bookmarkEnd w:id="0"/>
      <w:r>
        <w:rPr>
          <w:rFonts w:hint="eastAsia" w:ascii="黑体" w:eastAsia="黑体"/>
          <w:sz w:val="24"/>
        </w:rPr>
        <w:t>1 范围</w:t>
      </w:r>
    </w:p>
    <w:p w14:paraId="73285A3A">
      <w:pPr>
        <w:pStyle w:val="10"/>
        <w:spacing w:before="156" w:beforeLines="50" w:after="156" w:afterLines="50"/>
        <w:ind w:firstLine="480" w:firstLineChars="200"/>
        <w:rPr>
          <w:rFonts w:hint="eastAsia" w:ascii="Times New Roman" w:hAnsi="Times New Roman" w:eastAsia="宋体"/>
          <w:bCs/>
          <w:sz w:val="24"/>
          <w:szCs w:val="24"/>
          <w:lang w:eastAsia="zh-CN"/>
        </w:rPr>
      </w:pPr>
      <w:r>
        <w:rPr>
          <w:rFonts w:ascii="Times New Roman" w:hAnsi="Times New Roman"/>
          <w:bCs/>
          <w:sz w:val="24"/>
          <w:szCs w:val="24"/>
        </w:rPr>
        <w:t>本技术</w:t>
      </w:r>
      <w:r>
        <w:rPr>
          <w:rFonts w:hint="eastAsia" w:ascii="Times New Roman" w:hAnsi="Times New Roman"/>
          <w:bCs/>
          <w:sz w:val="24"/>
          <w:szCs w:val="24"/>
        </w:rPr>
        <w:t>协议适用于直缝埋弧焊钢管采办一</w:t>
      </w: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/二</w:t>
      </w:r>
      <w:r>
        <w:rPr>
          <w:rFonts w:hint="eastAsia" w:ascii="Times New Roman" w:hAnsi="Times New Roman"/>
          <w:bCs/>
          <w:sz w:val="24"/>
          <w:szCs w:val="24"/>
        </w:rPr>
        <w:t>标段管道项目用热轧钢板采购</w:t>
      </w:r>
      <w:r>
        <w:rPr>
          <w:rFonts w:hint="eastAsia" w:ascii="Times New Roman" w:hAnsi="Times New Roman"/>
          <w:bCs/>
          <w:sz w:val="24"/>
          <w:szCs w:val="24"/>
          <w:lang w:eastAsia="zh-CN"/>
        </w:rPr>
        <w:t>。</w:t>
      </w:r>
    </w:p>
    <w:p w14:paraId="49E5D80D">
      <w:pPr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2 </w:t>
      </w:r>
      <w:r>
        <w:rPr>
          <w:rFonts w:ascii="黑体" w:eastAsia="黑体"/>
          <w:sz w:val="24"/>
        </w:rPr>
        <w:t>钢板尺寸规格</w:t>
      </w:r>
    </w:p>
    <w:p w14:paraId="2CC2F21A">
      <w:pPr>
        <w:pStyle w:val="10"/>
        <w:spacing w:before="156" w:beforeLines="50" w:after="156" w:afterLines="50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钢板尺寸规格</w:t>
      </w:r>
      <w:r>
        <w:rPr>
          <w:rFonts w:hint="eastAsia" w:ascii="Times New Roman" w:hAnsi="Times New Roman"/>
          <w:bCs/>
          <w:sz w:val="24"/>
          <w:szCs w:val="24"/>
        </w:rPr>
        <w:t>（</w:t>
      </w:r>
      <w:r>
        <w:rPr>
          <w:rFonts w:ascii="Times New Roman" w:hAnsi="Times New Roman"/>
          <w:bCs/>
          <w:sz w:val="24"/>
          <w:szCs w:val="24"/>
        </w:rPr>
        <w:t>切边后</w:t>
      </w:r>
      <w:r>
        <w:rPr>
          <w:rFonts w:hint="eastAsia" w:ascii="Times New Roman" w:hAnsi="Times New Roman"/>
          <w:bCs/>
          <w:sz w:val="24"/>
          <w:szCs w:val="24"/>
        </w:rPr>
        <w:t>）</w:t>
      </w:r>
      <w:r>
        <w:rPr>
          <w:rFonts w:ascii="Times New Roman" w:hAnsi="Times New Roman"/>
          <w:bCs/>
          <w:sz w:val="24"/>
          <w:szCs w:val="24"/>
        </w:rPr>
        <w:t>应符合表1规定。当购货合同对板宽另有规定时，按合同规定执行。</w:t>
      </w:r>
    </w:p>
    <w:p w14:paraId="5C98977D">
      <w:pPr>
        <w:widowControl/>
        <w:jc w:val="center"/>
        <w:rPr>
          <w:kern w:val="0"/>
          <w:szCs w:val="21"/>
        </w:rPr>
      </w:pPr>
      <w:bookmarkStart w:id="1" w:name="_6力学性能"/>
      <w:bookmarkEnd w:id="1"/>
      <w:r>
        <w:rPr>
          <w:rFonts w:hAnsi="宋体"/>
          <w:kern w:val="0"/>
          <w:szCs w:val="21"/>
        </w:rPr>
        <w:t>表</w:t>
      </w:r>
      <w:r>
        <w:rPr>
          <w:rFonts w:hint="eastAsia"/>
          <w:kern w:val="0"/>
          <w:szCs w:val="21"/>
        </w:rPr>
        <w:t xml:space="preserve">1 </w:t>
      </w:r>
      <w:r>
        <w:rPr>
          <w:rFonts w:hAnsi="宋体"/>
          <w:kern w:val="0"/>
          <w:szCs w:val="21"/>
        </w:rPr>
        <w:t>钢板规格尺寸</w:t>
      </w:r>
      <w:r>
        <w:rPr>
          <w:rFonts w:hint="eastAsia" w:hAnsi="宋体"/>
          <w:kern w:val="0"/>
          <w:szCs w:val="21"/>
        </w:rPr>
        <w:t>及公差</w:t>
      </w:r>
    </w:p>
    <w:tbl>
      <w:tblPr>
        <w:tblStyle w:val="18"/>
        <w:tblW w:w="880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2"/>
        <w:gridCol w:w="785"/>
        <w:gridCol w:w="1195"/>
        <w:gridCol w:w="1444"/>
        <w:gridCol w:w="1303"/>
        <w:gridCol w:w="1303"/>
        <w:gridCol w:w="1452"/>
        <w:gridCol w:w="789"/>
      </w:tblGrid>
      <w:tr w14:paraId="38744D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2" w:type="dxa"/>
            <w:vMerge w:val="restart"/>
            <w:vAlign w:val="center"/>
          </w:tcPr>
          <w:p w14:paraId="1BE1D625">
            <w:pPr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序号</w:t>
            </w:r>
          </w:p>
        </w:tc>
        <w:tc>
          <w:tcPr>
            <w:tcW w:w="785" w:type="dxa"/>
            <w:vMerge w:val="restart"/>
            <w:vAlign w:val="center"/>
          </w:tcPr>
          <w:p w14:paraId="0BD69576">
            <w:pPr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钢级</w:t>
            </w:r>
          </w:p>
        </w:tc>
        <w:tc>
          <w:tcPr>
            <w:tcW w:w="1195" w:type="dxa"/>
            <w:vMerge w:val="restart"/>
            <w:vAlign w:val="center"/>
          </w:tcPr>
          <w:p w14:paraId="19273EDA">
            <w:pPr>
              <w:snapToGrid w:val="0"/>
              <w:ind w:left="1"/>
              <w:jc w:val="center"/>
            </w:pPr>
            <w:r>
              <w:rPr>
                <w:rFonts w:hint="eastAsia"/>
              </w:rPr>
              <w:t>管径</w:t>
            </w:r>
          </w:p>
          <w:p w14:paraId="1FDC291E">
            <w:pPr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O.D(mm）</w:t>
            </w:r>
          </w:p>
        </w:tc>
        <w:tc>
          <w:tcPr>
            <w:tcW w:w="5502" w:type="dxa"/>
            <w:gridSpan w:val="4"/>
            <w:vAlign w:val="center"/>
          </w:tcPr>
          <w:p w14:paraId="3823E725">
            <w:pPr>
              <w:snapToGrid w:val="0"/>
              <w:jc w:val="center"/>
              <w:rPr>
                <w:szCs w:val="20"/>
              </w:rPr>
            </w:pPr>
            <w:r>
              <w:rPr>
                <w:szCs w:val="20"/>
              </w:rPr>
              <w:t>尺寸规格(mm)</w:t>
            </w:r>
          </w:p>
        </w:tc>
        <w:tc>
          <w:tcPr>
            <w:tcW w:w="789" w:type="dxa"/>
            <w:vMerge w:val="restart"/>
            <w:vAlign w:val="center"/>
          </w:tcPr>
          <w:p w14:paraId="575B2F2C">
            <w:pPr>
              <w:snapToGrid w:val="0"/>
              <w:jc w:val="center"/>
              <w:rPr>
                <w:szCs w:val="20"/>
              </w:rPr>
            </w:pPr>
            <w:r>
              <w:rPr>
                <w:szCs w:val="20"/>
              </w:rPr>
              <w:t>备注</w:t>
            </w:r>
          </w:p>
        </w:tc>
      </w:tr>
      <w:tr w14:paraId="6818CE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2" w:type="dxa"/>
            <w:vMerge w:val="continue"/>
          </w:tcPr>
          <w:p w14:paraId="53B0FBA1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785" w:type="dxa"/>
            <w:vMerge w:val="continue"/>
            <w:vAlign w:val="center"/>
          </w:tcPr>
          <w:p w14:paraId="7F811CF8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1195" w:type="dxa"/>
            <w:vMerge w:val="continue"/>
            <w:vAlign w:val="center"/>
          </w:tcPr>
          <w:p w14:paraId="7006B6DD">
            <w:pPr>
              <w:snapToGrid w:val="0"/>
              <w:jc w:val="center"/>
              <w:rPr>
                <w:szCs w:val="20"/>
              </w:rPr>
            </w:pPr>
          </w:p>
        </w:tc>
        <w:tc>
          <w:tcPr>
            <w:tcW w:w="1444" w:type="dxa"/>
            <w:vAlign w:val="center"/>
          </w:tcPr>
          <w:p w14:paraId="2CC0023E">
            <w:pPr>
              <w:snapToGrid w:val="0"/>
              <w:jc w:val="center"/>
            </w:pPr>
            <w:r>
              <w:rPr>
                <w:rFonts w:hint="eastAsia"/>
              </w:rPr>
              <w:t>厚度及公差</w:t>
            </w:r>
            <w:r>
              <w:rPr>
                <w:rFonts w:hint="eastAsia"/>
                <w:vertAlign w:val="superscript"/>
              </w:rPr>
              <w:t>a</w:t>
            </w:r>
          </w:p>
        </w:tc>
        <w:tc>
          <w:tcPr>
            <w:tcW w:w="1303" w:type="dxa"/>
            <w:vAlign w:val="center"/>
          </w:tcPr>
          <w:p w14:paraId="661D04C4">
            <w:pPr>
              <w:snapToGrid w:val="0"/>
              <w:jc w:val="center"/>
            </w:pPr>
            <w:r>
              <w:rPr>
                <w:rFonts w:hint="eastAsia"/>
                <w:szCs w:val="20"/>
              </w:rPr>
              <w:t>宽度</w:t>
            </w:r>
            <w:r>
              <w:rPr>
                <w:rFonts w:hint="eastAsia"/>
              </w:rPr>
              <w:t>及公差</w:t>
            </w:r>
          </w:p>
        </w:tc>
        <w:tc>
          <w:tcPr>
            <w:tcW w:w="1303" w:type="dxa"/>
            <w:vAlign w:val="center"/>
          </w:tcPr>
          <w:p w14:paraId="37DE7828">
            <w:pPr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宽度推荐值</w:t>
            </w:r>
          </w:p>
        </w:tc>
        <w:tc>
          <w:tcPr>
            <w:tcW w:w="1452" w:type="dxa"/>
            <w:vAlign w:val="center"/>
          </w:tcPr>
          <w:p w14:paraId="727591BC">
            <w:pPr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长度</w:t>
            </w:r>
            <w:r>
              <w:rPr>
                <w:rFonts w:hint="eastAsia"/>
              </w:rPr>
              <w:t>及公差</w:t>
            </w:r>
            <w:r>
              <w:rPr>
                <w:rFonts w:hint="eastAsia"/>
                <w:vertAlign w:val="superscript"/>
              </w:rPr>
              <w:t>b</w:t>
            </w:r>
          </w:p>
        </w:tc>
        <w:tc>
          <w:tcPr>
            <w:tcW w:w="789" w:type="dxa"/>
            <w:vMerge w:val="continue"/>
            <w:vAlign w:val="center"/>
          </w:tcPr>
          <w:p w14:paraId="6CFF368D">
            <w:pPr>
              <w:snapToGrid w:val="0"/>
              <w:jc w:val="center"/>
              <w:rPr>
                <w:szCs w:val="20"/>
              </w:rPr>
            </w:pPr>
          </w:p>
        </w:tc>
      </w:tr>
      <w:tr w14:paraId="64FBC0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2" w:type="dxa"/>
            <w:vAlign w:val="center"/>
          </w:tcPr>
          <w:p w14:paraId="53C0C422">
            <w:pPr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</w:p>
        </w:tc>
        <w:tc>
          <w:tcPr>
            <w:tcW w:w="785" w:type="dxa"/>
            <w:vAlign w:val="center"/>
          </w:tcPr>
          <w:p w14:paraId="72D0C21F">
            <w:pPr>
              <w:snapToGrid w:val="0"/>
              <w:jc w:val="center"/>
              <w:rPr>
                <w:rFonts w:hint="eastAsia" w:eastAsia="宋体"/>
                <w:color w:val="auto"/>
                <w:szCs w:val="20"/>
                <w:lang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A</w:t>
            </w:r>
          </w:p>
        </w:tc>
        <w:tc>
          <w:tcPr>
            <w:tcW w:w="1195" w:type="dxa"/>
            <w:vAlign w:val="center"/>
          </w:tcPr>
          <w:p w14:paraId="04D8C8F9">
            <w:pPr>
              <w:snapToGrid w:val="0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</w:rPr>
              <w:t>1016</w:t>
            </w:r>
          </w:p>
        </w:tc>
        <w:tc>
          <w:tcPr>
            <w:tcW w:w="1444" w:type="dxa"/>
            <w:vAlign w:val="center"/>
          </w:tcPr>
          <w:p w14:paraId="054E77DB">
            <w:pPr>
              <w:snapToGrid w:val="0"/>
              <w:jc w:val="center"/>
              <w:rPr>
                <w:color w:val="FF0000"/>
                <w:szCs w:val="20"/>
              </w:rPr>
            </w:pPr>
            <w:r>
              <w:rPr>
                <w:rFonts w:hint="eastAsia"/>
                <w:color w:val="FF0000"/>
                <w:szCs w:val="20"/>
              </w:rPr>
              <w:t>21.0</w:t>
            </w:r>
            <w:r>
              <w:rPr>
                <w:rFonts w:hint="eastAsia"/>
                <w:color w:val="FF0000"/>
                <w:position w:val="-12"/>
              </w:rPr>
              <w:object>
                <v:shape id="_x0000_i1025" o:spt="75" type="#_x0000_t75" style="height:17.25pt;width:18.1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1303" w:type="dxa"/>
            <w:vAlign w:val="center"/>
          </w:tcPr>
          <w:p w14:paraId="28D52DF2">
            <w:pPr>
              <w:snapToGrid w:val="0"/>
              <w:jc w:val="center"/>
              <w:rPr>
                <w:color w:val="FF0000"/>
                <w:szCs w:val="20"/>
              </w:rPr>
            </w:pPr>
            <w:r>
              <w:rPr>
                <w:rFonts w:hint="eastAsia"/>
                <w:color w:val="FF0000"/>
                <w:szCs w:val="20"/>
              </w:rPr>
              <w:t>3095</w:t>
            </w:r>
            <w:r>
              <w:rPr>
                <w:rFonts w:hint="eastAsia"/>
                <w:color w:val="FF0000"/>
                <w:position w:val="-12"/>
              </w:rPr>
              <w:object>
                <v:shape id="_x0000_i1026" o:spt="75" type="#_x0000_t75" style="height:17.25pt;width:1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</w:p>
        </w:tc>
        <w:tc>
          <w:tcPr>
            <w:tcW w:w="1303" w:type="dxa"/>
            <w:vAlign w:val="center"/>
          </w:tcPr>
          <w:p w14:paraId="62424D22">
            <w:pPr>
              <w:snapToGrid w:val="0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</w:rPr>
              <w:t>3100</w:t>
            </w:r>
          </w:p>
        </w:tc>
        <w:tc>
          <w:tcPr>
            <w:tcW w:w="1452" w:type="dxa"/>
            <w:vAlign w:val="center"/>
          </w:tcPr>
          <w:p w14:paraId="2D0F67C3">
            <w:pPr>
              <w:snapToGrid w:val="0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</w:rPr>
              <w:t>12</w:t>
            </w:r>
            <w:r>
              <w:rPr>
                <w:rFonts w:hint="eastAsia"/>
                <w:color w:val="auto"/>
                <w:szCs w:val="20"/>
                <w:lang w:val="en-US" w:eastAsia="zh-CN"/>
              </w:rPr>
              <w:t>0</w:t>
            </w:r>
            <w:r>
              <w:rPr>
                <w:rFonts w:hint="eastAsia"/>
                <w:color w:val="auto"/>
                <w:szCs w:val="20"/>
              </w:rPr>
              <w:t>00</w:t>
            </w:r>
            <w:r>
              <w:rPr>
                <w:rFonts w:hint="eastAsia"/>
                <w:color w:val="auto"/>
                <w:position w:val="-12"/>
              </w:rPr>
              <w:object>
                <v:shape id="_x0000_i1027" o:spt="75" type="#_x0000_t75" style="height:17.25pt;width:19.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0">
                  <o:LockedField>false</o:LockedField>
                </o:OLEObject>
              </w:object>
            </w:r>
          </w:p>
        </w:tc>
        <w:tc>
          <w:tcPr>
            <w:tcW w:w="789" w:type="dxa"/>
            <w:vAlign w:val="center"/>
          </w:tcPr>
          <w:p w14:paraId="27DCEF6B">
            <w:pPr>
              <w:snapToGrid w:val="0"/>
              <w:jc w:val="center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一/二</w:t>
            </w:r>
          </w:p>
          <w:p w14:paraId="22EA4234">
            <w:pPr>
              <w:snapToGrid w:val="0"/>
              <w:jc w:val="center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标段</w:t>
            </w:r>
          </w:p>
        </w:tc>
      </w:tr>
      <w:tr w14:paraId="5D8D87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2" w:type="dxa"/>
            <w:vAlign w:val="center"/>
          </w:tcPr>
          <w:p w14:paraId="77205759">
            <w:pPr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</w:t>
            </w:r>
          </w:p>
        </w:tc>
        <w:tc>
          <w:tcPr>
            <w:tcW w:w="785" w:type="dxa"/>
            <w:vAlign w:val="center"/>
          </w:tcPr>
          <w:p w14:paraId="7B851690">
            <w:pPr>
              <w:snapToGrid w:val="0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A</w:t>
            </w:r>
          </w:p>
        </w:tc>
        <w:tc>
          <w:tcPr>
            <w:tcW w:w="1195" w:type="dxa"/>
            <w:vAlign w:val="center"/>
          </w:tcPr>
          <w:p w14:paraId="48CEC86A">
            <w:pPr>
              <w:snapToGrid w:val="0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</w:rPr>
              <w:t>1016</w:t>
            </w:r>
          </w:p>
        </w:tc>
        <w:tc>
          <w:tcPr>
            <w:tcW w:w="1444" w:type="dxa"/>
            <w:vAlign w:val="center"/>
          </w:tcPr>
          <w:p w14:paraId="26779629">
            <w:pPr>
              <w:snapToGrid w:val="0"/>
              <w:jc w:val="center"/>
              <w:rPr>
                <w:color w:val="FF0000"/>
                <w:szCs w:val="20"/>
              </w:rPr>
            </w:pPr>
            <w:r>
              <w:rPr>
                <w:rFonts w:hint="eastAsia"/>
                <w:color w:val="FF0000"/>
                <w:szCs w:val="20"/>
              </w:rPr>
              <w:t>26.2</w:t>
            </w:r>
            <w:r>
              <w:rPr>
                <w:rFonts w:hint="eastAsia"/>
                <w:color w:val="FF0000"/>
                <w:position w:val="-12"/>
              </w:rPr>
              <w:object>
                <v:shape id="_x0000_i1028" o:spt="75" type="#_x0000_t75" style="height:17.25pt;width:18.1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2">
                  <o:LockedField>false</o:LockedField>
                </o:OLEObject>
              </w:object>
            </w:r>
          </w:p>
        </w:tc>
        <w:tc>
          <w:tcPr>
            <w:tcW w:w="1303" w:type="dxa"/>
            <w:vAlign w:val="center"/>
          </w:tcPr>
          <w:p w14:paraId="0B4ED785">
            <w:pPr>
              <w:snapToGrid w:val="0"/>
              <w:jc w:val="center"/>
              <w:rPr>
                <w:color w:val="FF0000"/>
                <w:szCs w:val="20"/>
              </w:rPr>
            </w:pPr>
            <w:r>
              <w:rPr>
                <w:rFonts w:hint="eastAsia"/>
                <w:color w:val="FF0000"/>
                <w:szCs w:val="20"/>
              </w:rPr>
              <w:t>3085</w:t>
            </w:r>
            <w:r>
              <w:rPr>
                <w:rFonts w:hint="eastAsia"/>
                <w:color w:val="FF0000"/>
                <w:position w:val="-12"/>
              </w:rPr>
              <w:object>
                <v:shape id="_x0000_i1029" o:spt="75" type="#_x0000_t75" style="height:17.25pt;width:1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3">
                  <o:LockedField>false</o:LockedField>
                </o:OLEObject>
              </w:object>
            </w:r>
          </w:p>
        </w:tc>
        <w:tc>
          <w:tcPr>
            <w:tcW w:w="1303" w:type="dxa"/>
            <w:vAlign w:val="center"/>
          </w:tcPr>
          <w:p w14:paraId="7C4ADB64">
            <w:pPr>
              <w:snapToGrid w:val="0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</w:rPr>
              <w:t>3090</w:t>
            </w:r>
          </w:p>
        </w:tc>
        <w:tc>
          <w:tcPr>
            <w:tcW w:w="1452" w:type="dxa"/>
            <w:vAlign w:val="center"/>
          </w:tcPr>
          <w:p w14:paraId="2B6ED640">
            <w:pPr>
              <w:snapToGrid w:val="0"/>
              <w:jc w:val="center"/>
              <w:rPr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</w:rPr>
              <w:t>12</w:t>
            </w:r>
            <w:r>
              <w:rPr>
                <w:rFonts w:hint="eastAsia"/>
                <w:color w:val="auto"/>
                <w:szCs w:val="20"/>
                <w:lang w:val="en-US" w:eastAsia="zh-CN"/>
              </w:rPr>
              <w:t>0</w:t>
            </w:r>
            <w:r>
              <w:rPr>
                <w:rFonts w:hint="eastAsia"/>
                <w:color w:val="auto"/>
                <w:szCs w:val="20"/>
              </w:rPr>
              <w:t>00</w:t>
            </w:r>
            <w:r>
              <w:rPr>
                <w:rFonts w:hint="eastAsia"/>
                <w:color w:val="auto"/>
                <w:position w:val="-12"/>
              </w:rPr>
              <w:object>
                <v:shape id="_x0000_i1030" o:spt="75" type="#_x0000_t75" style="height:17.25pt;width:19.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4">
                  <o:LockedField>false</o:LockedField>
                </o:OLEObject>
              </w:object>
            </w:r>
          </w:p>
        </w:tc>
        <w:tc>
          <w:tcPr>
            <w:tcW w:w="789" w:type="dxa"/>
            <w:vAlign w:val="center"/>
          </w:tcPr>
          <w:p w14:paraId="292E881C">
            <w:pPr>
              <w:snapToGrid w:val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一标段</w:t>
            </w:r>
          </w:p>
        </w:tc>
      </w:tr>
      <w:tr w14:paraId="6C7007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32" w:type="dxa"/>
            <w:vAlign w:val="center"/>
          </w:tcPr>
          <w:p w14:paraId="34C51780">
            <w:pPr>
              <w:snapToGrid w:val="0"/>
              <w:jc w:val="center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3</w:t>
            </w:r>
          </w:p>
        </w:tc>
        <w:tc>
          <w:tcPr>
            <w:tcW w:w="785" w:type="dxa"/>
            <w:vAlign w:val="center"/>
          </w:tcPr>
          <w:p w14:paraId="2D220C67">
            <w:pPr>
              <w:snapToGrid w:val="0"/>
              <w:jc w:val="center"/>
              <w:rPr>
                <w:rFonts w:hint="eastAsia"/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A</w:t>
            </w:r>
          </w:p>
        </w:tc>
        <w:tc>
          <w:tcPr>
            <w:tcW w:w="1195" w:type="dxa"/>
            <w:vAlign w:val="center"/>
          </w:tcPr>
          <w:p w14:paraId="0671039A">
            <w:pPr>
              <w:snapToGrid w:val="0"/>
              <w:jc w:val="center"/>
              <w:rPr>
                <w:rFonts w:hint="eastAsia" w:eastAsia="宋体"/>
                <w:color w:val="auto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914</w:t>
            </w:r>
          </w:p>
        </w:tc>
        <w:tc>
          <w:tcPr>
            <w:tcW w:w="1444" w:type="dxa"/>
            <w:vAlign w:val="center"/>
          </w:tcPr>
          <w:p w14:paraId="5BA22D4C">
            <w:pPr>
              <w:snapToGrid w:val="0"/>
              <w:jc w:val="center"/>
              <w:rPr>
                <w:rFonts w:hint="eastAsia"/>
                <w:color w:val="FF0000"/>
                <w:szCs w:val="20"/>
              </w:rPr>
            </w:pPr>
            <w:r>
              <w:rPr>
                <w:rFonts w:hint="eastAsia"/>
                <w:color w:val="FF0000"/>
                <w:szCs w:val="20"/>
                <w:lang w:val="en-US" w:eastAsia="zh-CN"/>
              </w:rPr>
              <w:t>18.9</w:t>
            </w:r>
            <w:r>
              <w:rPr>
                <w:rFonts w:hint="eastAsia"/>
                <w:color w:val="FF0000"/>
                <w:position w:val="-12"/>
              </w:rPr>
              <w:object>
                <v:shape id="_x0000_i1031" o:spt="75" type="#_x0000_t75" style="height:17.25pt;width:18.1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31" DrawAspect="Content" ObjectID="_1468075731" r:id="rId15">
                  <o:LockedField>false</o:LockedField>
                </o:OLEObject>
              </w:object>
            </w:r>
          </w:p>
        </w:tc>
        <w:tc>
          <w:tcPr>
            <w:tcW w:w="1303" w:type="dxa"/>
            <w:vAlign w:val="center"/>
          </w:tcPr>
          <w:p w14:paraId="5301DA6F">
            <w:pPr>
              <w:snapToGrid w:val="0"/>
              <w:jc w:val="center"/>
              <w:rPr>
                <w:rFonts w:hint="eastAsia"/>
                <w:color w:val="FF0000"/>
                <w:szCs w:val="20"/>
              </w:rPr>
            </w:pPr>
            <w:r>
              <w:rPr>
                <w:rFonts w:hint="eastAsia"/>
                <w:color w:val="FF0000"/>
                <w:szCs w:val="20"/>
                <w:lang w:val="en-US" w:eastAsia="zh-CN"/>
              </w:rPr>
              <w:t>27</w:t>
            </w:r>
            <w:r>
              <w:rPr>
                <w:rFonts w:hint="eastAsia"/>
                <w:color w:val="FF0000"/>
                <w:szCs w:val="20"/>
              </w:rPr>
              <w:t>85</w:t>
            </w:r>
            <w:r>
              <w:rPr>
                <w:rFonts w:hint="eastAsia"/>
                <w:color w:val="FF0000"/>
                <w:position w:val="-12"/>
              </w:rPr>
              <w:object>
                <v:shape id="_x0000_i1032" o:spt="75" type="#_x0000_t75" style="height:17.25pt;width:1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32" DrawAspect="Content" ObjectID="_1468075732" r:id="rId16">
                  <o:LockedField>false</o:LockedField>
                </o:OLEObject>
              </w:object>
            </w:r>
          </w:p>
        </w:tc>
        <w:tc>
          <w:tcPr>
            <w:tcW w:w="1303" w:type="dxa"/>
            <w:vAlign w:val="center"/>
          </w:tcPr>
          <w:p w14:paraId="307CA718">
            <w:pPr>
              <w:snapToGrid w:val="0"/>
              <w:jc w:val="center"/>
              <w:rPr>
                <w:rFonts w:hint="eastAsia"/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  <w:lang w:val="en-US" w:eastAsia="zh-CN"/>
              </w:rPr>
              <w:t>27</w:t>
            </w:r>
            <w:r>
              <w:rPr>
                <w:rFonts w:hint="eastAsia"/>
                <w:color w:val="auto"/>
                <w:szCs w:val="20"/>
              </w:rPr>
              <w:t>90</w:t>
            </w:r>
          </w:p>
        </w:tc>
        <w:tc>
          <w:tcPr>
            <w:tcW w:w="1452" w:type="dxa"/>
            <w:vAlign w:val="center"/>
          </w:tcPr>
          <w:p w14:paraId="569F737A">
            <w:pPr>
              <w:snapToGrid w:val="0"/>
              <w:jc w:val="center"/>
              <w:rPr>
                <w:rFonts w:hint="eastAsia"/>
                <w:color w:val="auto"/>
                <w:szCs w:val="20"/>
              </w:rPr>
            </w:pPr>
            <w:r>
              <w:rPr>
                <w:rFonts w:hint="eastAsia"/>
                <w:color w:val="auto"/>
                <w:szCs w:val="20"/>
              </w:rPr>
              <w:t>12</w:t>
            </w:r>
            <w:r>
              <w:rPr>
                <w:rFonts w:hint="eastAsia"/>
                <w:color w:val="auto"/>
                <w:szCs w:val="20"/>
                <w:lang w:val="en-US" w:eastAsia="zh-CN"/>
              </w:rPr>
              <w:t>0</w:t>
            </w:r>
            <w:r>
              <w:rPr>
                <w:rFonts w:hint="eastAsia"/>
                <w:color w:val="auto"/>
                <w:szCs w:val="20"/>
              </w:rPr>
              <w:t>00</w:t>
            </w:r>
            <w:r>
              <w:rPr>
                <w:rFonts w:hint="eastAsia"/>
                <w:color w:val="auto"/>
                <w:position w:val="-12"/>
              </w:rPr>
              <w:object>
                <v:shape id="_x0000_i1033" o:spt="75" type="#_x0000_t75" style="height:17.25pt;width:19.5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33" DrawAspect="Content" ObjectID="_1468075733" r:id="rId17">
                  <o:LockedField>false</o:LockedField>
                </o:OLEObject>
              </w:object>
            </w:r>
          </w:p>
        </w:tc>
        <w:tc>
          <w:tcPr>
            <w:tcW w:w="789" w:type="dxa"/>
            <w:vAlign w:val="center"/>
          </w:tcPr>
          <w:p w14:paraId="7B8338DD">
            <w:pPr>
              <w:snapToGrid w:val="0"/>
              <w:jc w:val="center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val="en-US" w:eastAsia="zh-CN"/>
              </w:rPr>
              <w:t>二标段</w:t>
            </w:r>
          </w:p>
        </w:tc>
      </w:tr>
      <w:tr w14:paraId="250478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803" w:type="dxa"/>
            <w:gridSpan w:val="8"/>
            <w:vAlign w:val="center"/>
          </w:tcPr>
          <w:p w14:paraId="6E9CD387">
            <w:pPr>
              <w:snapToGrid w:val="0"/>
              <w:ind w:left="105" w:leftChars="50" w:right="105" w:rightChars="5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备注：</w:t>
            </w:r>
          </w:p>
          <w:p w14:paraId="27CB675D">
            <w:pPr>
              <w:snapToGrid w:val="0"/>
              <w:ind w:right="105" w:rightChars="50"/>
              <w:jc w:val="left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/>
              </w:rPr>
              <w:t>a 同一张钢板的壁厚差应不大于0.60</w:t>
            </w:r>
            <w:r>
              <w:t>mm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所有批的平均壁厚不得小于公称壁厚；</w:t>
            </w:r>
          </w:p>
          <w:p w14:paraId="51B96FE2">
            <w:pPr>
              <w:snapToGrid w:val="0"/>
              <w:ind w:right="105" w:rightChars="50"/>
              <w:jc w:val="left"/>
              <w:rPr>
                <w:rFonts w:hint="eastAsia" w:eastAsia="宋体"/>
                <w:szCs w:val="20"/>
                <w:lang w:eastAsia="zh-CN"/>
              </w:rPr>
            </w:pPr>
            <w:r>
              <w:rPr>
                <w:rFonts w:hint="eastAsia"/>
              </w:rPr>
              <w:t>b 允许5%的钢板长度为11500~12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00mm</w:t>
            </w:r>
            <w:r>
              <w:rPr>
                <w:rFonts w:hint="eastAsia"/>
                <w:lang w:eastAsia="zh-CN"/>
              </w:rPr>
              <w:t>；</w:t>
            </w:r>
          </w:p>
          <w:p w14:paraId="5461548E">
            <w:pPr>
              <w:snapToGrid w:val="0"/>
              <w:ind w:right="105" w:rightChars="50"/>
              <w:jc w:val="left"/>
              <w:rPr>
                <w:szCs w:val="20"/>
              </w:rPr>
            </w:pPr>
            <w:r>
              <w:rPr>
                <w:rFonts w:hint="eastAsia"/>
                <w:szCs w:val="20"/>
              </w:rPr>
              <w:t>c  90%的炉批中每炉钢板应不少于150吨，其余10%的炉批中每炉钢板应不少于50吨。</w:t>
            </w:r>
          </w:p>
        </w:tc>
      </w:tr>
    </w:tbl>
    <w:p w14:paraId="5C1EAC43">
      <w:pPr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3 炼钢、连铸、轧钢和材料要求</w:t>
      </w:r>
    </w:p>
    <w:p w14:paraId="617AE4C9">
      <w:pPr>
        <w:widowControl/>
        <w:autoSpaceDE w:val="0"/>
        <w:autoSpaceDN w:val="0"/>
        <w:adjustRightInd w:val="0"/>
        <w:snapToGrid w:val="0"/>
        <w:ind w:left="480" w:hanging="480" w:hangingChars="200"/>
        <w:rPr>
          <w:color w:val="auto"/>
          <w:sz w:val="24"/>
        </w:rPr>
      </w:pPr>
      <w:r>
        <w:rPr>
          <w:rFonts w:hint="eastAsia"/>
          <w:sz w:val="24"/>
        </w:rPr>
        <w:t xml:space="preserve">3.1 </w:t>
      </w:r>
      <w:r>
        <w:rPr>
          <w:rFonts w:hAnsi="宋体"/>
          <w:sz w:val="24"/>
        </w:rPr>
        <w:t>钢材须为吹氧转炉或电炉冶炼并经真空脱气、钙和微钛处理的</w:t>
      </w:r>
      <w:r>
        <w:rPr>
          <w:rFonts w:hint="eastAsia" w:hAnsi="宋体"/>
          <w:sz w:val="24"/>
          <w:lang w:val="en-US" w:eastAsia="zh-CN"/>
        </w:rPr>
        <w:t>纯净</w:t>
      </w:r>
      <w:r>
        <w:rPr>
          <w:rFonts w:hint="eastAsia" w:hAnsi="宋体"/>
          <w:sz w:val="24"/>
        </w:rPr>
        <w:t>镇静钢</w:t>
      </w:r>
      <w:r>
        <w:rPr>
          <w:rFonts w:hAnsi="宋体"/>
          <w:sz w:val="24"/>
        </w:rPr>
        <w:t>。</w:t>
      </w:r>
      <w:r>
        <w:rPr>
          <w:rFonts w:hint="eastAsia" w:hAnsi="宋体"/>
          <w:sz w:val="24"/>
        </w:rPr>
        <w:t>晶粒尺寸应为</w:t>
      </w:r>
      <w:r>
        <w:rPr>
          <w:rFonts w:hAnsi="宋体"/>
          <w:sz w:val="24"/>
        </w:rPr>
        <w:t>No</w:t>
      </w:r>
      <w:r>
        <w:rPr>
          <w:rFonts w:hAnsi="宋体"/>
          <w:color w:val="auto"/>
          <w:sz w:val="24"/>
        </w:rPr>
        <w:t>.</w:t>
      </w:r>
      <w:r>
        <w:rPr>
          <w:rFonts w:hint="eastAsia" w:hAnsi="宋体"/>
          <w:color w:val="auto"/>
          <w:sz w:val="24"/>
        </w:rPr>
        <w:t>10</w:t>
      </w:r>
      <w:r>
        <w:rPr>
          <w:rFonts w:hAnsi="宋体"/>
          <w:color w:val="auto"/>
          <w:sz w:val="24"/>
        </w:rPr>
        <w:t>级或更细。</w:t>
      </w:r>
    </w:p>
    <w:p w14:paraId="0AC24380">
      <w:pPr>
        <w:widowControl/>
        <w:autoSpaceDE w:val="0"/>
        <w:autoSpaceDN w:val="0"/>
        <w:adjustRightInd w:val="0"/>
        <w:snapToGrid w:val="0"/>
        <w:ind w:left="480" w:hanging="480" w:hanging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3.2 </w:t>
      </w:r>
      <w:r>
        <w:rPr>
          <w:rFonts w:hint="eastAsia" w:hAnsi="宋体"/>
          <w:color w:val="auto"/>
          <w:sz w:val="24"/>
        </w:rPr>
        <w:t>钢坯生产采用连续浇铸工艺</w:t>
      </w:r>
      <w:r>
        <w:rPr>
          <w:rFonts w:hint="eastAsia"/>
          <w:color w:val="auto"/>
          <w:sz w:val="24"/>
        </w:rPr>
        <w:t>，应控制中心偏析。</w:t>
      </w:r>
    </w:p>
    <w:p w14:paraId="71CE3109">
      <w:pPr>
        <w:widowControl/>
        <w:autoSpaceDE w:val="0"/>
        <w:autoSpaceDN w:val="0"/>
        <w:adjustRightInd w:val="0"/>
        <w:snapToGrid w:val="0"/>
        <w:ind w:left="480" w:hanging="480" w:hanging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3.3 母板或钢坯宽度方向不允许剖分切割。</w:t>
      </w:r>
    </w:p>
    <w:p w14:paraId="24D250D0">
      <w:pPr>
        <w:widowControl/>
        <w:autoSpaceDE w:val="0"/>
        <w:autoSpaceDN w:val="0"/>
        <w:adjustRightInd w:val="0"/>
        <w:snapToGrid w:val="0"/>
        <w:ind w:left="480" w:hanging="480" w:hanging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 xml:space="preserve">3.4 </w:t>
      </w:r>
      <w:r>
        <w:rPr>
          <w:color w:val="auto"/>
          <w:sz w:val="24"/>
        </w:rPr>
        <w:t>钢板须用热机械控轧工艺（TMCP）生产</w:t>
      </w:r>
      <w:r>
        <w:rPr>
          <w:rFonts w:hint="eastAsia"/>
          <w:color w:val="auto"/>
          <w:sz w:val="24"/>
        </w:rPr>
        <w:t>，包括加速水冷法。</w:t>
      </w:r>
    </w:p>
    <w:p w14:paraId="565A8852">
      <w:pPr>
        <w:widowControl/>
        <w:autoSpaceDE w:val="0"/>
        <w:autoSpaceDN w:val="0"/>
        <w:adjustRightInd w:val="0"/>
        <w:snapToGrid w:val="0"/>
        <w:rPr>
          <w:color w:val="auto"/>
          <w:sz w:val="24"/>
        </w:rPr>
      </w:pPr>
      <w:r>
        <w:rPr>
          <w:rFonts w:hint="eastAsia"/>
          <w:color w:val="auto"/>
          <w:sz w:val="24"/>
        </w:rPr>
        <w:t>3.5 钢板应保持其轧制状态，不允许任何补焊。</w:t>
      </w:r>
    </w:p>
    <w:p w14:paraId="79DA3595">
      <w:pPr>
        <w:widowControl/>
        <w:autoSpaceDE w:val="0"/>
        <w:autoSpaceDN w:val="0"/>
        <w:adjustRightInd w:val="0"/>
        <w:snapToGrid w:val="0"/>
        <w:ind w:left="480" w:hanging="480" w:hangingChars="200"/>
        <w:rPr>
          <w:color w:val="auto"/>
          <w:sz w:val="24"/>
        </w:rPr>
      </w:pPr>
      <w:r>
        <w:rPr>
          <w:rFonts w:hint="eastAsia" w:hAnsi="宋体"/>
          <w:color w:val="auto"/>
          <w:sz w:val="24"/>
        </w:rPr>
        <w:t xml:space="preserve">3.6 </w:t>
      </w:r>
      <w:r>
        <w:rPr>
          <w:rFonts w:hAnsi="宋体"/>
          <w:color w:val="auto"/>
          <w:sz w:val="24"/>
        </w:rPr>
        <w:t>钢</w:t>
      </w:r>
      <w:r>
        <w:rPr>
          <w:rFonts w:hint="eastAsia" w:hAnsi="宋体"/>
          <w:color w:val="auto"/>
          <w:sz w:val="24"/>
        </w:rPr>
        <w:t>板</w:t>
      </w:r>
      <w:r>
        <w:rPr>
          <w:rFonts w:hAnsi="宋体"/>
          <w:color w:val="auto"/>
          <w:sz w:val="24"/>
        </w:rPr>
        <w:t>A、B、C、D类非金属夹杂物级别</w:t>
      </w:r>
      <w:r>
        <w:rPr>
          <w:rFonts w:hint="eastAsia" w:hAnsi="宋体"/>
          <w:color w:val="auto"/>
          <w:sz w:val="24"/>
        </w:rPr>
        <w:t>应小于等于2.0</w:t>
      </w:r>
      <w:r>
        <w:rPr>
          <w:rFonts w:hAnsi="宋体"/>
          <w:color w:val="auto"/>
          <w:sz w:val="24"/>
        </w:rPr>
        <w:t>。如果出现厚度大于35μm的B类夹杂物以及直径超过53μm的D类夹杂物须报告</w:t>
      </w:r>
      <w:r>
        <w:rPr>
          <w:rFonts w:hint="eastAsia" w:hAnsi="宋体"/>
          <w:color w:val="auto"/>
          <w:sz w:val="24"/>
        </w:rPr>
        <w:t>。</w:t>
      </w:r>
    </w:p>
    <w:p w14:paraId="723F3F9D">
      <w:pPr>
        <w:widowControl/>
        <w:autoSpaceDE w:val="0"/>
        <w:autoSpaceDN w:val="0"/>
        <w:adjustRightInd w:val="0"/>
        <w:snapToGrid w:val="0"/>
        <w:ind w:left="480" w:hanging="480" w:hangingChars="200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 xml:space="preserve">3.7 </w:t>
      </w:r>
      <w:r>
        <w:rPr>
          <w:rFonts w:hAnsi="宋体"/>
          <w:color w:val="auto"/>
          <w:sz w:val="24"/>
        </w:rPr>
        <w:t>带状组织应不大于3级。</w:t>
      </w:r>
    </w:p>
    <w:p w14:paraId="244F6FA0">
      <w:pPr>
        <w:widowControl/>
        <w:autoSpaceDE w:val="0"/>
        <w:autoSpaceDN w:val="0"/>
        <w:adjustRightInd w:val="0"/>
        <w:snapToGrid w:val="0"/>
        <w:ind w:left="480" w:hanging="480" w:hangingChars="200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 xml:space="preserve">3.8 </w:t>
      </w:r>
      <w:r>
        <w:rPr>
          <w:rFonts w:hAnsi="宋体"/>
          <w:color w:val="auto"/>
          <w:sz w:val="24"/>
        </w:rPr>
        <w:t>显微组织检验按GB/T 13298进行，夹杂物级别按ASTM E45</w:t>
      </w:r>
      <w:r>
        <w:rPr>
          <w:rFonts w:hint="eastAsia" w:hAnsi="宋体"/>
          <w:color w:val="auto"/>
          <w:sz w:val="24"/>
        </w:rPr>
        <w:t xml:space="preserve"> </w:t>
      </w:r>
      <w:r>
        <w:rPr>
          <w:rFonts w:hAnsi="宋体"/>
          <w:color w:val="auto"/>
          <w:sz w:val="24"/>
        </w:rPr>
        <w:t>A法进行</w:t>
      </w:r>
      <w:r>
        <w:rPr>
          <w:rFonts w:hint="eastAsia" w:hAnsi="宋体"/>
          <w:color w:val="auto"/>
          <w:sz w:val="24"/>
        </w:rPr>
        <w:t>测定，带状组织评定按</w:t>
      </w:r>
      <w:r>
        <w:rPr>
          <w:rFonts w:hint="eastAsia" w:hAnsi="宋体"/>
          <w:color w:val="auto"/>
          <w:sz w:val="24"/>
          <w:lang w:val="en-US" w:eastAsia="zh-CN"/>
        </w:rPr>
        <w:t>顾客标准</w:t>
      </w:r>
      <w:r>
        <w:rPr>
          <w:rFonts w:hint="eastAsia" w:hAnsi="宋体"/>
          <w:color w:val="auto"/>
          <w:sz w:val="24"/>
        </w:rPr>
        <w:t>附录VI进行，晶粒度评定按</w:t>
      </w:r>
      <w:r>
        <w:rPr>
          <w:rFonts w:hAnsi="宋体"/>
          <w:color w:val="auto"/>
          <w:sz w:val="24"/>
        </w:rPr>
        <w:t>ASTM E112</w:t>
      </w:r>
      <w:r>
        <w:rPr>
          <w:rFonts w:hint="eastAsia" w:hAnsi="宋体"/>
          <w:color w:val="auto"/>
          <w:sz w:val="24"/>
        </w:rPr>
        <w:t>或</w:t>
      </w:r>
      <w:r>
        <w:rPr>
          <w:rFonts w:hAnsi="宋体"/>
          <w:color w:val="auto"/>
          <w:sz w:val="24"/>
        </w:rPr>
        <w:t>GB/T 4335</w:t>
      </w:r>
      <w:r>
        <w:rPr>
          <w:rFonts w:hint="eastAsia" w:hAnsi="宋体"/>
          <w:color w:val="auto"/>
          <w:sz w:val="24"/>
        </w:rPr>
        <w:t>进行。</w:t>
      </w:r>
    </w:p>
    <w:p w14:paraId="4030A7A1">
      <w:pPr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4 化学</w:t>
      </w:r>
      <w:r>
        <w:rPr>
          <w:rFonts w:ascii="黑体" w:eastAsia="黑体"/>
          <w:sz w:val="24"/>
        </w:rPr>
        <w:t>成分</w:t>
      </w:r>
    </w:p>
    <w:p w14:paraId="7BC3A412">
      <w:pPr>
        <w:pStyle w:val="10"/>
        <w:spacing w:before="156" w:beforeLines="50" w:after="156" w:afterLines="50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按本技术条件供应的钢板</w:t>
      </w:r>
      <w:r>
        <w:rPr>
          <w:rFonts w:hint="eastAsia" w:ascii="Times New Roman" w:hAnsi="Times New Roman"/>
          <w:bCs/>
          <w:sz w:val="24"/>
          <w:szCs w:val="24"/>
        </w:rPr>
        <w:t>，</w:t>
      </w:r>
      <w:r>
        <w:rPr>
          <w:rFonts w:ascii="Times New Roman" w:hAnsi="Times New Roman"/>
          <w:bCs/>
          <w:sz w:val="24"/>
          <w:szCs w:val="24"/>
        </w:rPr>
        <w:t>每炉应进行</w:t>
      </w:r>
      <w:r>
        <w:rPr>
          <w:rFonts w:hint="eastAsia" w:ascii="Times New Roman" w:hAnsi="Times New Roman"/>
          <w:bCs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</w:rPr>
        <w:t>次熔炼分析</w:t>
      </w:r>
      <w:r>
        <w:rPr>
          <w:rFonts w:hint="eastAsia" w:ascii="Times New Roman" w:hAnsi="Times New Roman"/>
          <w:bCs/>
          <w:sz w:val="24"/>
          <w:szCs w:val="24"/>
        </w:rPr>
        <w:t>和产品分析</w:t>
      </w:r>
      <w:r>
        <w:rPr>
          <w:rFonts w:ascii="Times New Roman" w:hAnsi="Times New Roman"/>
          <w:bCs/>
          <w:sz w:val="24"/>
          <w:szCs w:val="24"/>
        </w:rPr>
        <w:t>，</w:t>
      </w:r>
      <w:r>
        <w:rPr>
          <w:rFonts w:hint="eastAsia" w:ascii="Times New Roman" w:hAnsi="Times New Roman"/>
          <w:bCs/>
          <w:sz w:val="24"/>
          <w:szCs w:val="24"/>
        </w:rPr>
        <w:t>钢板熔炼及</w:t>
      </w:r>
      <w:r>
        <w:rPr>
          <w:rFonts w:ascii="Times New Roman" w:hAnsi="Times New Roman"/>
          <w:bCs/>
          <w:sz w:val="24"/>
          <w:szCs w:val="24"/>
        </w:rPr>
        <w:t>产品分析应符合表2要求。</w:t>
      </w:r>
    </w:p>
    <w:p w14:paraId="6B68FF18">
      <w:pPr>
        <w:pStyle w:val="2"/>
        <w:keepNext w:val="0"/>
        <w:rPr>
          <w:sz w:val="21"/>
          <w:szCs w:val="21"/>
        </w:rPr>
      </w:pPr>
      <w:r>
        <w:rPr>
          <w:sz w:val="21"/>
          <w:szCs w:val="21"/>
        </w:rPr>
        <w:t>表2</w:t>
      </w:r>
      <w:r>
        <w:rPr>
          <w:rFonts w:hint="eastAsia"/>
          <w:sz w:val="21"/>
          <w:szCs w:val="21"/>
        </w:rPr>
        <w:t>熔炼及</w:t>
      </w:r>
      <w:r>
        <w:rPr>
          <w:sz w:val="21"/>
          <w:szCs w:val="21"/>
        </w:rPr>
        <w:t>产品分析要求</w:t>
      </w:r>
    </w:p>
    <w:tbl>
      <w:tblPr>
        <w:tblStyle w:val="18"/>
        <w:tblW w:w="87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2"/>
        <w:gridCol w:w="2932"/>
        <w:gridCol w:w="2933"/>
      </w:tblGrid>
      <w:tr w14:paraId="76B45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Merge w:val="restart"/>
            <w:vAlign w:val="center"/>
          </w:tcPr>
          <w:p w14:paraId="65083D28">
            <w:pPr>
              <w:snapToGri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元素</w:t>
            </w:r>
          </w:p>
        </w:tc>
        <w:tc>
          <w:tcPr>
            <w:tcW w:w="5865" w:type="dxa"/>
            <w:gridSpan w:val="2"/>
          </w:tcPr>
          <w:p w14:paraId="0359D263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质量分数（%）</w:t>
            </w:r>
          </w:p>
        </w:tc>
      </w:tr>
      <w:tr w14:paraId="3CD89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Merge w:val="continue"/>
            <w:vAlign w:val="center"/>
          </w:tcPr>
          <w:p w14:paraId="519FBFBA">
            <w:pPr>
              <w:snapToGrid w:val="0"/>
              <w:jc w:val="center"/>
              <w:rPr>
                <w:snapToGrid w:val="0"/>
              </w:rPr>
            </w:pPr>
          </w:p>
        </w:tc>
        <w:tc>
          <w:tcPr>
            <w:tcW w:w="2932" w:type="dxa"/>
          </w:tcPr>
          <w:p w14:paraId="4A73CE14">
            <w:pPr>
              <w:snapToGri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min</w:t>
            </w:r>
          </w:p>
        </w:tc>
        <w:tc>
          <w:tcPr>
            <w:tcW w:w="2933" w:type="dxa"/>
          </w:tcPr>
          <w:p w14:paraId="73E90278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max</w:t>
            </w:r>
          </w:p>
        </w:tc>
      </w:tr>
      <w:tr w14:paraId="286F2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15CACE97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C</w:t>
            </w:r>
            <w:r>
              <w:rPr>
                <w:rFonts w:hint="eastAsia"/>
                <w:snapToGrid w:val="0"/>
                <w:vertAlign w:val="superscript"/>
              </w:rPr>
              <w:t>a</w:t>
            </w:r>
          </w:p>
        </w:tc>
        <w:tc>
          <w:tcPr>
            <w:tcW w:w="2932" w:type="dxa"/>
            <w:vAlign w:val="center"/>
          </w:tcPr>
          <w:p w14:paraId="35994CD9">
            <w:pPr>
              <w:snapToGrid w:val="0"/>
              <w:jc w:val="center"/>
              <w:rPr>
                <w:rFonts w:hint="eastAsia" w:eastAsia="宋体"/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/</w:t>
            </w:r>
          </w:p>
        </w:tc>
        <w:tc>
          <w:tcPr>
            <w:tcW w:w="2933" w:type="dxa"/>
            <w:vAlign w:val="center"/>
          </w:tcPr>
          <w:p w14:paraId="67F4EE5C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val="en-US" w:eastAsia="zh-CN"/>
              </w:rPr>
            </w:pPr>
            <w:r>
              <w:rPr>
                <w:rFonts w:hint="eastAsia"/>
                <w:snapToGrid w:val="0"/>
                <w:color w:val="auto"/>
              </w:rPr>
              <w:t>0.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09</w:t>
            </w:r>
          </w:p>
        </w:tc>
      </w:tr>
      <w:tr w14:paraId="0162B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1207ACC2">
            <w:pPr>
              <w:snapToGri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Si</w:t>
            </w:r>
          </w:p>
        </w:tc>
        <w:tc>
          <w:tcPr>
            <w:tcW w:w="2932" w:type="dxa"/>
            <w:vAlign w:val="center"/>
          </w:tcPr>
          <w:p w14:paraId="7DAD5E7E">
            <w:pPr>
              <w:snapToGrid w:val="0"/>
              <w:jc w:val="center"/>
              <w:rPr>
                <w:rFonts w:hint="eastAsia" w:eastAsia="宋体"/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/</w:t>
            </w:r>
          </w:p>
        </w:tc>
        <w:tc>
          <w:tcPr>
            <w:tcW w:w="2933" w:type="dxa"/>
            <w:vAlign w:val="center"/>
          </w:tcPr>
          <w:p w14:paraId="630646F4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val="en-US" w:eastAsia="zh-CN"/>
              </w:rPr>
            </w:pPr>
            <w:r>
              <w:rPr>
                <w:rFonts w:hint="eastAsia"/>
                <w:snapToGrid w:val="0"/>
                <w:color w:val="auto"/>
              </w:rPr>
              <w:t>0.3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5</w:t>
            </w:r>
          </w:p>
        </w:tc>
      </w:tr>
      <w:tr w14:paraId="76DD5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6A5E3F3C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color w:val="FF0000"/>
              </w:rPr>
              <w:t>M</w:t>
            </w:r>
            <w:r>
              <w:rPr>
                <w:snapToGrid w:val="0"/>
                <w:color w:val="FF0000"/>
              </w:rPr>
              <w:t>n</w:t>
            </w:r>
            <w:r>
              <w:rPr>
                <w:rFonts w:hint="eastAsia"/>
                <w:snapToGrid w:val="0"/>
                <w:color w:val="FF0000"/>
                <w:vertAlign w:val="superscript"/>
              </w:rPr>
              <w:t>a</w:t>
            </w:r>
          </w:p>
        </w:tc>
        <w:tc>
          <w:tcPr>
            <w:tcW w:w="2932" w:type="dxa"/>
            <w:vAlign w:val="center"/>
          </w:tcPr>
          <w:p w14:paraId="406D2811">
            <w:pPr>
              <w:snapToGrid w:val="0"/>
              <w:jc w:val="center"/>
              <w:rPr>
                <w:rFonts w:hint="eastAsia" w:eastAsia="宋体"/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/</w:t>
            </w:r>
          </w:p>
        </w:tc>
        <w:tc>
          <w:tcPr>
            <w:tcW w:w="2933" w:type="dxa"/>
            <w:vAlign w:val="center"/>
          </w:tcPr>
          <w:p w14:paraId="53BEA8B3">
            <w:pPr>
              <w:snapToGrid w:val="0"/>
              <w:jc w:val="center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1.65</w:t>
            </w:r>
          </w:p>
        </w:tc>
      </w:tr>
      <w:tr w14:paraId="4B463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16125A65">
            <w:pPr>
              <w:snapToGri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P</w:t>
            </w:r>
          </w:p>
        </w:tc>
        <w:tc>
          <w:tcPr>
            <w:tcW w:w="2932" w:type="dxa"/>
            <w:vAlign w:val="center"/>
          </w:tcPr>
          <w:p w14:paraId="3A4F2401">
            <w:pPr>
              <w:snapToGrid w:val="0"/>
              <w:jc w:val="center"/>
              <w:rPr>
                <w:rFonts w:hint="eastAsia"/>
                <w:snapToGrid w:val="0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933" w:type="dxa"/>
            <w:vAlign w:val="center"/>
          </w:tcPr>
          <w:p w14:paraId="7B243C27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eastAsia="zh-CN"/>
              </w:rPr>
            </w:pPr>
            <w:r>
              <w:rPr>
                <w:rFonts w:hint="eastAsia"/>
                <w:snapToGrid w:val="0"/>
                <w:color w:val="auto"/>
              </w:rPr>
              <w:t>0.01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8</w:t>
            </w:r>
          </w:p>
        </w:tc>
      </w:tr>
      <w:tr w14:paraId="1BB76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  <w:jc w:val="center"/>
        </w:trPr>
        <w:tc>
          <w:tcPr>
            <w:tcW w:w="2932" w:type="dxa"/>
            <w:vAlign w:val="center"/>
          </w:tcPr>
          <w:p w14:paraId="43DE29AB">
            <w:pPr>
              <w:snapToGri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S</w:t>
            </w:r>
          </w:p>
        </w:tc>
        <w:tc>
          <w:tcPr>
            <w:tcW w:w="2932" w:type="dxa"/>
            <w:vAlign w:val="center"/>
          </w:tcPr>
          <w:p w14:paraId="773C1E62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933" w:type="dxa"/>
            <w:vAlign w:val="center"/>
          </w:tcPr>
          <w:p w14:paraId="36288C70">
            <w:pPr>
              <w:snapToGrid w:val="0"/>
              <w:jc w:val="center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0.005</w:t>
            </w:r>
          </w:p>
        </w:tc>
      </w:tr>
      <w:tr w14:paraId="71E46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548AFA0F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V</w:t>
            </w:r>
          </w:p>
        </w:tc>
        <w:tc>
          <w:tcPr>
            <w:tcW w:w="2932" w:type="dxa"/>
            <w:vAlign w:val="center"/>
          </w:tcPr>
          <w:p w14:paraId="23078961">
            <w:pPr>
              <w:snapToGrid w:val="0"/>
              <w:jc w:val="center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/</w:t>
            </w:r>
          </w:p>
        </w:tc>
        <w:tc>
          <w:tcPr>
            <w:tcW w:w="2933" w:type="dxa"/>
            <w:vAlign w:val="center"/>
          </w:tcPr>
          <w:p w14:paraId="52ABDA5A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val="en-US" w:eastAsia="zh-CN"/>
              </w:rPr>
            </w:pPr>
            <w:r>
              <w:rPr>
                <w:rFonts w:hint="eastAsia"/>
                <w:snapToGrid w:val="0"/>
                <w:color w:val="auto"/>
                <w:lang w:val="en-US" w:eastAsia="zh-CN"/>
              </w:rPr>
              <w:t>0.06</w:t>
            </w:r>
          </w:p>
        </w:tc>
      </w:tr>
      <w:tr w14:paraId="1CA2A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4CAA77FA">
            <w:pPr>
              <w:snapToGrid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Nb</w:t>
            </w:r>
          </w:p>
        </w:tc>
        <w:tc>
          <w:tcPr>
            <w:tcW w:w="2932" w:type="dxa"/>
            <w:vAlign w:val="center"/>
          </w:tcPr>
          <w:p w14:paraId="0A5D81B6">
            <w:pPr>
              <w:snapToGrid w:val="0"/>
              <w:jc w:val="center"/>
              <w:rPr>
                <w:rFonts w:hint="eastAsia" w:eastAsia="宋体"/>
                <w:snapToGrid w:val="0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933" w:type="dxa"/>
            <w:vAlign w:val="center"/>
          </w:tcPr>
          <w:p w14:paraId="55DD746E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val="en-US" w:eastAsia="zh-CN"/>
              </w:rPr>
            </w:pPr>
            <w:r>
              <w:rPr>
                <w:rFonts w:hint="eastAsia"/>
                <w:snapToGrid w:val="0"/>
                <w:color w:val="auto"/>
                <w:lang w:val="en-US" w:eastAsia="zh-CN"/>
              </w:rPr>
              <w:t>0.11</w:t>
            </w:r>
          </w:p>
        </w:tc>
      </w:tr>
      <w:tr w14:paraId="4A752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4223E5DA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Ti</w:t>
            </w:r>
          </w:p>
        </w:tc>
        <w:tc>
          <w:tcPr>
            <w:tcW w:w="2932" w:type="dxa"/>
            <w:vAlign w:val="center"/>
          </w:tcPr>
          <w:p w14:paraId="2DEAC7FF">
            <w:pPr>
              <w:snapToGrid w:val="0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/</w:t>
            </w:r>
          </w:p>
        </w:tc>
        <w:tc>
          <w:tcPr>
            <w:tcW w:w="2933" w:type="dxa"/>
            <w:vAlign w:val="center"/>
          </w:tcPr>
          <w:p w14:paraId="0DE7A82A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val="en-US" w:eastAsia="zh-CN"/>
              </w:rPr>
            </w:pPr>
            <w:r>
              <w:rPr>
                <w:rFonts w:hint="eastAsia"/>
                <w:snapToGrid w:val="0"/>
                <w:color w:val="auto"/>
                <w:lang w:val="en-US" w:eastAsia="zh-CN"/>
              </w:rPr>
              <w:t>0.025</w:t>
            </w:r>
          </w:p>
        </w:tc>
      </w:tr>
      <w:tr w14:paraId="0CB8E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79791EDA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Cu</w:t>
            </w:r>
          </w:p>
        </w:tc>
        <w:tc>
          <w:tcPr>
            <w:tcW w:w="2932" w:type="dxa"/>
            <w:vAlign w:val="center"/>
          </w:tcPr>
          <w:p w14:paraId="45656CCB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933" w:type="dxa"/>
            <w:vAlign w:val="center"/>
          </w:tcPr>
          <w:p w14:paraId="0981F42B">
            <w:pPr>
              <w:snapToGrid w:val="0"/>
              <w:jc w:val="center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0.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3</w:t>
            </w:r>
            <w:r>
              <w:rPr>
                <w:rFonts w:hint="eastAsia"/>
                <w:snapToGrid w:val="0"/>
                <w:color w:val="auto"/>
              </w:rPr>
              <w:t>0</w:t>
            </w:r>
          </w:p>
        </w:tc>
      </w:tr>
      <w:tr w14:paraId="5955D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4F17AE94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Ni</w:t>
            </w:r>
          </w:p>
        </w:tc>
        <w:tc>
          <w:tcPr>
            <w:tcW w:w="2932" w:type="dxa"/>
            <w:vAlign w:val="center"/>
          </w:tcPr>
          <w:p w14:paraId="074A483A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933" w:type="dxa"/>
            <w:vAlign w:val="center"/>
          </w:tcPr>
          <w:p w14:paraId="420A47EE">
            <w:pPr>
              <w:snapToGrid w:val="0"/>
              <w:jc w:val="center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0.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3</w:t>
            </w:r>
            <w:r>
              <w:rPr>
                <w:rFonts w:hint="eastAsia"/>
                <w:snapToGrid w:val="0"/>
                <w:color w:val="auto"/>
              </w:rPr>
              <w:t>0</w:t>
            </w:r>
          </w:p>
        </w:tc>
      </w:tr>
      <w:tr w14:paraId="44956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3576E34A">
            <w:pPr>
              <w:snapToGrid w:val="0"/>
              <w:jc w:val="center"/>
              <w:rPr>
                <w:rFonts w:hint="eastAsia"/>
                <w:snapToGrid w:val="0"/>
              </w:rPr>
            </w:pPr>
            <w:r>
              <w:rPr>
                <w:rFonts w:hint="eastAsia"/>
                <w:snapToGrid w:val="0"/>
              </w:rPr>
              <w:t>Cr</w:t>
            </w:r>
          </w:p>
        </w:tc>
        <w:tc>
          <w:tcPr>
            <w:tcW w:w="2932" w:type="dxa"/>
            <w:vAlign w:val="center"/>
          </w:tcPr>
          <w:p w14:paraId="540DF5C1">
            <w:pPr>
              <w:snapToGrid w:val="0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933" w:type="dxa"/>
            <w:vAlign w:val="center"/>
          </w:tcPr>
          <w:p w14:paraId="6AB6D994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val="en-US" w:eastAsia="zh-CN"/>
              </w:rPr>
            </w:pPr>
            <w:r>
              <w:rPr>
                <w:rFonts w:hint="eastAsia"/>
                <w:snapToGrid w:val="0"/>
                <w:color w:val="auto"/>
              </w:rPr>
              <w:t>0.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35</w:t>
            </w:r>
          </w:p>
        </w:tc>
      </w:tr>
      <w:tr w14:paraId="299DA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 w:hRule="atLeast"/>
          <w:jc w:val="center"/>
        </w:trPr>
        <w:tc>
          <w:tcPr>
            <w:tcW w:w="2932" w:type="dxa"/>
            <w:vAlign w:val="center"/>
          </w:tcPr>
          <w:p w14:paraId="4E4E30B6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Mo</w:t>
            </w:r>
          </w:p>
        </w:tc>
        <w:tc>
          <w:tcPr>
            <w:tcW w:w="2932" w:type="dxa"/>
            <w:vAlign w:val="center"/>
          </w:tcPr>
          <w:p w14:paraId="4CF36640">
            <w:pPr>
              <w:snapToGrid w:val="0"/>
              <w:jc w:val="center"/>
              <w:rPr>
                <w:rFonts w:hint="eastAsia" w:eastAsia="宋体"/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/</w:t>
            </w:r>
          </w:p>
        </w:tc>
        <w:tc>
          <w:tcPr>
            <w:tcW w:w="2933" w:type="dxa"/>
            <w:vAlign w:val="center"/>
          </w:tcPr>
          <w:p w14:paraId="600924EC">
            <w:pPr>
              <w:snapToGrid w:val="0"/>
              <w:jc w:val="center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0.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3</w:t>
            </w:r>
            <w:r>
              <w:rPr>
                <w:rFonts w:hint="eastAsia"/>
                <w:snapToGrid w:val="0"/>
                <w:color w:val="auto"/>
              </w:rPr>
              <w:t>0</w:t>
            </w:r>
          </w:p>
        </w:tc>
      </w:tr>
      <w:tr w14:paraId="463EF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4D48B035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B</w:t>
            </w:r>
          </w:p>
        </w:tc>
        <w:tc>
          <w:tcPr>
            <w:tcW w:w="2932" w:type="dxa"/>
            <w:vAlign w:val="center"/>
          </w:tcPr>
          <w:p w14:paraId="0F65F119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933" w:type="dxa"/>
            <w:vAlign w:val="center"/>
          </w:tcPr>
          <w:p w14:paraId="2E8E8E67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val="en-US" w:eastAsia="zh-CN"/>
              </w:rPr>
            </w:pPr>
            <w:r>
              <w:rPr>
                <w:rFonts w:hint="eastAsia"/>
                <w:snapToGrid w:val="0"/>
                <w:color w:val="auto"/>
              </w:rPr>
              <w:t>0.00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05</w:t>
            </w:r>
          </w:p>
        </w:tc>
      </w:tr>
      <w:tr w14:paraId="3F79E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01BB8A62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Nb+V+Ti</w:t>
            </w:r>
            <w:r>
              <w:rPr>
                <w:rFonts w:hint="eastAsia"/>
                <w:snapToGrid w:val="0"/>
                <w:vertAlign w:val="superscript"/>
              </w:rPr>
              <w:t>b</w:t>
            </w:r>
          </w:p>
        </w:tc>
        <w:tc>
          <w:tcPr>
            <w:tcW w:w="2932" w:type="dxa"/>
          </w:tcPr>
          <w:p w14:paraId="2F06B999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/</w:t>
            </w:r>
          </w:p>
        </w:tc>
        <w:tc>
          <w:tcPr>
            <w:tcW w:w="2933" w:type="dxa"/>
          </w:tcPr>
          <w:p w14:paraId="439CEBEE">
            <w:pPr>
              <w:snapToGrid w:val="0"/>
              <w:jc w:val="center"/>
              <w:rPr>
                <w:snapToGrid w:val="0"/>
                <w:color w:val="auto"/>
              </w:rPr>
            </w:pPr>
            <w:r>
              <w:rPr>
                <w:rFonts w:hint="eastAsia"/>
                <w:snapToGrid w:val="0"/>
                <w:color w:val="auto"/>
              </w:rPr>
              <w:t>0.15</w:t>
            </w:r>
          </w:p>
        </w:tc>
      </w:tr>
      <w:tr w14:paraId="56EFB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3DD13749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CE</w:t>
            </w:r>
            <w:r>
              <w:rPr>
                <w:rFonts w:hint="eastAsia"/>
                <w:snapToGrid w:val="0"/>
                <w:vertAlign w:val="subscript"/>
              </w:rPr>
              <w:t>IIW</w:t>
            </w:r>
            <w:r>
              <w:rPr>
                <w:rFonts w:hint="eastAsia"/>
                <w:snapToGrid w:val="0"/>
                <w:vertAlign w:val="superscript"/>
              </w:rPr>
              <w:t xml:space="preserve"> </w:t>
            </w:r>
          </w:p>
        </w:tc>
        <w:tc>
          <w:tcPr>
            <w:tcW w:w="2932" w:type="dxa"/>
            <w:vAlign w:val="center"/>
          </w:tcPr>
          <w:p w14:paraId="26C0E66E">
            <w:pPr>
              <w:snapToGrid w:val="0"/>
              <w:jc w:val="center"/>
              <w:rPr>
                <w:rFonts w:hint="eastAsia" w:eastAsia="宋体"/>
                <w:snapToGrid w:val="0"/>
                <w:lang w:eastAsia="zh-CN"/>
              </w:rPr>
            </w:pPr>
            <w:r>
              <w:rPr>
                <w:rFonts w:hint="eastAsia"/>
                <w:snapToGrid w:val="0"/>
                <w:lang w:val="en-US" w:eastAsia="zh-CN"/>
              </w:rPr>
              <w:t>/</w:t>
            </w:r>
          </w:p>
        </w:tc>
        <w:tc>
          <w:tcPr>
            <w:tcW w:w="2933" w:type="dxa"/>
            <w:vAlign w:val="center"/>
          </w:tcPr>
          <w:p w14:paraId="323D9E58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eastAsia="zh-CN"/>
              </w:rPr>
            </w:pPr>
            <w:r>
              <w:rPr>
                <w:rFonts w:hint="eastAsia"/>
                <w:snapToGrid w:val="0"/>
                <w:color w:val="auto"/>
                <w:lang w:val="en-US" w:eastAsia="zh-CN"/>
              </w:rPr>
              <w:t>/</w:t>
            </w:r>
          </w:p>
        </w:tc>
      </w:tr>
      <w:tr w14:paraId="43CE3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932" w:type="dxa"/>
            <w:vAlign w:val="center"/>
          </w:tcPr>
          <w:p w14:paraId="44C9E20A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color w:val="FF0000"/>
              </w:rPr>
              <w:t>CE</w:t>
            </w:r>
            <w:r>
              <w:rPr>
                <w:rFonts w:hint="eastAsia"/>
                <w:snapToGrid w:val="0"/>
                <w:color w:val="FF0000"/>
                <w:vertAlign w:val="subscript"/>
              </w:rPr>
              <w:t>Pcm</w:t>
            </w:r>
            <w:r>
              <w:rPr>
                <w:rFonts w:hint="eastAsia"/>
                <w:snapToGrid w:val="0"/>
                <w:vertAlign w:val="superscript"/>
              </w:rPr>
              <w:t xml:space="preserve"> </w:t>
            </w:r>
          </w:p>
        </w:tc>
        <w:tc>
          <w:tcPr>
            <w:tcW w:w="2932" w:type="dxa"/>
            <w:vAlign w:val="center"/>
          </w:tcPr>
          <w:p w14:paraId="28FCBC88">
            <w:pPr>
              <w:snapToGrid w:val="0"/>
              <w:jc w:val="center"/>
              <w:rPr>
                <w:snapToGrid w:val="0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933" w:type="dxa"/>
            <w:vAlign w:val="center"/>
          </w:tcPr>
          <w:p w14:paraId="0B9C9CF4">
            <w:pPr>
              <w:snapToGrid w:val="0"/>
              <w:jc w:val="center"/>
              <w:rPr>
                <w:rFonts w:hint="eastAsia" w:eastAsia="宋体"/>
                <w:snapToGrid w:val="0"/>
                <w:color w:val="auto"/>
                <w:lang w:eastAsia="zh-CN"/>
              </w:rPr>
            </w:pPr>
            <w:r>
              <w:rPr>
                <w:rFonts w:hint="eastAsia"/>
                <w:snapToGrid w:val="0"/>
                <w:color w:val="auto"/>
              </w:rPr>
              <w:t>0.2</w:t>
            </w:r>
            <w:r>
              <w:rPr>
                <w:rFonts w:hint="eastAsia"/>
                <w:snapToGrid w:val="0"/>
                <w:color w:val="auto"/>
                <w:lang w:val="en-US" w:eastAsia="zh-CN"/>
              </w:rPr>
              <w:t>1</w:t>
            </w:r>
          </w:p>
        </w:tc>
      </w:tr>
      <w:tr w14:paraId="59C57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797" w:type="dxa"/>
            <w:gridSpan w:val="3"/>
            <w:vAlign w:val="center"/>
          </w:tcPr>
          <w:p w14:paraId="1ED940BD">
            <w:pPr>
              <w:snapToGrid w:val="0"/>
              <w:ind w:left="105" w:right="105" w:rightChars="50"/>
              <w:jc w:val="left"/>
            </w:pPr>
            <w:r>
              <w:rPr>
                <w:rFonts w:hint="eastAsia"/>
              </w:rPr>
              <w:t>注：a 碳含量比规定最大质量分数每降低0.01%，则允许锰含量比规定最大质量分数增加0.05%，但最大值不应超</w:t>
            </w:r>
            <w:r>
              <w:rPr>
                <w:rFonts w:hint="eastAsia"/>
                <w:color w:val="auto"/>
              </w:rPr>
              <w:t>过1.85%</w:t>
            </w:r>
            <w:r>
              <w:rPr>
                <w:rFonts w:hint="eastAsia"/>
              </w:rPr>
              <w:t>。</w:t>
            </w:r>
          </w:p>
          <w:p w14:paraId="1B7F9CE6">
            <w:pPr>
              <w:snapToGrid w:val="0"/>
              <w:ind w:left="105" w:right="105" w:rightChars="5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b 铌、钒和钛的总含量不应超过 0.15％。在控制总量的前提下，允许供货商对单个元素含量</w:t>
            </w:r>
          </w:p>
          <w:p w14:paraId="07DA4173">
            <w:pPr>
              <w:snapToGrid w:val="0"/>
              <w:ind w:left="105" w:right="105" w:rightChars="50"/>
              <w:jc w:val="left"/>
            </w:pPr>
            <w:r>
              <w:rPr>
                <w:rFonts w:hint="eastAsia"/>
              </w:rPr>
              <w:t>进行微调。</w:t>
            </w:r>
          </w:p>
        </w:tc>
      </w:tr>
    </w:tbl>
    <w:p w14:paraId="32C814A6">
      <w:pPr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5 力学性能</w:t>
      </w:r>
    </w:p>
    <w:p w14:paraId="5C97F42C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5</w:t>
      </w:r>
      <w:r>
        <w:rPr>
          <w:bCs/>
          <w:sz w:val="24"/>
        </w:rPr>
        <w:t>.1拉伸性能</w:t>
      </w:r>
    </w:p>
    <w:p w14:paraId="0722D3E4">
      <w:pPr>
        <w:pStyle w:val="10"/>
        <w:spacing w:before="156" w:beforeLines="50" w:after="156" w:afterLines="50"/>
        <w:ind w:firstLine="480" w:firstLineChars="200"/>
        <w:rPr>
          <w:szCs w:val="20"/>
        </w:rPr>
      </w:pPr>
      <w:r>
        <w:rPr>
          <w:bCs/>
          <w:sz w:val="24"/>
        </w:rPr>
        <w:t>拉伸试验结果应符合表</w:t>
      </w:r>
      <w:r>
        <w:rPr>
          <w:rFonts w:hint="eastAsia"/>
          <w:bCs/>
          <w:sz w:val="24"/>
        </w:rPr>
        <w:t>3</w:t>
      </w:r>
      <w:r>
        <w:rPr>
          <w:bCs/>
          <w:sz w:val="24"/>
        </w:rPr>
        <w:t>的要求。</w:t>
      </w:r>
    </w:p>
    <w:p w14:paraId="19C91ACE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表</w:t>
      </w:r>
      <w:r>
        <w:rPr>
          <w:rFonts w:hint="eastAsia" w:ascii="Times New Roman" w:hAnsi="Times New Roman"/>
        </w:rPr>
        <w:t xml:space="preserve">3 </w:t>
      </w:r>
      <w:r>
        <w:rPr>
          <w:rFonts w:ascii="Times New Roman" w:hAnsi="Times New Roman"/>
        </w:rPr>
        <w:t>钢板拉伸性能要求</w:t>
      </w:r>
    </w:p>
    <w:tbl>
      <w:tblPr>
        <w:tblStyle w:val="18"/>
        <w:tblW w:w="8799" w:type="dxa"/>
        <w:tblInd w:w="-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9"/>
        <w:gridCol w:w="1259"/>
        <w:gridCol w:w="1259"/>
        <w:gridCol w:w="1259"/>
        <w:gridCol w:w="1260"/>
        <w:gridCol w:w="1259"/>
        <w:gridCol w:w="1244"/>
      </w:tblGrid>
      <w:tr w14:paraId="08C9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59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19156">
            <w:pPr>
              <w:pStyle w:val="10"/>
              <w:snapToGrid w:val="0"/>
              <w:jc w:val="center"/>
              <w:rPr>
                <w:rFonts w:hint="default"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钢级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03A0F8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屈服强度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  <w:vertAlign w:val="subscript"/>
              </w:rPr>
              <w:t>t0.5</w:t>
            </w:r>
          </w:p>
          <w:p w14:paraId="59A3F3E8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sz w:val="21"/>
              </w:rPr>
              <w:t>（MPa）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最小值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7F8A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屈服强度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  <w:vertAlign w:val="subscript"/>
              </w:rPr>
              <w:t>t0.5</w:t>
            </w:r>
          </w:p>
          <w:p w14:paraId="675ACD55">
            <w:pPr>
              <w:pStyle w:val="11"/>
              <w:snapToGrid w:val="0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（MPa）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最大值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CDFD45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</w:rPr>
              <w:t>抗拉强度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  <w:vertAlign w:val="subscript"/>
              </w:rPr>
              <w:t>m</w:t>
            </w:r>
          </w:p>
          <w:p w14:paraId="27E4A4A5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eastAsia="宋体"/>
                <w:sz w:val="21"/>
              </w:rPr>
              <w:t>（MPa）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最小值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EBF13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抗拉强度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  <w:vertAlign w:val="subscript"/>
              </w:rPr>
              <w:t>m</w:t>
            </w:r>
          </w:p>
          <w:p w14:paraId="17CECF8F">
            <w:pPr>
              <w:pStyle w:val="11"/>
              <w:snapToGrid w:val="0"/>
              <w:jc w:val="center"/>
              <w:rPr>
                <w:rFonts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（MPa）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最大值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9DD40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屈强比</w:t>
            </w:r>
          </w:p>
          <w:p w14:paraId="07EB1490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  <w:lang w:val="en-US" w:eastAsia="zh-CN"/>
              </w:rPr>
            </w:pP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  <w:vertAlign w:val="subscript"/>
              </w:rPr>
              <w:t>t0.5</w:t>
            </w:r>
            <w:r>
              <w:rPr>
                <w:rFonts w:hint="eastAsia" w:ascii="Times New Roman" w:eastAsia="宋体"/>
                <w:sz w:val="21"/>
              </w:rPr>
              <w:t>/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  <w:vertAlign w:val="subscript"/>
              </w:rPr>
              <w:t>m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最大值</w:t>
            </w:r>
          </w:p>
        </w:tc>
        <w:tc>
          <w:tcPr>
            <w:tcW w:w="124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26134">
            <w:pPr>
              <w:pStyle w:val="10"/>
              <w:snapToGrid w:val="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伸长率 </w:t>
            </w:r>
            <w:r>
              <w:rPr>
                <w:rFonts w:hint="eastAsia" w:ascii="Times New Roman" w:hAnsi="Times New Roman"/>
                <w:color w:val="auto"/>
              </w:rPr>
              <w:t>A</w:t>
            </w:r>
            <w:r>
              <w:rPr>
                <w:rFonts w:hint="eastAsia" w:ascii="Times New Roman" w:hAnsi="Times New Roman"/>
                <w:iCs/>
                <w:color w:val="auto"/>
                <w:vertAlign w:val="subscript"/>
              </w:rPr>
              <w:t>50</w:t>
            </w:r>
          </w:p>
          <w:p w14:paraId="4639A6F3">
            <w:pPr>
              <w:pStyle w:val="10"/>
              <w:snapToGrid w:val="0"/>
              <w:jc w:val="center"/>
              <w:rPr>
                <w:rFonts w:hint="eastAsia" w:ascii="Times New Roman" w:hAnsi="Times New Roman" w:eastAsia="宋体"/>
                <w:lang w:eastAsia="zh-CN"/>
              </w:rPr>
            </w:pPr>
            <w:r>
              <w:rPr>
                <w:rFonts w:hint="eastAsia" w:ascii="Times New Roman" w:hAnsi="Times New Roman"/>
              </w:rPr>
              <w:t>（%）</w:t>
            </w:r>
            <w:r>
              <w:rPr>
                <w:rFonts w:hint="eastAsia" w:ascii="Times New Roman" w:hAnsi="Times New Roman"/>
                <w:lang w:val="en-US" w:eastAsia="zh-CN"/>
              </w:rPr>
              <w:t>最小值</w:t>
            </w:r>
          </w:p>
        </w:tc>
      </w:tr>
      <w:tr w14:paraId="3E181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2F695C2">
            <w:pPr>
              <w:snapToGrid w:val="0"/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C542FA9">
            <w:pPr>
              <w:pStyle w:val="1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500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5EDE35">
            <w:pPr>
              <w:pStyle w:val="1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FF0000"/>
              </w:rPr>
              <w:t>620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D9D7E5A">
            <w:pPr>
              <w:pStyle w:val="1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5</w:t>
            </w:r>
            <w:r>
              <w:rPr>
                <w:rFonts w:hint="eastAsia" w:ascii="Times New Roman" w:hAnsi="Times New Roman"/>
                <w:color w:val="auto"/>
                <w:lang w:val="en-US" w:eastAsia="zh-CN"/>
              </w:rPr>
              <w:t>7</w:t>
            </w:r>
            <w:r>
              <w:rPr>
                <w:rFonts w:hint="eastAsia" w:ascii="Times New Roman" w:hAnsi="Times New Roman"/>
                <w:color w:val="auto"/>
              </w:rPr>
              <w:t>0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689E64">
            <w:pPr>
              <w:pStyle w:val="1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FF0000"/>
              </w:rPr>
              <w:t>7</w:t>
            </w:r>
            <w:r>
              <w:rPr>
                <w:rFonts w:hint="eastAsia" w:ascii="Times New Roman" w:hAnsi="Times New Roman"/>
                <w:color w:val="FF0000"/>
                <w:lang w:val="en-US" w:eastAsia="zh-CN"/>
              </w:rPr>
              <w:t>5</w:t>
            </w:r>
            <w:r>
              <w:rPr>
                <w:rFonts w:hint="eastAsia" w:ascii="Times New Roman" w:hAnsi="Times New Roman"/>
                <w:color w:val="FF0000"/>
              </w:rPr>
              <w:t>0</w:t>
            </w:r>
          </w:p>
        </w:tc>
        <w:tc>
          <w:tcPr>
            <w:tcW w:w="125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92ED7CE">
            <w:pPr>
              <w:snapToGrid w:val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0.91</w:t>
            </w:r>
          </w:p>
        </w:tc>
        <w:tc>
          <w:tcPr>
            <w:tcW w:w="12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DE1EC0F">
            <w:pPr>
              <w:pStyle w:val="1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30</w:t>
            </w:r>
          </w:p>
        </w:tc>
      </w:tr>
      <w:tr w14:paraId="07604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8799" w:type="dxa"/>
            <w:gridSpan w:val="7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878D9D9">
            <w:pPr>
              <w:pStyle w:val="10"/>
              <w:snapToGrid w:val="0"/>
              <w:ind w:left="105" w:leftChars="50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根据协商一致原则，由制造商负责对供应钢板</w:t>
            </w:r>
            <w:r>
              <w:rPr>
                <w:rFonts w:hint="eastAsia" w:ascii="Times New Roman" w:hAnsi="Times New Roman"/>
                <w:color w:val="auto"/>
              </w:rPr>
              <w:t>拉伸性能</w:t>
            </w:r>
            <w:r>
              <w:rPr>
                <w:rFonts w:ascii="Times New Roman" w:hAnsi="Times New Roman"/>
                <w:color w:val="auto"/>
              </w:rPr>
              <w:t>进行调整，</w:t>
            </w:r>
            <w:r>
              <w:rPr>
                <w:rFonts w:ascii="Times New Roman" w:hAnsi="Times New Roman"/>
                <w:color w:val="auto"/>
                <w:szCs w:val="21"/>
              </w:rPr>
              <w:t>但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应</w:t>
            </w:r>
            <w:r>
              <w:rPr>
                <w:rFonts w:ascii="Times New Roman" w:hAnsi="Times New Roman"/>
                <w:color w:val="auto"/>
                <w:szCs w:val="21"/>
              </w:rPr>
              <w:t>保证</w:t>
            </w:r>
            <w:r>
              <w:rPr>
                <w:rFonts w:hint="eastAsia" w:ascii="Times New Roman" w:hAnsi="Times New Roman"/>
                <w:color w:val="auto"/>
                <w:szCs w:val="21"/>
              </w:rPr>
              <w:t>制成钢管的拉伸性能</w:t>
            </w:r>
            <w:r>
              <w:rPr>
                <w:rFonts w:hint="eastAsia" w:ascii="Times New Roman" w:hAnsi="Times New Roman"/>
                <w:color w:val="auto"/>
              </w:rPr>
              <w:t>符合表3.1要求。</w:t>
            </w:r>
          </w:p>
          <w:p w14:paraId="1FD486C8">
            <w:pPr>
              <w:pStyle w:val="10"/>
              <w:snapToGrid w:val="0"/>
              <w:ind w:left="105" w:leftChars="50"/>
              <w:jc w:val="left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钢板制造商应保证板材屈服强度均匀，同一钢板的屈服强度差不应大于</w:t>
            </w:r>
            <w:r>
              <w:rPr>
                <w:rFonts w:hint="eastAsia" w:ascii="Times New Roman" w:hAnsi="Times New Roman"/>
                <w:color w:val="auto"/>
              </w:rPr>
              <w:t>6</w:t>
            </w:r>
            <w:r>
              <w:rPr>
                <w:rFonts w:ascii="Times New Roman" w:hAnsi="Times New Roman"/>
                <w:color w:val="auto"/>
              </w:rPr>
              <w:t>0MPa。</w:t>
            </w:r>
          </w:p>
        </w:tc>
      </w:tr>
    </w:tbl>
    <w:p w14:paraId="5399E2E1">
      <w:pPr>
        <w:pStyle w:val="1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表</w:t>
      </w:r>
      <w:r>
        <w:rPr>
          <w:rFonts w:hint="eastAsia" w:ascii="Times New Roman" w:hAnsi="Times New Roman"/>
          <w:color w:val="auto"/>
        </w:rPr>
        <w:t>3.1 钢管</w:t>
      </w:r>
      <w:r>
        <w:rPr>
          <w:rFonts w:ascii="Times New Roman" w:hAnsi="Times New Roman"/>
          <w:color w:val="auto"/>
        </w:rPr>
        <w:t>拉伸性能要求</w:t>
      </w:r>
    </w:p>
    <w:tbl>
      <w:tblPr>
        <w:tblStyle w:val="18"/>
        <w:tblW w:w="8799" w:type="dxa"/>
        <w:tblInd w:w="-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244"/>
        <w:gridCol w:w="6"/>
        <w:gridCol w:w="1251"/>
        <w:gridCol w:w="1258"/>
        <w:gridCol w:w="4"/>
        <w:gridCol w:w="1254"/>
        <w:gridCol w:w="1271"/>
        <w:gridCol w:w="1244"/>
      </w:tblGrid>
      <w:tr w14:paraId="3890D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267" w:type="dxa"/>
            <w:tcBorders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BA366">
            <w:pPr>
              <w:pStyle w:val="1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钢级</w:t>
            </w:r>
          </w:p>
        </w:tc>
        <w:tc>
          <w:tcPr>
            <w:tcW w:w="125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363CB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屈服强度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  <w:vertAlign w:val="subscript"/>
              </w:rPr>
              <w:t>t0.5</w:t>
            </w:r>
          </w:p>
          <w:p w14:paraId="00DF78F6">
            <w:pPr>
              <w:pStyle w:val="11"/>
              <w:snapToGrid w:val="0"/>
              <w:jc w:val="center"/>
              <w:rPr>
                <w:rFonts w:ascii="Times New Roman" w:eastAsia="宋体"/>
                <w:color w:val="auto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（MPa）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最小值</w:t>
            </w:r>
          </w:p>
        </w:tc>
        <w:tc>
          <w:tcPr>
            <w:tcW w:w="125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69F2B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屈服强度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  <w:vertAlign w:val="subscript"/>
              </w:rPr>
              <w:t>t0.5</w:t>
            </w:r>
          </w:p>
          <w:p w14:paraId="35236397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（MPa）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最大值</w:t>
            </w:r>
          </w:p>
        </w:tc>
        <w:tc>
          <w:tcPr>
            <w:tcW w:w="1258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6E913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  <w:szCs w:val="21"/>
              </w:rPr>
            </w:pPr>
            <w:r>
              <w:rPr>
                <w:rFonts w:hint="eastAsia" w:ascii="Times New Roman" w:eastAsia="宋体"/>
                <w:sz w:val="21"/>
              </w:rPr>
              <w:t>抗拉强度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  <w:vertAlign w:val="subscript"/>
              </w:rPr>
              <w:t>m</w:t>
            </w:r>
          </w:p>
          <w:p w14:paraId="29678A91">
            <w:pPr>
              <w:pStyle w:val="11"/>
              <w:snapToGrid w:val="0"/>
              <w:jc w:val="center"/>
              <w:rPr>
                <w:rFonts w:ascii="Times New Roman" w:eastAsia="宋体"/>
                <w:color w:val="auto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（MPa）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最小值</w:t>
            </w:r>
          </w:p>
        </w:tc>
        <w:tc>
          <w:tcPr>
            <w:tcW w:w="1258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D002C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抗拉强度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  <w:vertAlign w:val="subscript"/>
              </w:rPr>
              <w:t>m</w:t>
            </w:r>
          </w:p>
          <w:p w14:paraId="0F7ECD6D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（MPa）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最大值</w:t>
            </w:r>
          </w:p>
        </w:tc>
        <w:tc>
          <w:tcPr>
            <w:tcW w:w="127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AE1">
            <w:pPr>
              <w:pStyle w:val="11"/>
              <w:snapToGrid w:val="0"/>
              <w:jc w:val="center"/>
              <w:rPr>
                <w:rFonts w:hint="eastAsia" w:ascii="Times New Roman" w:eastAsia="宋体"/>
                <w:sz w:val="21"/>
              </w:rPr>
            </w:pPr>
            <w:r>
              <w:rPr>
                <w:rFonts w:hint="eastAsia" w:ascii="Times New Roman" w:eastAsia="宋体"/>
                <w:sz w:val="21"/>
              </w:rPr>
              <w:t>屈强比</w:t>
            </w:r>
          </w:p>
          <w:p w14:paraId="22C116CB">
            <w:pPr>
              <w:pStyle w:val="11"/>
              <w:snapToGrid w:val="0"/>
              <w:jc w:val="center"/>
              <w:rPr>
                <w:rFonts w:ascii="Times New Roman" w:eastAsia="宋体"/>
                <w:color w:val="auto"/>
                <w:sz w:val="21"/>
              </w:rPr>
            </w:pP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1"/>
                <w:szCs w:val="21"/>
                <w:vertAlign w:val="subscript"/>
              </w:rPr>
              <w:t>t0.5</w:t>
            </w:r>
            <w:r>
              <w:rPr>
                <w:rFonts w:hint="eastAsia" w:ascii="Times New Roman" w:eastAsia="宋体"/>
                <w:sz w:val="21"/>
              </w:rPr>
              <w:t>/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</w:rPr>
              <w:t>R</w:t>
            </w:r>
            <w:r>
              <w:rPr>
                <w:rFonts w:hint="eastAsia" w:ascii="Times New Roman" w:hAnsi="Times New Roman"/>
                <w:iCs/>
                <w:color w:val="auto"/>
                <w:sz w:val="22"/>
                <w:szCs w:val="16"/>
                <w:vertAlign w:val="subscript"/>
              </w:rPr>
              <w:t>m</w:t>
            </w:r>
            <w:r>
              <w:rPr>
                <w:rFonts w:hint="eastAsia" w:ascii="Times New Roman" w:eastAsia="宋体"/>
                <w:sz w:val="21"/>
                <w:lang w:val="en-US" w:eastAsia="zh-CN"/>
              </w:rPr>
              <w:t>最大值</w:t>
            </w:r>
          </w:p>
        </w:tc>
        <w:tc>
          <w:tcPr>
            <w:tcW w:w="124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9687">
            <w:pPr>
              <w:pStyle w:val="10"/>
              <w:snapToGrid w:val="0"/>
              <w:jc w:val="center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 xml:space="preserve">伸长率 </w:t>
            </w:r>
            <w:r>
              <w:rPr>
                <w:rFonts w:hint="eastAsia" w:ascii="Times New Roman" w:hAnsi="Times New Roman"/>
                <w:color w:val="auto"/>
              </w:rPr>
              <w:t>A</w:t>
            </w:r>
            <w:r>
              <w:rPr>
                <w:rFonts w:hint="eastAsia" w:ascii="Times New Roman" w:hAnsi="Times New Roman"/>
                <w:iCs/>
                <w:color w:val="auto"/>
                <w:vertAlign w:val="subscript"/>
              </w:rPr>
              <w:t>50</w:t>
            </w:r>
          </w:p>
          <w:p w14:paraId="107D69F1">
            <w:pPr>
              <w:pStyle w:val="10"/>
              <w:snapToGrid w:val="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</w:rPr>
              <w:t>（%）</w:t>
            </w:r>
            <w:r>
              <w:rPr>
                <w:rFonts w:hint="eastAsia" w:ascii="Times New Roman" w:hAnsi="Times New Roman"/>
                <w:lang w:val="en-US" w:eastAsia="zh-CN"/>
              </w:rPr>
              <w:t>最小值</w:t>
            </w:r>
          </w:p>
        </w:tc>
      </w:tr>
      <w:tr w14:paraId="48473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2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ED9B961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</w:t>
            </w:r>
          </w:p>
        </w:tc>
        <w:tc>
          <w:tcPr>
            <w:tcW w:w="12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7492908">
            <w:pPr>
              <w:pStyle w:val="1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FF0000"/>
              </w:rPr>
              <w:t>485</w:t>
            </w:r>
          </w:p>
        </w:tc>
        <w:tc>
          <w:tcPr>
            <w:tcW w:w="1257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36A0C47">
            <w:pPr>
              <w:pStyle w:val="1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FF0000"/>
              </w:rPr>
              <w:t>635</w:t>
            </w:r>
          </w:p>
        </w:tc>
        <w:tc>
          <w:tcPr>
            <w:tcW w:w="126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136DB39">
            <w:pPr>
              <w:pStyle w:val="1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auto"/>
              </w:rPr>
              <w:t>570</w:t>
            </w:r>
          </w:p>
        </w:tc>
        <w:tc>
          <w:tcPr>
            <w:tcW w:w="12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A41031D">
            <w:pPr>
              <w:pStyle w:val="1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FF0000"/>
              </w:rPr>
              <w:t>760</w:t>
            </w:r>
          </w:p>
        </w:tc>
        <w:tc>
          <w:tcPr>
            <w:tcW w:w="127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FE70BF6">
            <w:pPr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</w:rPr>
              <w:t>0.93</w:t>
            </w:r>
          </w:p>
        </w:tc>
        <w:tc>
          <w:tcPr>
            <w:tcW w:w="124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371AD95">
            <w:pPr>
              <w:pStyle w:val="10"/>
              <w:jc w:val="center"/>
              <w:rPr>
                <w:rFonts w:ascii="Times New Roman" w:hAnsi="Times New Roman"/>
                <w:color w:val="auto"/>
              </w:rPr>
            </w:pPr>
            <w:r>
              <w:rPr>
                <w:rFonts w:hint="eastAsia" w:ascii="Times New Roman" w:hAnsi="Times New Roman"/>
                <w:color w:val="FF0000"/>
              </w:rPr>
              <w:t>23</w:t>
            </w:r>
          </w:p>
        </w:tc>
      </w:tr>
    </w:tbl>
    <w:p w14:paraId="328A741D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5.2 夏比冲击功及剪切面积</w:t>
      </w:r>
    </w:p>
    <w:p w14:paraId="0DC8537D">
      <w:pPr>
        <w:pStyle w:val="10"/>
        <w:spacing w:before="156" w:beforeLines="50" w:after="156" w:afterLines="50"/>
        <w:ind w:firstLine="480" w:firstLineChars="200"/>
        <w:rPr>
          <w:bCs/>
          <w:sz w:val="24"/>
        </w:rPr>
      </w:pPr>
      <w:r>
        <w:rPr>
          <w:bCs/>
          <w:sz w:val="24"/>
        </w:rPr>
        <w:t>夏比冲击功及剪切面积率应符合表</w:t>
      </w:r>
      <w:r>
        <w:rPr>
          <w:rFonts w:hint="eastAsia"/>
          <w:bCs/>
          <w:sz w:val="24"/>
        </w:rPr>
        <w:t>4</w:t>
      </w:r>
      <w:r>
        <w:rPr>
          <w:bCs/>
          <w:sz w:val="24"/>
        </w:rPr>
        <w:t>要求。</w:t>
      </w:r>
      <w:r>
        <w:rPr>
          <w:rFonts w:hint="eastAsia"/>
          <w:bCs/>
          <w:sz w:val="24"/>
        </w:rPr>
        <w:t>当连续</w:t>
      </w:r>
      <w:r>
        <w:rPr>
          <w:bCs/>
          <w:sz w:val="24"/>
        </w:rPr>
        <w:t>3</w:t>
      </w:r>
      <w:r>
        <w:rPr>
          <w:rFonts w:hint="eastAsia"/>
          <w:bCs/>
          <w:sz w:val="24"/>
        </w:rPr>
        <w:t>炉的夏比冲击试样断口出现垂直于主断口方向的分离裂纹时，应首先按照</w:t>
      </w:r>
      <w:r>
        <w:rPr>
          <w:rFonts w:hint="eastAsia"/>
          <w:bCs/>
          <w:sz w:val="24"/>
          <w:lang w:val="en-US" w:eastAsia="zh-CN"/>
        </w:rPr>
        <w:t>顾客标准</w:t>
      </w:r>
      <w:r>
        <w:rPr>
          <w:rFonts w:hint="eastAsia"/>
          <w:bCs/>
          <w:sz w:val="24"/>
        </w:rPr>
        <w:t>附录IX对夏比冲击试样出现断口分离</w:t>
      </w:r>
      <w:r>
        <w:rPr>
          <w:rFonts w:hint="eastAsia" w:ascii="Times New Roman" w:hAnsi="Times New Roman"/>
          <w:bCs/>
          <w:sz w:val="24"/>
          <w:szCs w:val="24"/>
        </w:rPr>
        <w:t>严重</w:t>
      </w:r>
      <w:r>
        <w:rPr>
          <w:rFonts w:hint="eastAsia"/>
          <w:bCs/>
          <w:sz w:val="24"/>
        </w:rPr>
        <w:t>程度进行评级。当断口分离级别超过Ⅱ级时，供方应报请需方进行协商处理。</w:t>
      </w:r>
    </w:p>
    <w:p w14:paraId="7C029056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表</w:t>
      </w:r>
      <w:r>
        <w:rPr>
          <w:rFonts w:hint="eastAsia" w:ascii="Times New Roman" w:hAnsi="Times New Roman"/>
        </w:rPr>
        <w:t xml:space="preserve">4 </w:t>
      </w:r>
      <w:r>
        <w:rPr>
          <w:rFonts w:ascii="Times New Roman" w:hAnsi="Times New Roman"/>
        </w:rPr>
        <w:t>夏比冲击韧性要求</w:t>
      </w:r>
    </w:p>
    <w:tbl>
      <w:tblPr>
        <w:tblStyle w:val="18"/>
        <w:tblW w:w="87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6"/>
        <w:gridCol w:w="1466"/>
        <w:gridCol w:w="1466"/>
        <w:gridCol w:w="1466"/>
        <w:gridCol w:w="1466"/>
        <w:gridCol w:w="1467"/>
      </w:tblGrid>
      <w:tr w14:paraId="1D0BC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466" w:type="dxa"/>
            <w:shd w:val="clear" w:color="auto" w:fill="auto"/>
            <w:vAlign w:val="center"/>
          </w:tcPr>
          <w:p w14:paraId="7F4C1E32">
            <w:pPr>
              <w:adjustRightInd w:val="0"/>
              <w:ind w:left="-80" w:leftChars="-38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szCs w:val="21"/>
              </w:rPr>
              <w:t>钢级</w:t>
            </w:r>
          </w:p>
        </w:tc>
        <w:tc>
          <w:tcPr>
            <w:tcW w:w="1466" w:type="dxa"/>
            <w:shd w:val="clear" w:color="auto" w:fill="auto"/>
            <w:vAlign w:val="center"/>
          </w:tcPr>
          <w:p w14:paraId="27C190EE">
            <w:pPr>
              <w:adjustRightInd w:val="0"/>
              <w:ind w:left="-80" w:leftChars="-38"/>
              <w:jc w:val="center"/>
              <w:rPr>
                <w:rFonts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auto"/>
                <w:szCs w:val="21"/>
              </w:rPr>
              <w:t>试验温度</w:t>
            </w:r>
            <w:r>
              <w:rPr>
                <w:rFonts w:hint="eastAsia"/>
                <w:color w:val="auto"/>
                <w:szCs w:val="21"/>
              </w:rPr>
              <w:t>（</w:t>
            </w:r>
            <w:r>
              <w:rPr>
                <w:rFonts w:hint="eastAsia"/>
                <w:color w:val="auto"/>
                <w:szCs w:val="20"/>
              </w:rPr>
              <w:t>℃</w:t>
            </w:r>
            <w:r>
              <w:rPr>
                <w:rFonts w:hint="eastAsia"/>
                <w:color w:val="auto"/>
                <w:szCs w:val="21"/>
              </w:rPr>
              <w:t>）</w:t>
            </w:r>
          </w:p>
        </w:tc>
        <w:tc>
          <w:tcPr>
            <w:tcW w:w="1466" w:type="dxa"/>
            <w:vAlign w:val="center"/>
          </w:tcPr>
          <w:p w14:paraId="72B42E1F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最小夏比冲击功</w:t>
            </w:r>
            <w:r>
              <w:rPr>
                <w:rFonts w:hint="eastAsia"/>
                <w:color w:val="auto"/>
                <w:szCs w:val="21"/>
              </w:rPr>
              <w:t>（J）</w:t>
            </w:r>
          </w:p>
          <w:p w14:paraId="5319541C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（10mm</w:t>
            </w:r>
            <w:r>
              <w:rPr>
                <w:rFonts w:hint="eastAsia"/>
                <w:color w:val="auto"/>
                <w:szCs w:val="21"/>
              </w:rPr>
              <w:t>×</w:t>
            </w:r>
            <w:r>
              <w:rPr>
                <w:color w:val="auto"/>
                <w:szCs w:val="21"/>
              </w:rPr>
              <w:t>10mm</w:t>
            </w:r>
            <w:r>
              <w:rPr>
                <w:rFonts w:hint="eastAsia"/>
                <w:color w:val="auto"/>
                <w:szCs w:val="21"/>
              </w:rPr>
              <w:t>×</w:t>
            </w:r>
            <w:r>
              <w:rPr>
                <w:color w:val="auto"/>
                <w:szCs w:val="21"/>
              </w:rPr>
              <w:t>55mm）单值</w:t>
            </w:r>
          </w:p>
        </w:tc>
        <w:tc>
          <w:tcPr>
            <w:tcW w:w="1466" w:type="dxa"/>
            <w:vAlign w:val="center"/>
          </w:tcPr>
          <w:p w14:paraId="43A79A8A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最小夏比冲击功</w:t>
            </w:r>
            <w:r>
              <w:rPr>
                <w:rFonts w:hint="eastAsia"/>
                <w:color w:val="auto"/>
                <w:szCs w:val="21"/>
              </w:rPr>
              <w:t>（J）</w:t>
            </w:r>
          </w:p>
          <w:p w14:paraId="0A0AF7D5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（10mm</w:t>
            </w:r>
            <w:r>
              <w:rPr>
                <w:rFonts w:hint="eastAsia"/>
                <w:color w:val="auto"/>
                <w:szCs w:val="21"/>
              </w:rPr>
              <w:t>×</w:t>
            </w:r>
            <w:r>
              <w:rPr>
                <w:color w:val="auto"/>
                <w:szCs w:val="21"/>
              </w:rPr>
              <w:t>10mm</w:t>
            </w:r>
            <w:r>
              <w:rPr>
                <w:rFonts w:hint="eastAsia"/>
                <w:color w:val="auto"/>
                <w:szCs w:val="21"/>
              </w:rPr>
              <w:t>×</w:t>
            </w:r>
            <w:r>
              <w:rPr>
                <w:color w:val="auto"/>
                <w:szCs w:val="21"/>
              </w:rPr>
              <w:t>55mm）平均值</w:t>
            </w:r>
          </w:p>
        </w:tc>
        <w:tc>
          <w:tcPr>
            <w:tcW w:w="1466" w:type="dxa"/>
            <w:vAlign w:val="center"/>
          </w:tcPr>
          <w:p w14:paraId="6AC543E2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最小冲击断口剪切面积</w:t>
            </w:r>
            <w:r>
              <w:rPr>
                <w:rFonts w:hint="eastAsia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SA%</w:t>
            </w:r>
            <w:r>
              <w:rPr>
                <w:rFonts w:hint="eastAsia"/>
                <w:color w:val="auto"/>
                <w:szCs w:val="21"/>
              </w:rPr>
              <w:t>）</w:t>
            </w:r>
            <w:r>
              <w:rPr>
                <w:color w:val="auto"/>
                <w:szCs w:val="21"/>
              </w:rPr>
              <w:t>单值</w:t>
            </w:r>
          </w:p>
        </w:tc>
        <w:tc>
          <w:tcPr>
            <w:tcW w:w="1467" w:type="dxa"/>
            <w:vAlign w:val="center"/>
          </w:tcPr>
          <w:p w14:paraId="04A8DF72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最小冲击断口剪切面积</w:t>
            </w:r>
            <w:r>
              <w:rPr>
                <w:rFonts w:hint="eastAsia"/>
                <w:color w:val="auto"/>
                <w:szCs w:val="21"/>
              </w:rPr>
              <w:t>（</w:t>
            </w:r>
            <w:r>
              <w:rPr>
                <w:color w:val="auto"/>
                <w:szCs w:val="21"/>
              </w:rPr>
              <w:t>SA%</w:t>
            </w:r>
            <w:r>
              <w:rPr>
                <w:rFonts w:hint="eastAsia"/>
                <w:color w:val="auto"/>
                <w:szCs w:val="21"/>
              </w:rPr>
              <w:t>）</w:t>
            </w:r>
            <w:r>
              <w:rPr>
                <w:color w:val="auto"/>
                <w:szCs w:val="21"/>
              </w:rPr>
              <w:t>平均值</w:t>
            </w:r>
          </w:p>
        </w:tc>
      </w:tr>
      <w:tr w14:paraId="3B87B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  <w:jc w:val="center"/>
        </w:trPr>
        <w:tc>
          <w:tcPr>
            <w:tcW w:w="1466" w:type="dxa"/>
            <w:vAlign w:val="center"/>
          </w:tcPr>
          <w:p w14:paraId="7DC6B3B9">
            <w:pPr>
              <w:jc w:val="center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</w:t>
            </w:r>
          </w:p>
        </w:tc>
        <w:tc>
          <w:tcPr>
            <w:tcW w:w="1466" w:type="dxa"/>
            <w:vAlign w:val="center"/>
          </w:tcPr>
          <w:p w14:paraId="4872BDA8">
            <w:pPr>
              <w:adjustRightInd w:val="0"/>
              <w:ind w:left="-80" w:leftChars="-38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-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15</w:t>
            </w:r>
          </w:p>
        </w:tc>
        <w:tc>
          <w:tcPr>
            <w:tcW w:w="1466" w:type="dxa"/>
            <w:vAlign w:val="center"/>
          </w:tcPr>
          <w:p w14:paraId="5203D487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180</w:t>
            </w:r>
          </w:p>
        </w:tc>
        <w:tc>
          <w:tcPr>
            <w:tcW w:w="1466" w:type="dxa"/>
            <w:vAlign w:val="center"/>
          </w:tcPr>
          <w:p w14:paraId="73EC3470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FF0000"/>
                <w:szCs w:val="21"/>
              </w:rPr>
              <w:t>220</w:t>
            </w:r>
          </w:p>
        </w:tc>
        <w:tc>
          <w:tcPr>
            <w:tcW w:w="1466" w:type="dxa"/>
            <w:vAlign w:val="center"/>
          </w:tcPr>
          <w:p w14:paraId="7623E489">
            <w:pPr>
              <w:adjustRightInd w:val="0"/>
              <w:jc w:val="center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auto"/>
                <w:szCs w:val="21"/>
              </w:rPr>
              <w:t>0</w:t>
            </w:r>
          </w:p>
        </w:tc>
        <w:tc>
          <w:tcPr>
            <w:tcW w:w="1467" w:type="dxa"/>
            <w:vAlign w:val="center"/>
          </w:tcPr>
          <w:p w14:paraId="773DA725">
            <w:pPr>
              <w:adjustRightInd w:val="0"/>
              <w:jc w:val="center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90</w:t>
            </w:r>
          </w:p>
        </w:tc>
      </w:tr>
    </w:tbl>
    <w:p w14:paraId="3FB4558D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5.3 DWTT剪切面积率</w:t>
      </w:r>
    </w:p>
    <w:p w14:paraId="7389E787">
      <w:pPr>
        <w:pStyle w:val="10"/>
        <w:spacing w:before="156" w:beforeLines="50" w:after="156" w:afterLines="50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钢板DWTT剪切面积率应符合表5要求。</w:t>
      </w:r>
    </w:p>
    <w:p w14:paraId="496B9969">
      <w:pPr>
        <w:pStyle w:val="10"/>
        <w:snapToGrid w:val="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表</w:t>
      </w:r>
      <w:r>
        <w:rPr>
          <w:rFonts w:hint="eastAsia" w:ascii="Times New Roman" w:hAnsi="Times New Roman"/>
          <w:szCs w:val="21"/>
        </w:rPr>
        <w:t>5 DWTT要求</w:t>
      </w:r>
    </w:p>
    <w:tbl>
      <w:tblPr>
        <w:tblStyle w:val="18"/>
        <w:tblW w:w="87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2199"/>
        <w:gridCol w:w="2199"/>
        <w:gridCol w:w="2200"/>
      </w:tblGrid>
      <w:tr w14:paraId="59F4A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9" w:hRule="atLeast"/>
          <w:jc w:val="center"/>
        </w:trPr>
        <w:tc>
          <w:tcPr>
            <w:tcW w:w="2199" w:type="dxa"/>
            <w:shd w:val="clear" w:color="auto" w:fill="auto"/>
            <w:vAlign w:val="center"/>
          </w:tcPr>
          <w:p w14:paraId="295F8635">
            <w:pPr>
              <w:adjustRightInd w:val="0"/>
              <w:snapToGrid w:val="0"/>
              <w:ind w:left="-80" w:leftChars="-38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钢级</w:t>
            </w:r>
          </w:p>
        </w:tc>
        <w:tc>
          <w:tcPr>
            <w:tcW w:w="2199" w:type="dxa"/>
            <w:shd w:val="clear" w:color="auto" w:fill="auto"/>
            <w:vAlign w:val="center"/>
          </w:tcPr>
          <w:p w14:paraId="097409EB">
            <w:pPr>
              <w:adjustRightInd w:val="0"/>
              <w:snapToGrid w:val="0"/>
              <w:ind w:left="-80" w:leftChars="-38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试验温度（℃）</w:t>
            </w:r>
          </w:p>
        </w:tc>
        <w:tc>
          <w:tcPr>
            <w:tcW w:w="2199" w:type="dxa"/>
            <w:vAlign w:val="center"/>
          </w:tcPr>
          <w:p w14:paraId="6F74A405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DWTT </w:t>
            </w:r>
            <w:r>
              <w:rPr>
                <w:rFonts w:hint="eastAsia"/>
                <w:szCs w:val="21"/>
              </w:rPr>
              <w:t>最小剪切面积百分比</w:t>
            </w:r>
            <w:r>
              <w:rPr>
                <w:szCs w:val="21"/>
              </w:rPr>
              <w:t>(SA</w:t>
            </w:r>
            <w:r>
              <w:rPr>
                <w:rFonts w:hint="eastAsia"/>
                <w:szCs w:val="21"/>
              </w:rPr>
              <w:t>％</w:t>
            </w:r>
            <w:r>
              <w:rPr>
                <w:szCs w:val="21"/>
              </w:rPr>
              <w:t>)</w:t>
            </w:r>
            <w:r>
              <w:rPr>
                <w:rFonts w:hint="eastAsia" w:cs="宋体"/>
                <w:kern w:val="0"/>
                <w:szCs w:val="21"/>
              </w:rPr>
              <w:t>单个试样值</w:t>
            </w:r>
          </w:p>
        </w:tc>
        <w:tc>
          <w:tcPr>
            <w:tcW w:w="2200" w:type="dxa"/>
            <w:vAlign w:val="center"/>
          </w:tcPr>
          <w:p w14:paraId="1BF8082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 xml:space="preserve">DWTT </w:t>
            </w:r>
            <w:r>
              <w:rPr>
                <w:rFonts w:hint="eastAsia"/>
                <w:szCs w:val="21"/>
              </w:rPr>
              <w:t>最小剪切面积百分比</w:t>
            </w:r>
            <w:r>
              <w:rPr>
                <w:szCs w:val="21"/>
              </w:rPr>
              <w:t>(SA</w:t>
            </w:r>
            <w:r>
              <w:rPr>
                <w:rFonts w:hint="eastAsia"/>
                <w:szCs w:val="21"/>
              </w:rPr>
              <w:t>％</w:t>
            </w:r>
            <w:r>
              <w:rPr>
                <w:szCs w:val="21"/>
              </w:rPr>
              <w:t>)</w:t>
            </w:r>
            <w:r>
              <w:rPr>
                <w:rFonts w:hint="eastAsia" w:cs="宋体"/>
                <w:kern w:val="0"/>
                <w:szCs w:val="21"/>
              </w:rPr>
              <w:t>两个试样平均值</w:t>
            </w:r>
          </w:p>
        </w:tc>
      </w:tr>
      <w:tr w14:paraId="6CB9F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1" w:hRule="atLeast"/>
          <w:jc w:val="center"/>
        </w:trPr>
        <w:tc>
          <w:tcPr>
            <w:tcW w:w="2199" w:type="dxa"/>
            <w:vAlign w:val="center"/>
          </w:tcPr>
          <w:p w14:paraId="592CD56B">
            <w:pPr>
              <w:pStyle w:val="10"/>
              <w:snapToGrid w:val="0"/>
              <w:jc w:val="center"/>
              <w:rPr>
                <w:rFonts w:hint="eastAsia" w:ascii="Times New Roman" w:hAnsi="Times New Roman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auto"/>
                <w:szCs w:val="21"/>
                <w:lang w:val="en-US" w:eastAsia="zh-CN"/>
              </w:rPr>
              <w:t>A</w:t>
            </w:r>
          </w:p>
        </w:tc>
        <w:tc>
          <w:tcPr>
            <w:tcW w:w="2199" w:type="dxa"/>
            <w:vAlign w:val="center"/>
          </w:tcPr>
          <w:p w14:paraId="23CBED6D">
            <w:pPr>
              <w:adjustRightInd w:val="0"/>
              <w:snapToGrid w:val="0"/>
              <w:ind w:left="-80" w:leftChars="-38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-</w:t>
            </w:r>
            <w:r>
              <w:rPr>
                <w:rFonts w:hint="eastAsia"/>
                <w:color w:val="auto"/>
                <w:szCs w:val="21"/>
              </w:rPr>
              <w:t>15</w:t>
            </w:r>
          </w:p>
        </w:tc>
        <w:tc>
          <w:tcPr>
            <w:tcW w:w="2199" w:type="dxa"/>
            <w:vAlign w:val="center"/>
          </w:tcPr>
          <w:p w14:paraId="21666994"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70</w:t>
            </w:r>
          </w:p>
        </w:tc>
        <w:tc>
          <w:tcPr>
            <w:tcW w:w="2200" w:type="dxa"/>
            <w:vAlign w:val="center"/>
          </w:tcPr>
          <w:p w14:paraId="231CD3AF">
            <w:pPr>
              <w:adjustRightInd w:val="0"/>
              <w:snapToGrid w:val="0"/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85</w:t>
            </w:r>
          </w:p>
        </w:tc>
      </w:tr>
    </w:tbl>
    <w:p w14:paraId="536B81DB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5.4 弯曲试验</w:t>
      </w:r>
    </w:p>
    <w:p w14:paraId="7CF8C710">
      <w:pPr>
        <w:pStyle w:val="10"/>
        <w:snapToGrid w:val="0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</w:rPr>
        <w:t>弯曲角度180°，弯芯直径不超过2.0t（t为公称厚度），弯曲试样的拉伸面上不得出现可见裂纹。</w:t>
      </w:r>
    </w:p>
    <w:p w14:paraId="4B70A136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5.5 硬度</w:t>
      </w:r>
    </w:p>
    <w:p w14:paraId="4B046A82">
      <w:pPr>
        <w:pStyle w:val="10"/>
        <w:snapToGrid w:val="0"/>
        <w:ind w:firstLine="480" w:firstLineChars="20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钢板横向截面上最大允许硬度值</w:t>
      </w:r>
      <w:r>
        <w:rPr>
          <w:rFonts w:hint="eastAsia" w:ascii="Times New Roman" w:hAnsi="Times New Roman"/>
          <w:bCs/>
          <w:color w:val="auto"/>
          <w:sz w:val="24"/>
          <w:szCs w:val="24"/>
        </w:rPr>
        <w:t>为250</w:t>
      </w:r>
      <w:r>
        <w:rPr>
          <w:rFonts w:hint="eastAsia" w:ascii="Times New Roman" w:hAnsi="Times New Roman"/>
          <w:bCs/>
          <w:sz w:val="24"/>
          <w:szCs w:val="24"/>
        </w:rPr>
        <w:t>HV10。</w:t>
      </w:r>
    </w:p>
    <w:p w14:paraId="3CED1150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  <w:highlight w:val="none"/>
        </w:rPr>
      </w:pPr>
      <w:r>
        <w:rPr>
          <w:rFonts w:hint="eastAsia" w:ascii="黑体" w:eastAsia="黑体"/>
          <w:sz w:val="24"/>
          <w:highlight w:val="none"/>
        </w:rPr>
        <w:t>6 外观质量</w:t>
      </w:r>
    </w:p>
    <w:p w14:paraId="688353DE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6.1镰刀弯</w:t>
      </w:r>
    </w:p>
    <w:p w14:paraId="33AE0055">
      <w:pPr>
        <w:pStyle w:val="10"/>
        <w:spacing w:before="156" w:beforeLines="50" w:after="156" w:afterLines="50"/>
        <w:ind w:firstLine="480" w:firstLineChars="200"/>
        <w:rPr>
          <w:bCs/>
          <w:sz w:val="24"/>
        </w:rPr>
      </w:pPr>
      <w:r>
        <w:rPr>
          <w:rFonts w:hint="eastAsia"/>
          <w:bCs/>
          <w:color w:val="FF0000"/>
          <w:sz w:val="24"/>
        </w:rPr>
        <w:t>每张钢板全长镰刀弯不大于10mm</w:t>
      </w:r>
      <w:r>
        <w:rPr>
          <w:rFonts w:hint="eastAsia"/>
          <w:bCs/>
          <w:sz w:val="24"/>
        </w:rPr>
        <w:t>，板宽方向切斜不大于3mm，并须保证订货规定公称尺寸的最小矩形。</w:t>
      </w:r>
    </w:p>
    <w:p w14:paraId="41B04412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6.2不平度</w:t>
      </w:r>
    </w:p>
    <w:p w14:paraId="57731E69">
      <w:pPr>
        <w:pStyle w:val="10"/>
        <w:spacing w:before="156" w:beforeLines="50" w:after="156" w:afterLines="50"/>
        <w:ind w:firstLine="480" w:firstLineChars="200"/>
        <w:rPr>
          <w:bCs/>
          <w:sz w:val="24"/>
        </w:rPr>
      </w:pPr>
      <w:r>
        <w:rPr>
          <w:rFonts w:hint="eastAsia"/>
          <w:bCs/>
          <w:color w:val="FF0000"/>
          <w:sz w:val="24"/>
        </w:rPr>
        <w:t>不平度不大于10mm/2000mm</w:t>
      </w:r>
      <w:r>
        <w:rPr>
          <w:rFonts w:hint="eastAsia"/>
          <w:bCs/>
          <w:sz w:val="24"/>
        </w:rPr>
        <w:t>，板头和板尾不允许下挠，上翘不大于40mm。</w:t>
      </w:r>
    </w:p>
    <w:p w14:paraId="71F44B28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6.3板边质量</w:t>
      </w:r>
    </w:p>
    <w:p w14:paraId="08ED7A06">
      <w:pPr>
        <w:pStyle w:val="10"/>
        <w:spacing w:before="156" w:beforeLines="50" w:after="156" w:afterLines="50"/>
        <w:ind w:firstLine="480" w:firstLineChars="200"/>
        <w:rPr>
          <w:bCs/>
          <w:sz w:val="24"/>
          <w:highlight w:val="none"/>
        </w:rPr>
      </w:pPr>
      <w:r>
        <w:rPr>
          <w:bCs/>
          <w:sz w:val="24"/>
          <w:highlight w:val="none"/>
        </w:rPr>
        <w:t>切边后板边</w:t>
      </w:r>
      <w:r>
        <w:rPr>
          <w:rFonts w:hint="eastAsia"/>
          <w:bCs/>
          <w:sz w:val="24"/>
          <w:highlight w:val="none"/>
        </w:rPr>
        <w:t>35mm范围内</w:t>
      </w:r>
      <w:r>
        <w:rPr>
          <w:bCs/>
          <w:sz w:val="24"/>
          <w:highlight w:val="none"/>
        </w:rPr>
        <w:t>不允许存在裂纹、收缩孔隙</w:t>
      </w:r>
      <w:r>
        <w:rPr>
          <w:rFonts w:hint="eastAsia"/>
          <w:bCs/>
          <w:sz w:val="24"/>
          <w:highlight w:val="none"/>
        </w:rPr>
        <w:t>、重皮</w:t>
      </w:r>
      <w:r>
        <w:rPr>
          <w:bCs/>
          <w:sz w:val="24"/>
          <w:highlight w:val="none"/>
        </w:rPr>
        <w:t>等影响焊</w:t>
      </w:r>
      <w:r>
        <w:rPr>
          <w:rFonts w:hint="eastAsia"/>
          <w:bCs/>
          <w:sz w:val="24"/>
          <w:highlight w:val="none"/>
        </w:rPr>
        <w:t>接热影响区</w:t>
      </w:r>
      <w:r>
        <w:rPr>
          <w:bCs/>
          <w:sz w:val="24"/>
          <w:highlight w:val="none"/>
        </w:rPr>
        <w:t>检测和使用的缺陷</w:t>
      </w:r>
      <w:r>
        <w:rPr>
          <w:rFonts w:hint="eastAsia"/>
          <w:bCs/>
          <w:sz w:val="24"/>
          <w:highlight w:val="none"/>
        </w:rPr>
        <w:t>。钢板四边不允许出现塌陷。</w:t>
      </w:r>
    </w:p>
    <w:p w14:paraId="2AD1BCE5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6.4表面质量</w:t>
      </w:r>
    </w:p>
    <w:p w14:paraId="3DB25301">
      <w:pPr>
        <w:pStyle w:val="10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钢板表面应保持清洁，应无油脂和腐蚀物等，钢板表面不得受Cu、Sn、Pb、Zn等低熔点金属污染。</w:t>
      </w:r>
    </w:p>
    <w:p w14:paraId="3DE5F7F0">
      <w:pPr>
        <w:pStyle w:val="10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钢板表面上不允许有气泡、结疤、裂纹、拉裂、折叠、夹杂和深度大于0.3mm的氧化皮压入及其它深的尖锐划伤等缺陷。</w:t>
      </w:r>
    </w:p>
    <w:p w14:paraId="4D62E61F">
      <w:pPr>
        <w:pStyle w:val="10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缺陷不得用补焊方法修整，可用修磨方法清理。缺陷修整后钢板的实际厚度应保证不小于钢板最小厚度，修磨面积不得大于钢板表面积的2%，修磨处应平滑地过渡到钢板表面，且宽深比不小于10：1。</w:t>
      </w:r>
    </w:p>
    <w:p w14:paraId="2125E171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7 制造工艺</w:t>
      </w:r>
    </w:p>
    <w:p w14:paraId="06C3FCB0">
      <w:pPr>
        <w:widowControl/>
        <w:autoSpaceDE w:val="0"/>
        <w:autoSpaceDN w:val="0"/>
        <w:adjustRightInd w:val="0"/>
        <w:spacing w:before="156" w:beforeLines="50" w:after="156" w:afterLines="50"/>
        <w:ind w:firstLine="480" w:firstLineChars="200"/>
        <w:rPr>
          <w:sz w:val="24"/>
        </w:rPr>
      </w:pPr>
      <w:r>
        <w:rPr>
          <w:rFonts w:hint="eastAsia"/>
          <w:sz w:val="24"/>
        </w:rPr>
        <w:t>所有钢板应采取相同的成分、工艺生产，供方对钢板的成分或生产工艺进行调整时，应事先通知需方。</w:t>
      </w:r>
    </w:p>
    <w:p w14:paraId="2E896AEB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8 无损检测</w:t>
      </w:r>
    </w:p>
    <w:p w14:paraId="4EEEB19B">
      <w:pPr>
        <w:pStyle w:val="10"/>
        <w:ind w:firstLine="480" w:firstLineChars="200"/>
        <w:rPr>
          <w:rFonts w:ascii="Times New Roman" w:hAnsi="Times New Roman"/>
          <w:sz w:val="24"/>
        </w:rPr>
      </w:pPr>
      <w:r>
        <w:rPr>
          <w:rFonts w:hint="eastAsia" w:ascii="Times New Roman" w:hAnsi="Times New Roman"/>
          <w:sz w:val="24"/>
        </w:rPr>
        <w:t>应采用超声波检验来确认钢板是否存在分层缺欠。可依照</w:t>
      </w:r>
      <w:r>
        <w:rPr>
          <w:rFonts w:ascii="Times New Roman" w:hAnsi="Times New Roman"/>
          <w:sz w:val="24"/>
        </w:rPr>
        <w:t>SY/T 6423.</w:t>
      </w:r>
      <w:r>
        <w:rPr>
          <w:rFonts w:hint="eastAsia" w:ascii="Times New Roman" w:hAnsi="Times New Roman"/>
          <w:sz w:val="24"/>
        </w:rPr>
        <w:t>3-2013、</w:t>
      </w:r>
      <w:r>
        <w:rPr>
          <w:rFonts w:ascii="Times New Roman" w:hAnsi="Times New Roman"/>
          <w:sz w:val="24"/>
        </w:rPr>
        <w:t>ASTM A435</w:t>
      </w:r>
      <w:r>
        <w:rPr>
          <w:rFonts w:hint="eastAsia" w:ascii="Times New Roman" w:hAnsi="Times New Roman"/>
          <w:sz w:val="24"/>
        </w:rPr>
        <w:t>或其它等效超声波检测标准规定选择扫查方式，分层检验覆盖率应占钢板表面的100%。</w:t>
      </w:r>
    </w:p>
    <w:p w14:paraId="31DE8DAB">
      <w:pPr>
        <w:pStyle w:val="10"/>
        <w:ind w:firstLine="480" w:firstLineChars="200"/>
        <w:rPr>
          <w:rFonts w:ascii="Times New Roman" w:hAnsi="Times New Roman"/>
          <w:sz w:val="24"/>
          <w:highlight w:val="none"/>
        </w:rPr>
      </w:pPr>
      <w:r>
        <w:rPr>
          <w:rFonts w:hint="eastAsia" w:ascii="Times New Roman" w:hAnsi="Times New Roman"/>
          <w:sz w:val="24"/>
          <w:highlight w:val="none"/>
        </w:rPr>
        <w:t>钢板纵向板边</w:t>
      </w:r>
      <w:r>
        <w:rPr>
          <w:rFonts w:ascii="Times New Roman" w:hAnsi="Times New Roman"/>
          <w:sz w:val="24"/>
          <w:highlight w:val="none"/>
        </w:rPr>
        <w:t>50mm</w:t>
      </w:r>
      <w:r>
        <w:rPr>
          <w:rFonts w:hint="eastAsia" w:ascii="Times New Roman" w:hAnsi="Times New Roman"/>
          <w:sz w:val="24"/>
          <w:highlight w:val="none"/>
        </w:rPr>
        <w:t>、板端</w:t>
      </w:r>
      <w:r>
        <w:rPr>
          <w:rFonts w:ascii="Times New Roman" w:hAnsi="Times New Roman"/>
          <w:sz w:val="24"/>
          <w:highlight w:val="none"/>
        </w:rPr>
        <w:t>300mm</w:t>
      </w:r>
      <w:r>
        <w:rPr>
          <w:rFonts w:hint="eastAsia" w:ascii="Times New Roman" w:hAnsi="Times New Roman"/>
          <w:sz w:val="24"/>
          <w:highlight w:val="none"/>
        </w:rPr>
        <w:t>不允许有分层、</w:t>
      </w:r>
      <w:r>
        <w:rPr>
          <w:rFonts w:ascii="Times New Roman" w:hAnsi="Times New Roman"/>
          <w:sz w:val="24"/>
          <w:highlight w:val="none"/>
        </w:rPr>
        <w:t>裂纹、收缩孔隙、夹杂物</w:t>
      </w:r>
      <w:r>
        <w:rPr>
          <w:rFonts w:hint="eastAsia" w:ascii="Times New Roman" w:hAnsi="Times New Roman"/>
          <w:sz w:val="24"/>
          <w:highlight w:val="none"/>
        </w:rPr>
        <w:t>等</w:t>
      </w:r>
      <w:r>
        <w:rPr>
          <w:rFonts w:ascii="Times New Roman" w:hAnsi="Times New Roman"/>
          <w:sz w:val="24"/>
          <w:highlight w:val="none"/>
        </w:rPr>
        <w:t>影响焊</w:t>
      </w:r>
      <w:r>
        <w:rPr>
          <w:rFonts w:hint="eastAsia" w:ascii="Times New Roman" w:hAnsi="Times New Roman"/>
          <w:sz w:val="24"/>
          <w:highlight w:val="none"/>
        </w:rPr>
        <w:t>接热影响区</w:t>
      </w:r>
      <w:r>
        <w:rPr>
          <w:rFonts w:ascii="Times New Roman" w:hAnsi="Times New Roman"/>
          <w:sz w:val="24"/>
          <w:highlight w:val="none"/>
        </w:rPr>
        <w:t>检测和使用的缺陷</w:t>
      </w:r>
      <w:r>
        <w:rPr>
          <w:rFonts w:hint="eastAsia" w:ascii="Times New Roman" w:hAnsi="Times New Roman"/>
          <w:sz w:val="24"/>
          <w:highlight w:val="none"/>
        </w:rPr>
        <w:t>。</w:t>
      </w:r>
    </w:p>
    <w:p w14:paraId="00406054">
      <w:pPr>
        <w:pStyle w:val="10"/>
        <w:ind w:firstLine="480" w:firstLineChars="20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其它部位上的分层限值为：任何方向不允许存在长度超过</w:t>
      </w:r>
      <w:r>
        <w:rPr>
          <w:sz w:val="24"/>
        </w:rPr>
        <w:t>50mm</w:t>
      </w:r>
      <w:r>
        <w:rPr>
          <w:rFonts w:ascii="Times New Roman" w:hAnsi="Times New Roman"/>
          <w:sz w:val="24"/>
        </w:rPr>
        <w:t>的分层；长度在</w:t>
      </w:r>
      <w:r>
        <w:rPr>
          <w:sz w:val="24"/>
        </w:rPr>
        <w:t>30mm</w:t>
      </w:r>
      <w:r>
        <w:rPr>
          <w:rFonts w:ascii="Times New Roman" w:hAnsi="Times New Roman"/>
          <w:sz w:val="24"/>
        </w:rPr>
        <w:t>～</w:t>
      </w:r>
      <w:r>
        <w:rPr>
          <w:sz w:val="24"/>
        </w:rPr>
        <w:t>50mm</w:t>
      </w:r>
      <w:r>
        <w:rPr>
          <w:rFonts w:ascii="Times New Roman" w:hAnsi="Times New Roman"/>
          <w:sz w:val="24"/>
        </w:rPr>
        <w:t>的分层相互间距应大于</w:t>
      </w:r>
      <w:r>
        <w:rPr>
          <w:sz w:val="24"/>
        </w:rPr>
        <w:t>500mm</w:t>
      </w:r>
      <w:r>
        <w:rPr>
          <w:rFonts w:ascii="Times New Roman" w:hAnsi="Times New Roman"/>
          <w:sz w:val="24"/>
        </w:rPr>
        <w:t>；长度小于</w:t>
      </w:r>
      <w:r>
        <w:rPr>
          <w:sz w:val="24"/>
        </w:rPr>
        <w:t>30mm</w:t>
      </w:r>
      <w:r>
        <w:rPr>
          <w:rFonts w:ascii="Times New Roman" w:hAnsi="Times New Roman"/>
          <w:sz w:val="24"/>
        </w:rPr>
        <w:t>、相互间距小于板厚的若干小分层构成连串性分层，该连串性分层中的所有小分层长度总和不得大于</w:t>
      </w:r>
      <w:r>
        <w:rPr>
          <w:sz w:val="24"/>
        </w:rPr>
        <w:t>80mm</w:t>
      </w:r>
      <w:r>
        <w:rPr>
          <w:rFonts w:ascii="Times New Roman" w:hAnsi="Times New Roman"/>
          <w:sz w:val="24"/>
        </w:rPr>
        <w:t>。</w:t>
      </w:r>
    </w:p>
    <w:p w14:paraId="31378401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9 检验和试验</w:t>
      </w:r>
    </w:p>
    <w:p w14:paraId="37CA6191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9.1 试验频度</w:t>
      </w:r>
    </w:p>
    <w:p w14:paraId="4BD50CB8">
      <w:pPr>
        <w:pStyle w:val="10"/>
        <w:spacing w:before="156" w:beforeLines="50" w:after="156" w:afterLines="50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同一熔炼炉次、同一生产工艺生产的同一规格不超过10张钢板为一批，每批进行一次试验，且每生产班次保证至少有一组试样。</w:t>
      </w:r>
    </w:p>
    <w:p w14:paraId="513BCB40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9.2 试验要求</w:t>
      </w:r>
    </w:p>
    <w:p w14:paraId="55F533EC">
      <w:pPr>
        <w:pStyle w:val="10"/>
        <w:spacing w:before="156" w:beforeLines="50" w:after="156" w:afterLines="50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试验与要求见表6。</w:t>
      </w:r>
    </w:p>
    <w:p w14:paraId="0DA24615">
      <w:pPr>
        <w:autoSpaceDE w:val="0"/>
        <w:autoSpaceDN w:val="0"/>
        <w:adjustRightInd w:val="0"/>
        <w:ind w:firstLine="420" w:firstLineChars="200"/>
        <w:jc w:val="center"/>
        <w:rPr>
          <w:szCs w:val="21"/>
        </w:rPr>
      </w:pPr>
      <w:r>
        <w:rPr>
          <w:rFonts w:hint="eastAsia"/>
          <w:szCs w:val="21"/>
        </w:rPr>
        <w:t xml:space="preserve">表6 </w:t>
      </w:r>
      <w:r>
        <w:rPr>
          <w:szCs w:val="21"/>
        </w:rPr>
        <w:t>试验与试验要求</w:t>
      </w:r>
    </w:p>
    <w:tbl>
      <w:tblPr>
        <w:tblStyle w:val="18"/>
        <w:tblW w:w="900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7"/>
        <w:gridCol w:w="830"/>
        <w:gridCol w:w="1457"/>
        <w:gridCol w:w="2886"/>
        <w:gridCol w:w="2373"/>
      </w:tblGrid>
      <w:tr w14:paraId="50661D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041BCA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试验项目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3A3A49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试验频率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F95217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试样数量、位置及取向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148D9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执行标准</w:t>
            </w:r>
          </w:p>
        </w:tc>
      </w:tr>
      <w:tr w14:paraId="40ED7D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57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902C1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化学成分</w:t>
            </w:r>
          </w:p>
        </w:tc>
        <w:tc>
          <w:tcPr>
            <w:tcW w:w="8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1BDEE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熔炼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F470A5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每炉一次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CC14C7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7787F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ASTM A751</w:t>
            </w:r>
          </w:p>
        </w:tc>
      </w:tr>
      <w:tr w14:paraId="70A406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57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584838A7">
            <w:pPr>
              <w:adjustRightInd w:val="0"/>
              <w:ind w:left="-80" w:leftChars="-38"/>
              <w:jc w:val="center"/>
              <w:rPr>
                <w:szCs w:val="21"/>
              </w:rPr>
            </w:pPr>
          </w:p>
        </w:tc>
        <w:tc>
          <w:tcPr>
            <w:tcW w:w="830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5A5FDEDE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产品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3991D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每炉一次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4DBC7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076ED3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ASTM A751</w:t>
            </w:r>
          </w:p>
        </w:tc>
      </w:tr>
      <w:tr w14:paraId="17249F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ECA28A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拉伸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369348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每批一次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6EA3">
            <w:pPr>
              <w:adjustRightInd w:val="0"/>
              <w:ind w:left="340" w:leftChars="-38" w:hanging="420"/>
              <w:jc w:val="center"/>
              <w:rPr>
                <w:szCs w:val="21"/>
              </w:rPr>
            </w:pPr>
            <w:r>
              <w:rPr>
                <w:szCs w:val="21"/>
              </w:rPr>
              <w:t>1（板宽1/2处，横向）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F3F19A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ASTM A370</w:t>
            </w:r>
          </w:p>
        </w:tc>
      </w:tr>
      <w:tr w14:paraId="65BB51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79D4C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弯曲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11B68C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每批一次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C63A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1（板宽1/4处，横向）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CAFC5A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ASTM A370</w:t>
            </w:r>
          </w:p>
        </w:tc>
      </w:tr>
      <w:tr w14:paraId="6F771F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897529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夏比冲击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41B3DC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每批一次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7C4B3C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3（板宽1/4处，横向）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AF3388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ASTM A370</w:t>
            </w:r>
          </w:p>
        </w:tc>
      </w:tr>
      <w:tr w14:paraId="51AE2B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D6215">
            <w:pPr>
              <w:adjustRightInd w:val="0"/>
              <w:snapToGri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DWTT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987D7">
            <w:pPr>
              <w:adjustRightInd w:val="0"/>
              <w:snapToGri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每批一次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19A85">
            <w:pPr>
              <w:adjustRightInd w:val="0"/>
              <w:snapToGri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2（板宽1/4处，横向）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121CA">
            <w:pPr>
              <w:adjustRightInd w:val="0"/>
              <w:ind w:left="-80" w:leftChars="-38"/>
              <w:jc w:val="center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color w:val="auto"/>
                <w:kern w:val="0"/>
                <w:szCs w:val="21"/>
              </w:rPr>
              <w:t>SY/T 6476</w:t>
            </w:r>
          </w:p>
        </w:tc>
      </w:tr>
      <w:tr w14:paraId="78D22A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2807C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金相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B7E6E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</w:t>
            </w:r>
            <w:r>
              <w:rPr>
                <w:rFonts w:hint="eastAsia"/>
                <w:szCs w:val="21"/>
              </w:rPr>
              <w:t>批一</w:t>
            </w:r>
            <w:r>
              <w:rPr>
                <w:szCs w:val="21"/>
              </w:rPr>
              <w:t>次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EB2AA0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（板宽1/2处，横向）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CD984C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本协议</w:t>
            </w:r>
          </w:p>
        </w:tc>
      </w:tr>
      <w:tr w14:paraId="17933C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CB01C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维氏硬度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B421CA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每批一次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E8D6B3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1（板宽1/4处，横向）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7BDB2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ASTM E</w:t>
            </w:r>
            <w:r>
              <w:rPr>
                <w:rFonts w:hint="eastAsia"/>
                <w:szCs w:val="21"/>
              </w:rPr>
              <w:t>92</w:t>
            </w:r>
          </w:p>
        </w:tc>
      </w:tr>
      <w:tr w14:paraId="0372B6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607F9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外观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0133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每张板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178FE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385AC3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本协议</w:t>
            </w:r>
          </w:p>
        </w:tc>
      </w:tr>
      <w:tr w14:paraId="4C8620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D9A968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尺寸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6B8AD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每张板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1464C6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21479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本协议</w:t>
            </w:r>
          </w:p>
        </w:tc>
      </w:tr>
      <w:tr w14:paraId="2C3719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28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0521F1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无损检测</w:t>
            </w:r>
          </w:p>
        </w:tc>
        <w:tc>
          <w:tcPr>
            <w:tcW w:w="145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5D62C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szCs w:val="21"/>
              </w:rPr>
              <w:t>每张板</w:t>
            </w:r>
          </w:p>
        </w:tc>
        <w:tc>
          <w:tcPr>
            <w:tcW w:w="288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A72A3A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/</w:t>
            </w:r>
          </w:p>
        </w:tc>
        <w:tc>
          <w:tcPr>
            <w:tcW w:w="2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9A3A1B">
            <w:pPr>
              <w:adjustRightInd w:val="0"/>
              <w:ind w:left="-80" w:leftChars="-38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本协议</w:t>
            </w:r>
          </w:p>
        </w:tc>
      </w:tr>
    </w:tbl>
    <w:p w14:paraId="1EB4D1C3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10 </w:t>
      </w:r>
      <w:r>
        <w:rPr>
          <w:rFonts w:ascii="黑体" w:eastAsia="黑体"/>
          <w:sz w:val="24"/>
        </w:rPr>
        <w:t>钢板标识</w:t>
      </w:r>
    </w:p>
    <w:p w14:paraId="679C6AB0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10</w:t>
      </w:r>
      <w:r>
        <w:rPr>
          <w:bCs/>
          <w:sz w:val="24"/>
        </w:rPr>
        <w:t>.1</w:t>
      </w:r>
      <w:r>
        <w:rPr>
          <w:rFonts w:hint="eastAsia"/>
          <w:bCs/>
          <w:sz w:val="24"/>
        </w:rPr>
        <w:t xml:space="preserve"> 板面标识</w:t>
      </w:r>
    </w:p>
    <w:p w14:paraId="355CF927">
      <w:pPr>
        <w:widowControl/>
        <w:autoSpaceDE w:val="0"/>
        <w:autoSpaceDN w:val="0"/>
        <w:adjustRightInd w:val="0"/>
        <w:spacing w:before="156" w:beforeLines="50" w:after="156" w:afterLines="50"/>
        <w:ind w:firstLine="480" w:firstLineChars="200"/>
        <w:rPr>
          <w:sz w:val="24"/>
        </w:rPr>
      </w:pPr>
      <w:r>
        <w:rPr>
          <w:rFonts w:hint="eastAsia"/>
          <w:sz w:val="24"/>
        </w:rPr>
        <w:t>标识位于</w:t>
      </w:r>
      <w:r>
        <w:rPr>
          <w:sz w:val="24"/>
        </w:rPr>
        <w:t>距板</w:t>
      </w:r>
      <w:r>
        <w:rPr>
          <w:rFonts w:hint="eastAsia"/>
          <w:sz w:val="24"/>
        </w:rPr>
        <w:t>端</w:t>
      </w:r>
      <w:r>
        <w:rPr>
          <w:sz w:val="24"/>
        </w:rPr>
        <w:t>不少于</w:t>
      </w:r>
      <w:r>
        <w:rPr>
          <w:rFonts w:hint="eastAsia"/>
          <w:sz w:val="24"/>
        </w:rPr>
        <w:t>1</w:t>
      </w:r>
      <w:r>
        <w:rPr>
          <w:sz w:val="24"/>
        </w:rPr>
        <w:t>m</w:t>
      </w:r>
      <w:r>
        <w:rPr>
          <w:rFonts w:hint="eastAsia"/>
          <w:sz w:val="24"/>
        </w:rPr>
        <w:t>处上表面，</w:t>
      </w:r>
      <w:r>
        <w:rPr>
          <w:sz w:val="24"/>
        </w:rPr>
        <w:t>至少包括以下内容：1）钢板尺寸（厚度、宽度、长度）；2）钢板钢级；3）熔炼炉号；4）钢板号；</w:t>
      </w:r>
      <w:r>
        <w:rPr>
          <w:rFonts w:hint="eastAsia"/>
          <w:sz w:val="24"/>
        </w:rPr>
        <w:t>5</w:t>
      </w:r>
      <w:r>
        <w:rPr>
          <w:sz w:val="24"/>
        </w:rPr>
        <w:t>）制造商标志。</w:t>
      </w:r>
    </w:p>
    <w:p w14:paraId="1E6E8D41">
      <w:pPr>
        <w:pStyle w:val="2"/>
        <w:keepNext w:val="0"/>
        <w:snapToGrid w:val="0"/>
        <w:spacing w:before="156" w:beforeLines="50" w:after="156" w:afterLines="50"/>
        <w:jc w:val="both"/>
        <w:rPr>
          <w:bCs/>
          <w:sz w:val="24"/>
        </w:rPr>
      </w:pPr>
      <w:r>
        <w:rPr>
          <w:rFonts w:hint="eastAsia"/>
          <w:bCs/>
          <w:sz w:val="24"/>
        </w:rPr>
        <w:t>10</w:t>
      </w:r>
      <w:r>
        <w:rPr>
          <w:bCs/>
          <w:sz w:val="24"/>
        </w:rPr>
        <w:t>.2</w:t>
      </w:r>
      <w:r>
        <w:rPr>
          <w:rFonts w:hint="eastAsia"/>
          <w:bCs/>
          <w:sz w:val="24"/>
        </w:rPr>
        <w:t xml:space="preserve"> 侧面</w:t>
      </w:r>
      <w:r>
        <w:rPr>
          <w:bCs/>
          <w:sz w:val="24"/>
        </w:rPr>
        <w:t>标识</w:t>
      </w:r>
    </w:p>
    <w:p w14:paraId="61B1DDB2">
      <w:pPr>
        <w:widowControl/>
        <w:autoSpaceDE w:val="0"/>
        <w:autoSpaceDN w:val="0"/>
        <w:adjustRightInd w:val="0"/>
        <w:spacing w:before="156" w:beforeLines="50" w:after="156" w:afterLines="50"/>
        <w:ind w:firstLine="480" w:firstLineChars="200"/>
        <w:rPr>
          <w:sz w:val="24"/>
        </w:rPr>
      </w:pPr>
      <w:r>
        <w:rPr>
          <w:rFonts w:hint="eastAsia"/>
          <w:sz w:val="24"/>
        </w:rPr>
        <w:t>标识位于</w:t>
      </w:r>
      <w:r>
        <w:rPr>
          <w:sz w:val="24"/>
        </w:rPr>
        <w:t>距板</w:t>
      </w:r>
      <w:r>
        <w:rPr>
          <w:rFonts w:hint="eastAsia"/>
          <w:sz w:val="24"/>
        </w:rPr>
        <w:t>端</w:t>
      </w:r>
      <w:r>
        <w:rPr>
          <w:sz w:val="24"/>
        </w:rPr>
        <w:t>不少于1m</w:t>
      </w:r>
      <w:r>
        <w:rPr>
          <w:rFonts w:hint="eastAsia"/>
          <w:sz w:val="24"/>
        </w:rPr>
        <w:t>处同一侧面，</w:t>
      </w:r>
      <w:r>
        <w:rPr>
          <w:sz w:val="24"/>
        </w:rPr>
        <w:t>至少包括以下内容：1）钢板尺寸（厚度、宽度、长度）；2）钢板钢级；3）熔炼炉号；4）钢板号。</w:t>
      </w:r>
    </w:p>
    <w:p w14:paraId="7D037A51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11 发运要求</w:t>
      </w:r>
    </w:p>
    <w:p w14:paraId="496B250F">
      <w:pPr>
        <w:widowControl/>
        <w:autoSpaceDE w:val="0"/>
        <w:autoSpaceDN w:val="0"/>
        <w:adjustRightInd w:val="0"/>
        <w:spacing w:before="156" w:beforeLines="50" w:after="156" w:afterLines="50"/>
        <w:ind w:firstLine="480" w:firstLineChars="200"/>
        <w:rPr>
          <w:sz w:val="24"/>
        </w:rPr>
      </w:pPr>
      <w:r>
        <w:rPr>
          <w:rFonts w:hint="eastAsia"/>
          <w:sz w:val="24"/>
        </w:rPr>
        <w:t>供方应尽量按炉批号堆放和发运钢板，并尽量使同一炉批下的所有钢板连续到达，以便于需方储存和投料。</w:t>
      </w:r>
    </w:p>
    <w:p w14:paraId="7317308D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12 质量证明书</w:t>
      </w:r>
    </w:p>
    <w:p w14:paraId="49E38BB6">
      <w:pPr>
        <w:widowControl/>
        <w:autoSpaceDE w:val="0"/>
        <w:autoSpaceDN w:val="0"/>
        <w:adjustRightInd w:val="0"/>
        <w:spacing w:before="156" w:beforeLines="50" w:after="156" w:afterLines="50"/>
        <w:ind w:firstLine="480" w:firstLineChars="200"/>
        <w:rPr>
          <w:sz w:val="24"/>
        </w:rPr>
      </w:pPr>
      <w:r>
        <w:rPr>
          <w:rFonts w:hint="eastAsia"/>
          <w:sz w:val="24"/>
        </w:rPr>
        <w:t>质量证明书的电子版应在装货发运之前提交给需方。质量证明书的纸质版应随钢板提供给需方。</w:t>
      </w:r>
    </w:p>
    <w:p w14:paraId="73EF42EB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13 合格率</w:t>
      </w:r>
    </w:p>
    <w:p w14:paraId="63DF437E">
      <w:pPr>
        <w:widowControl/>
        <w:autoSpaceDE w:val="0"/>
        <w:autoSpaceDN w:val="0"/>
        <w:adjustRightInd w:val="0"/>
        <w:ind w:firstLine="480" w:firstLineChars="200"/>
        <w:rPr>
          <w:sz w:val="24"/>
        </w:rPr>
      </w:pPr>
      <w:r>
        <w:rPr>
          <w:rFonts w:hint="eastAsia"/>
          <w:sz w:val="24"/>
        </w:rPr>
        <w:t>钢板入厂检验合格率低于80%，</w:t>
      </w:r>
      <w:r>
        <w:rPr>
          <w:rFonts w:hint="eastAsia"/>
          <w:color w:val="000000" w:themeColor="text1"/>
          <w:sz w:val="24"/>
        </w:rPr>
        <w:t>或</w:t>
      </w:r>
      <w:r>
        <w:rPr>
          <w:rFonts w:hint="eastAsia" w:hAnsi="宋体"/>
          <w:color w:val="000000" w:themeColor="text1"/>
          <w:sz w:val="24"/>
        </w:rPr>
        <w:t>制</w:t>
      </w:r>
      <w:r>
        <w:rPr>
          <w:rFonts w:hint="eastAsia" w:hAnsi="宋体"/>
          <w:sz w:val="24"/>
        </w:rPr>
        <w:t>管后因母材原因导致的单炉或整批钢管</w:t>
      </w:r>
      <w:r>
        <w:rPr>
          <w:rFonts w:hint="eastAsia"/>
          <w:sz w:val="24"/>
        </w:rPr>
        <w:t>合格率低于90%，需方有权拒收整炉或整批钢板。</w:t>
      </w:r>
    </w:p>
    <w:p w14:paraId="181D7778">
      <w:pPr>
        <w:widowControl/>
        <w:autoSpaceDE w:val="0"/>
        <w:autoSpaceDN w:val="0"/>
        <w:adjustRightInd w:val="0"/>
        <w:ind w:firstLine="480" w:firstLineChars="200"/>
        <w:rPr>
          <w:sz w:val="24"/>
        </w:rPr>
      </w:pPr>
      <w:r>
        <w:rPr>
          <w:rFonts w:hint="eastAsia"/>
          <w:sz w:val="24"/>
        </w:rPr>
        <w:t>除满足本技术要求外，因钢板潜在质量问题而导致的钢管质量问题，应由供方负责。</w:t>
      </w:r>
    </w:p>
    <w:p w14:paraId="0050724A">
      <w:pPr>
        <w:widowControl/>
        <w:autoSpaceDE w:val="0"/>
        <w:autoSpaceDN w:val="0"/>
        <w:adjustRightInd w:val="0"/>
        <w:spacing w:before="156" w:beforeLines="50" w:after="156" w:afterLines="50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 xml:space="preserve">14 </w:t>
      </w:r>
      <w:r>
        <w:rPr>
          <w:rFonts w:ascii="黑体" w:eastAsia="黑体"/>
          <w:sz w:val="24"/>
        </w:rPr>
        <w:t>其</w:t>
      </w:r>
      <w:r>
        <w:rPr>
          <w:rFonts w:hint="eastAsia" w:ascii="黑体" w:eastAsia="黑体"/>
          <w:sz w:val="24"/>
        </w:rPr>
        <w:t>它</w:t>
      </w:r>
      <w:r>
        <w:rPr>
          <w:rFonts w:ascii="黑体" w:eastAsia="黑体"/>
          <w:sz w:val="24"/>
        </w:rPr>
        <w:t>未述及事宜双方协商确定</w:t>
      </w:r>
      <w:r>
        <w:rPr>
          <w:rFonts w:hint="eastAsia" w:ascii="黑体" w:eastAsia="黑体"/>
          <w:sz w:val="24"/>
        </w:rPr>
        <w:t>。</w:t>
      </w:r>
    </w:p>
    <w:p w14:paraId="4336DB79">
      <w:pPr>
        <w:spacing w:line="480" w:lineRule="auto"/>
        <w:rPr>
          <w:sz w:val="24"/>
        </w:rPr>
      </w:pPr>
      <w:bookmarkStart w:id="2" w:name="_GoBack"/>
      <w:bookmarkEnd w:id="2"/>
    </w:p>
    <w:sectPr>
      <w:headerReference r:id="rId3" w:type="default"/>
      <w:footerReference r:id="rId4" w:type="default"/>
      <w:endnotePr>
        <w:numFmt w:val="decimal"/>
      </w:endnotePr>
      <w:pgSz w:w="11906" w:h="16838"/>
      <w:pgMar w:top="1588" w:right="1418" w:bottom="1418" w:left="1701" w:header="851" w:footer="86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1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B0171">
    <w:pPr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lang w:val="zh-CN"/>
      </w:rPr>
      <w:t xml:space="preserve"> / </w:t>
    </w:r>
    <w:r>
      <w:rPr>
        <w:rFonts w:hint="eastAsia"/>
      </w:rPr>
      <w:t>5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131BB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567"/>
    <w:rsid w:val="0000775E"/>
    <w:rsid w:val="00010AAB"/>
    <w:rsid w:val="000127AF"/>
    <w:rsid w:val="00014BCD"/>
    <w:rsid w:val="00016E98"/>
    <w:rsid w:val="00017007"/>
    <w:rsid w:val="0002020E"/>
    <w:rsid w:val="00021DED"/>
    <w:rsid w:val="0002302D"/>
    <w:rsid w:val="00023673"/>
    <w:rsid w:val="0002609C"/>
    <w:rsid w:val="00030685"/>
    <w:rsid w:val="00031009"/>
    <w:rsid w:val="0003522A"/>
    <w:rsid w:val="000406A5"/>
    <w:rsid w:val="00042526"/>
    <w:rsid w:val="0004417B"/>
    <w:rsid w:val="00044654"/>
    <w:rsid w:val="0004583D"/>
    <w:rsid w:val="000478B3"/>
    <w:rsid w:val="0005627A"/>
    <w:rsid w:val="00056336"/>
    <w:rsid w:val="00060939"/>
    <w:rsid w:val="000637FA"/>
    <w:rsid w:val="00063C89"/>
    <w:rsid w:val="00066269"/>
    <w:rsid w:val="00066EF3"/>
    <w:rsid w:val="000674A4"/>
    <w:rsid w:val="00070FAF"/>
    <w:rsid w:val="00072028"/>
    <w:rsid w:val="00074BCF"/>
    <w:rsid w:val="000765B1"/>
    <w:rsid w:val="0008051D"/>
    <w:rsid w:val="00086AF9"/>
    <w:rsid w:val="00086D2E"/>
    <w:rsid w:val="000873DF"/>
    <w:rsid w:val="000907E1"/>
    <w:rsid w:val="0009453F"/>
    <w:rsid w:val="000948FA"/>
    <w:rsid w:val="0009786A"/>
    <w:rsid w:val="00097B55"/>
    <w:rsid w:val="000A06B2"/>
    <w:rsid w:val="000A7D55"/>
    <w:rsid w:val="000B1E70"/>
    <w:rsid w:val="000B1F6C"/>
    <w:rsid w:val="000B2925"/>
    <w:rsid w:val="000B33A2"/>
    <w:rsid w:val="000B4B8D"/>
    <w:rsid w:val="000B6A80"/>
    <w:rsid w:val="000B7457"/>
    <w:rsid w:val="000C0A37"/>
    <w:rsid w:val="000C1D96"/>
    <w:rsid w:val="000C7E2F"/>
    <w:rsid w:val="000E0230"/>
    <w:rsid w:val="000E06C1"/>
    <w:rsid w:val="000E0CCC"/>
    <w:rsid w:val="000E1F8C"/>
    <w:rsid w:val="000E2531"/>
    <w:rsid w:val="000E35DC"/>
    <w:rsid w:val="000E3FCC"/>
    <w:rsid w:val="000F0ED5"/>
    <w:rsid w:val="000F2995"/>
    <w:rsid w:val="0010067A"/>
    <w:rsid w:val="00102122"/>
    <w:rsid w:val="00102E13"/>
    <w:rsid w:val="00104A39"/>
    <w:rsid w:val="00105B9E"/>
    <w:rsid w:val="0011123D"/>
    <w:rsid w:val="00111664"/>
    <w:rsid w:val="00112453"/>
    <w:rsid w:val="00117D1D"/>
    <w:rsid w:val="001212F2"/>
    <w:rsid w:val="001225D6"/>
    <w:rsid w:val="001243C7"/>
    <w:rsid w:val="00124F61"/>
    <w:rsid w:val="00132E8F"/>
    <w:rsid w:val="001335BE"/>
    <w:rsid w:val="001341A3"/>
    <w:rsid w:val="001343A5"/>
    <w:rsid w:val="00134468"/>
    <w:rsid w:val="00136D9D"/>
    <w:rsid w:val="00140BB6"/>
    <w:rsid w:val="00141EF1"/>
    <w:rsid w:val="00142331"/>
    <w:rsid w:val="00142424"/>
    <w:rsid w:val="00142B7A"/>
    <w:rsid w:val="00143FB8"/>
    <w:rsid w:val="00144C6B"/>
    <w:rsid w:val="001519B6"/>
    <w:rsid w:val="001541EB"/>
    <w:rsid w:val="00154FE9"/>
    <w:rsid w:val="001578FC"/>
    <w:rsid w:val="0016260E"/>
    <w:rsid w:val="0016321B"/>
    <w:rsid w:val="00165AB8"/>
    <w:rsid w:val="001669C2"/>
    <w:rsid w:val="00166E2F"/>
    <w:rsid w:val="00172A27"/>
    <w:rsid w:val="001749E2"/>
    <w:rsid w:val="00176FBE"/>
    <w:rsid w:val="0018037B"/>
    <w:rsid w:val="001804D7"/>
    <w:rsid w:val="001821A3"/>
    <w:rsid w:val="00183457"/>
    <w:rsid w:val="00183ED0"/>
    <w:rsid w:val="00190961"/>
    <w:rsid w:val="00193607"/>
    <w:rsid w:val="00194A34"/>
    <w:rsid w:val="001A0FA9"/>
    <w:rsid w:val="001A13FF"/>
    <w:rsid w:val="001A22BC"/>
    <w:rsid w:val="001A2433"/>
    <w:rsid w:val="001A4AEA"/>
    <w:rsid w:val="001A7D7A"/>
    <w:rsid w:val="001B14B2"/>
    <w:rsid w:val="001B175A"/>
    <w:rsid w:val="001B196C"/>
    <w:rsid w:val="001B1A4E"/>
    <w:rsid w:val="001B1AAA"/>
    <w:rsid w:val="001B5621"/>
    <w:rsid w:val="001B5CB7"/>
    <w:rsid w:val="001B6FEC"/>
    <w:rsid w:val="001B768B"/>
    <w:rsid w:val="001B7EA1"/>
    <w:rsid w:val="001C0137"/>
    <w:rsid w:val="001C2B66"/>
    <w:rsid w:val="001C3F35"/>
    <w:rsid w:val="001C503A"/>
    <w:rsid w:val="001C5171"/>
    <w:rsid w:val="001C5C1E"/>
    <w:rsid w:val="001C7908"/>
    <w:rsid w:val="001D4EDD"/>
    <w:rsid w:val="001D55B4"/>
    <w:rsid w:val="001E1585"/>
    <w:rsid w:val="001E413C"/>
    <w:rsid w:val="001E46A2"/>
    <w:rsid w:val="001E5AE6"/>
    <w:rsid w:val="001E750A"/>
    <w:rsid w:val="001E7601"/>
    <w:rsid w:val="001F2F0B"/>
    <w:rsid w:val="001F3DED"/>
    <w:rsid w:val="001F402B"/>
    <w:rsid w:val="001F7DB6"/>
    <w:rsid w:val="0020131C"/>
    <w:rsid w:val="00204722"/>
    <w:rsid w:val="0020502E"/>
    <w:rsid w:val="002061F0"/>
    <w:rsid w:val="00206AD1"/>
    <w:rsid w:val="00207E1E"/>
    <w:rsid w:val="00210F67"/>
    <w:rsid w:val="00215913"/>
    <w:rsid w:val="00221852"/>
    <w:rsid w:val="00222431"/>
    <w:rsid w:val="00232A8A"/>
    <w:rsid w:val="00233448"/>
    <w:rsid w:val="002343D2"/>
    <w:rsid w:val="00235127"/>
    <w:rsid w:val="00236378"/>
    <w:rsid w:val="002418DD"/>
    <w:rsid w:val="002430DA"/>
    <w:rsid w:val="002431ED"/>
    <w:rsid w:val="002433D1"/>
    <w:rsid w:val="00246DAA"/>
    <w:rsid w:val="00247D8E"/>
    <w:rsid w:val="00250E9E"/>
    <w:rsid w:val="00260F36"/>
    <w:rsid w:val="00263071"/>
    <w:rsid w:val="0026757A"/>
    <w:rsid w:val="002733DF"/>
    <w:rsid w:val="00273E40"/>
    <w:rsid w:val="00277E5F"/>
    <w:rsid w:val="0028187F"/>
    <w:rsid w:val="00285D83"/>
    <w:rsid w:val="00292A9A"/>
    <w:rsid w:val="002950FE"/>
    <w:rsid w:val="00295DFF"/>
    <w:rsid w:val="002A2547"/>
    <w:rsid w:val="002A27D6"/>
    <w:rsid w:val="002B0087"/>
    <w:rsid w:val="002B2247"/>
    <w:rsid w:val="002B3F27"/>
    <w:rsid w:val="002B6CD5"/>
    <w:rsid w:val="002B7490"/>
    <w:rsid w:val="002C01F9"/>
    <w:rsid w:val="002C07BF"/>
    <w:rsid w:val="002C07EC"/>
    <w:rsid w:val="002C12C9"/>
    <w:rsid w:val="002C41CF"/>
    <w:rsid w:val="002C5659"/>
    <w:rsid w:val="002C6CE7"/>
    <w:rsid w:val="002C75A9"/>
    <w:rsid w:val="002D1F5E"/>
    <w:rsid w:val="002D3608"/>
    <w:rsid w:val="002D367D"/>
    <w:rsid w:val="002D4DFD"/>
    <w:rsid w:val="002D50B0"/>
    <w:rsid w:val="002D5EF4"/>
    <w:rsid w:val="002D745F"/>
    <w:rsid w:val="002E0401"/>
    <w:rsid w:val="002E33D1"/>
    <w:rsid w:val="002F0579"/>
    <w:rsid w:val="002F13E0"/>
    <w:rsid w:val="002F2F64"/>
    <w:rsid w:val="002F3462"/>
    <w:rsid w:val="002F365C"/>
    <w:rsid w:val="002F6C64"/>
    <w:rsid w:val="002F6D79"/>
    <w:rsid w:val="00301643"/>
    <w:rsid w:val="003025AA"/>
    <w:rsid w:val="003039B8"/>
    <w:rsid w:val="00307C40"/>
    <w:rsid w:val="00313074"/>
    <w:rsid w:val="0031342C"/>
    <w:rsid w:val="00315AEF"/>
    <w:rsid w:val="00316995"/>
    <w:rsid w:val="003203FF"/>
    <w:rsid w:val="00321330"/>
    <w:rsid w:val="00321B89"/>
    <w:rsid w:val="00323416"/>
    <w:rsid w:val="00331652"/>
    <w:rsid w:val="003320E7"/>
    <w:rsid w:val="00333320"/>
    <w:rsid w:val="00334EEC"/>
    <w:rsid w:val="00335416"/>
    <w:rsid w:val="00335EB9"/>
    <w:rsid w:val="00337299"/>
    <w:rsid w:val="00337AFB"/>
    <w:rsid w:val="0034034E"/>
    <w:rsid w:val="00342922"/>
    <w:rsid w:val="003444FE"/>
    <w:rsid w:val="00344C75"/>
    <w:rsid w:val="003506E1"/>
    <w:rsid w:val="00350998"/>
    <w:rsid w:val="00351384"/>
    <w:rsid w:val="00356B87"/>
    <w:rsid w:val="003601B4"/>
    <w:rsid w:val="003615CD"/>
    <w:rsid w:val="00365C9D"/>
    <w:rsid w:val="00367C2D"/>
    <w:rsid w:val="0037025B"/>
    <w:rsid w:val="00370D02"/>
    <w:rsid w:val="00375E4A"/>
    <w:rsid w:val="00376A83"/>
    <w:rsid w:val="003812EE"/>
    <w:rsid w:val="00382644"/>
    <w:rsid w:val="003861DC"/>
    <w:rsid w:val="0039274C"/>
    <w:rsid w:val="00392791"/>
    <w:rsid w:val="00393BE9"/>
    <w:rsid w:val="00393ECF"/>
    <w:rsid w:val="00393EF2"/>
    <w:rsid w:val="00395B28"/>
    <w:rsid w:val="00395D7E"/>
    <w:rsid w:val="00397380"/>
    <w:rsid w:val="003A2E20"/>
    <w:rsid w:val="003A3D1B"/>
    <w:rsid w:val="003A7964"/>
    <w:rsid w:val="003B05C0"/>
    <w:rsid w:val="003B108E"/>
    <w:rsid w:val="003B3F6E"/>
    <w:rsid w:val="003B6236"/>
    <w:rsid w:val="003B69B1"/>
    <w:rsid w:val="003B739C"/>
    <w:rsid w:val="003C49C2"/>
    <w:rsid w:val="003C4E64"/>
    <w:rsid w:val="003C59FB"/>
    <w:rsid w:val="003E3363"/>
    <w:rsid w:val="003E3BC4"/>
    <w:rsid w:val="003E438F"/>
    <w:rsid w:val="003E4532"/>
    <w:rsid w:val="003E6866"/>
    <w:rsid w:val="003F4E83"/>
    <w:rsid w:val="003F746C"/>
    <w:rsid w:val="004012D2"/>
    <w:rsid w:val="00403A96"/>
    <w:rsid w:val="00403CE7"/>
    <w:rsid w:val="00405160"/>
    <w:rsid w:val="00405B6C"/>
    <w:rsid w:val="00405D46"/>
    <w:rsid w:val="00411128"/>
    <w:rsid w:val="00412FF5"/>
    <w:rsid w:val="00421B48"/>
    <w:rsid w:val="00423A56"/>
    <w:rsid w:val="004259B4"/>
    <w:rsid w:val="0043037D"/>
    <w:rsid w:val="00431843"/>
    <w:rsid w:val="00432F37"/>
    <w:rsid w:val="00433084"/>
    <w:rsid w:val="00433852"/>
    <w:rsid w:val="00436A49"/>
    <w:rsid w:val="00442113"/>
    <w:rsid w:val="00443206"/>
    <w:rsid w:val="004465B4"/>
    <w:rsid w:val="00454E0A"/>
    <w:rsid w:val="00455D24"/>
    <w:rsid w:val="004573E5"/>
    <w:rsid w:val="004578C8"/>
    <w:rsid w:val="0046104D"/>
    <w:rsid w:val="00461EE0"/>
    <w:rsid w:val="00464B70"/>
    <w:rsid w:val="0046680A"/>
    <w:rsid w:val="0046707C"/>
    <w:rsid w:val="00467E88"/>
    <w:rsid w:val="00476B81"/>
    <w:rsid w:val="0048103D"/>
    <w:rsid w:val="0048424B"/>
    <w:rsid w:val="004857D2"/>
    <w:rsid w:val="00487ADE"/>
    <w:rsid w:val="00487F16"/>
    <w:rsid w:val="00494141"/>
    <w:rsid w:val="00494C52"/>
    <w:rsid w:val="00495823"/>
    <w:rsid w:val="00497F11"/>
    <w:rsid w:val="004A275E"/>
    <w:rsid w:val="004A31D8"/>
    <w:rsid w:val="004A52C6"/>
    <w:rsid w:val="004B02CC"/>
    <w:rsid w:val="004B354A"/>
    <w:rsid w:val="004B3C3A"/>
    <w:rsid w:val="004B4A7B"/>
    <w:rsid w:val="004B5B85"/>
    <w:rsid w:val="004C2A22"/>
    <w:rsid w:val="004C38BC"/>
    <w:rsid w:val="004C4675"/>
    <w:rsid w:val="004C4A75"/>
    <w:rsid w:val="004C4FD4"/>
    <w:rsid w:val="004C577C"/>
    <w:rsid w:val="004D05CB"/>
    <w:rsid w:val="004D54B9"/>
    <w:rsid w:val="004D6454"/>
    <w:rsid w:val="004D7896"/>
    <w:rsid w:val="004E47D0"/>
    <w:rsid w:val="004E66D5"/>
    <w:rsid w:val="004E7078"/>
    <w:rsid w:val="004E7791"/>
    <w:rsid w:val="004F218D"/>
    <w:rsid w:val="004F2542"/>
    <w:rsid w:val="004F2F81"/>
    <w:rsid w:val="004F46AD"/>
    <w:rsid w:val="004F5001"/>
    <w:rsid w:val="00504710"/>
    <w:rsid w:val="005059C0"/>
    <w:rsid w:val="00506170"/>
    <w:rsid w:val="00506C61"/>
    <w:rsid w:val="00510894"/>
    <w:rsid w:val="00512813"/>
    <w:rsid w:val="00513622"/>
    <w:rsid w:val="00513B40"/>
    <w:rsid w:val="00514399"/>
    <w:rsid w:val="005162EF"/>
    <w:rsid w:val="00517294"/>
    <w:rsid w:val="00531A01"/>
    <w:rsid w:val="00531FA0"/>
    <w:rsid w:val="0053251F"/>
    <w:rsid w:val="005344EF"/>
    <w:rsid w:val="0053476A"/>
    <w:rsid w:val="005364F0"/>
    <w:rsid w:val="00537906"/>
    <w:rsid w:val="005406AC"/>
    <w:rsid w:val="00542393"/>
    <w:rsid w:val="00542948"/>
    <w:rsid w:val="00542DFE"/>
    <w:rsid w:val="00543FFE"/>
    <w:rsid w:val="00544BF9"/>
    <w:rsid w:val="00544F00"/>
    <w:rsid w:val="0054593C"/>
    <w:rsid w:val="00550569"/>
    <w:rsid w:val="00553404"/>
    <w:rsid w:val="0055358A"/>
    <w:rsid w:val="0055601D"/>
    <w:rsid w:val="00556302"/>
    <w:rsid w:val="00557456"/>
    <w:rsid w:val="00562F40"/>
    <w:rsid w:val="005634CD"/>
    <w:rsid w:val="005672F4"/>
    <w:rsid w:val="00570BB9"/>
    <w:rsid w:val="00572FD2"/>
    <w:rsid w:val="00573502"/>
    <w:rsid w:val="00573F33"/>
    <w:rsid w:val="005800E9"/>
    <w:rsid w:val="0058317A"/>
    <w:rsid w:val="00592E33"/>
    <w:rsid w:val="005941AA"/>
    <w:rsid w:val="00594E9E"/>
    <w:rsid w:val="00595659"/>
    <w:rsid w:val="00597025"/>
    <w:rsid w:val="00597502"/>
    <w:rsid w:val="005A192D"/>
    <w:rsid w:val="005A1B67"/>
    <w:rsid w:val="005A5458"/>
    <w:rsid w:val="005B3E93"/>
    <w:rsid w:val="005B5169"/>
    <w:rsid w:val="005B530B"/>
    <w:rsid w:val="005B597C"/>
    <w:rsid w:val="005C13BD"/>
    <w:rsid w:val="005C28EC"/>
    <w:rsid w:val="005C2DF2"/>
    <w:rsid w:val="005C3712"/>
    <w:rsid w:val="005C40DC"/>
    <w:rsid w:val="005C72B6"/>
    <w:rsid w:val="005D5EDC"/>
    <w:rsid w:val="005E04F5"/>
    <w:rsid w:val="005E1468"/>
    <w:rsid w:val="005E15E8"/>
    <w:rsid w:val="005E2E5E"/>
    <w:rsid w:val="005E3BEC"/>
    <w:rsid w:val="005E467A"/>
    <w:rsid w:val="005E49FB"/>
    <w:rsid w:val="005E4CB4"/>
    <w:rsid w:val="005E5AC8"/>
    <w:rsid w:val="005E7A23"/>
    <w:rsid w:val="005F66E4"/>
    <w:rsid w:val="00603436"/>
    <w:rsid w:val="00603AA0"/>
    <w:rsid w:val="00604D92"/>
    <w:rsid w:val="00605EA9"/>
    <w:rsid w:val="00606302"/>
    <w:rsid w:val="006073CA"/>
    <w:rsid w:val="006132AB"/>
    <w:rsid w:val="00620470"/>
    <w:rsid w:val="00624ABD"/>
    <w:rsid w:val="00627701"/>
    <w:rsid w:val="00630050"/>
    <w:rsid w:val="00630BB5"/>
    <w:rsid w:val="00633B88"/>
    <w:rsid w:val="00636B32"/>
    <w:rsid w:val="00637535"/>
    <w:rsid w:val="0064160F"/>
    <w:rsid w:val="00646BDD"/>
    <w:rsid w:val="00646F98"/>
    <w:rsid w:val="006477F0"/>
    <w:rsid w:val="0065072B"/>
    <w:rsid w:val="0065346C"/>
    <w:rsid w:val="00656366"/>
    <w:rsid w:val="00656389"/>
    <w:rsid w:val="00656B9F"/>
    <w:rsid w:val="00662045"/>
    <w:rsid w:val="00665E4B"/>
    <w:rsid w:val="00667491"/>
    <w:rsid w:val="0067088E"/>
    <w:rsid w:val="00671EE2"/>
    <w:rsid w:val="00673CAB"/>
    <w:rsid w:val="00677960"/>
    <w:rsid w:val="0068037A"/>
    <w:rsid w:val="00681610"/>
    <w:rsid w:val="00686BCA"/>
    <w:rsid w:val="00692C3F"/>
    <w:rsid w:val="00694F89"/>
    <w:rsid w:val="0069583D"/>
    <w:rsid w:val="006A048C"/>
    <w:rsid w:val="006A43EC"/>
    <w:rsid w:val="006A5DEE"/>
    <w:rsid w:val="006A5E0B"/>
    <w:rsid w:val="006A6982"/>
    <w:rsid w:val="006B0696"/>
    <w:rsid w:val="006B0ED4"/>
    <w:rsid w:val="006B0FCC"/>
    <w:rsid w:val="006B2446"/>
    <w:rsid w:val="006B31D7"/>
    <w:rsid w:val="006B3308"/>
    <w:rsid w:val="006B4BA1"/>
    <w:rsid w:val="006B4FEA"/>
    <w:rsid w:val="006B6F68"/>
    <w:rsid w:val="006B79B3"/>
    <w:rsid w:val="006C1858"/>
    <w:rsid w:val="006C3F6D"/>
    <w:rsid w:val="006C48C9"/>
    <w:rsid w:val="006C55F0"/>
    <w:rsid w:val="006D0289"/>
    <w:rsid w:val="006D02FA"/>
    <w:rsid w:val="006D25A5"/>
    <w:rsid w:val="006D350D"/>
    <w:rsid w:val="006D4E9D"/>
    <w:rsid w:val="006D58F3"/>
    <w:rsid w:val="006D65A4"/>
    <w:rsid w:val="006D763A"/>
    <w:rsid w:val="006E0456"/>
    <w:rsid w:val="006E08A4"/>
    <w:rsid w:val="006E113C"/>
    <w:rsid w:val="006E4A57"/>
    <w:rsid w:val="006F0967"/>
    <w:rsid w:val="006F37EE"/>
    <w:rsid w:val="006F3FE0"/>
    <w:rsid w:val="006F417C"/>
    <w:rsid w:val="006F59A2"/>
    <w:rsid w:val="006F744A"/>
    <w:rsid w:val="006F7C90"/>
    <w:rsid w:val="00701200"/>
    <w:rsid w:val="00702FDB"/>
    <w:rsid w:val="00704478"/>
    <w:rsid w:val="007148CD"/>
    <w:rsid w:val="00715CBD"/>
    <w:rsid w:val="007207B6"/>
    <w:rsid w:val="00725F2A"/>
    <w:rsid w:val="007272A7"/>
    <w:rsid w:val="00727472"/>
    <w:rsid w:val="00730B22"/>
    <w:rsid w:val="00730FE0"/>
    <w:rsid w:val="00731119"/>
    <w:rsid w:val="00733E96"/>
    <w:rsid w:val="007344FA"/>
    <w:rsid w:val="00735CC8"/>
    <w:rsid w:val="00736D9C"/>
    <w:rsid w:val="00737167"/>
    <w:rsid w:val="007418CB"/>
    <w:rsid w:val="0074387B"/>
    <w:rsid w:val="00743AB4"/>
    <w:rsid w:val="00746B57"/>
    <w:rsid w:val="0075043C"/>
    <w:rsid w:val="0075284B"/>
    <w:rsid w:val="00752D95"/>
    <w:rsid w:val="00753746"/>
    <w:rsid w:val="00754BAC"/>
    <w:rsid w:val="00754CEA"/>
    <w:rsid w:val="00760E05"/>
    <w:rsid w:val="00762F3B"/>
    <w:rsid w:val="00763D7E"/>
    <w:rsid w:val="00764DE6"/>
    <w:rsid w:val="00766D4A"/>
    <w:rsid w:val="00772200"/>
    <w:rsid w:val="007751F1"/>
    <w:rsid w:val="00775BC5"/>
    <w:rsid w:val="00784EFD"/>
    <w:rsid w:val="00790D5C"/>
    <w:rsid w:val="00791244"/>
    <w:rsid w:val="00794C88"/>
    <w:rsid w:val="00796C3C"/>
    <w:rsid w:val="00796F79"/>
    <w:rsid w:val="007A0AF2"/>
    <w:rsid w:val="007A32EF"/>
    <w:rsid w:val="007A4A6B"/>
    <w:rsid w:val="007A5684"/>
    <w:rsid w:val="007A6FEA"/>
    <w:rsid w:val="007B2CAA"/>
    <w:rsid w:val="007B4C3A"/>
    <w:rsid w:val="007B539D"/>
    <w:rsid w:val="007B685F"/>
    <w:rsid w:val="007C0BF2"/>
    <w:rsid w:val="007C18E5"/>
    <w:rsid w:val="007C3416"/>
    <w:rsid w:val="007C4B79"/>
    <w:rsid w:val="007C6B17"/>
    <w:rsid w:val="007C6FAC"/>
    <w:rsid w:val="007D0E36"/>
    <w:rsid w:val="007D15BD"/>
    <w:rsid w:val="007D2E2F"/>
    <w:rsid w:val="007D326F"/>
    <w:rsid w:val="007D4204"/>
    <w:rsid w:val="007E1621"/>
    <w:rsid w:val="007E7E3E"/>
    <w:rsid w:val="007F2252"/>
    <w:rsid w:val="007F45F6"/>
    <w:rsid w:val="007F5B7E"/>
    <w:rsid w:val="007F60BC"/>
    <w:rsid w:val="007F7E7B"/>
    <w:rsid w:val="008029E0"/>
    <w:rsid w:val="00802F86"/>
    <w:rsid w:val="00803760"/>
    <w:rsid w:val="00804255"/>
    <w:rsid w:val="00804D8F"/>
    <w:rsid w:val="00810D73"/>
    <w:rsid w:val="008137A9"/>
    <w:rsid w:val="008152F8"/>
    <w:rsid w:val="00816CA5"/>
    <w:rsid w:val="008179E1"/>
    <w:rsid w:val="00817CDF"/>
    <w:rsid w:val="00820BDE"/>
    <w:rsid w:val="008268B0"/>
    <w:rsid w:val="00830705"/>
    <w:rsid w:val="008334D3"/>
    <w:rsid w:val="00833B3E"/>
    <w:rsid w:val="008354A8"/>
    <w:rsid w:val="008433A2"/>
    <w:rsid w:val="00847729"/>
    <w:rsid w:val="008509E5"/>
    <w:rsid w:val="00852146"/>
    <w:rsid w:val="00852D96"/>
    <w:rsid w:val="00853010"/>
    <w:rsid w:val="0085490D"/>
    <w:rsid w:val="00854CB7"/>
    <w:rsid w:val="00855A97"/>
    <w:rsid w:val="00856F3E"/>
    <w:rsid w:val="00862A9D"/>
    <w:rsid w:val="00865916"/>
    <w:rsid w:val="00867118"/>
    <w:rsid w:val="00870179"/>
    <w:rsid w:val="00873C18"/>
    <w:rsid w:val="00876634"/>
    <w:rsid w:val="00880D49"/>
    <w:rsid w:val="008875FC"/>
    <w:rsid w:val="008904BA"/>
    <w:rsid w:val="00892421"/>
    <w:rsid w:val="0089326E"/>
    <w:rsid w:val="0089447D"/>
    <w:rsid w:val="00894CFC"/>
    <w:rsid w:val="008A0B5C"/>
    <w:rsid w:val="008A3236"/>
    <w:rsid w:val="008A68DF"/>
    <w:rsid w:val="008B4CAE"/>
    <w:rsid w:val="008B7414"/>
    <w:rsid w:val="008C1B26"/>
    <w:rsid w:val="008C33EC"/>
    <w:rsid w:val="008C36F4"/>
    <w:rsid w:val="008C431B"/>
    <w:rsid w:val="008C5EA4"/>
    <w:rsid w:val="008C6151"/>
    <w:rsid w:val="008D4AF4"/>
    <w:rsid w:val="008D51AD"/>
    <w:rsid w:val="008D5CB6"/>
    <w:rsid w:val="008E0AEC"/>
    <w:rsid w:val="008E108B"/>
    <w:rsid w:val="008E15A2"/>
    <w:rsid w:val="008E3C6D"/>
    <w:rsid w:val="008F0CB4"/>
    <w:rsid w:val="008F176F"/>
    <w:rsid w:val="008F1A8D"/>
    <w:rsid w:val="008F1BEF"/>
    <w:rsid w:val="0090075D"/>
    <w:rsid w:val="00905056"/>
    <w:rsid w:val="00911A60"/>
    <w:rsid w:val="009170B9"/>
    <w:rsid w:val="00917DDD"/>
    <w:rsid w:val="0092388A"/>
    <w:rsid w:val="00923C24"/>
    <w:rsid w:val="00924DD5"/>
    <w:rsid w:val="00931A95"/>
    <w:rsid w:val="00932652"/>
    <w:rsid w:val="00941C5C"/>
    <w:rsid w:val="00945F87"/>
    <w:rsid w:val="00951E74"/>
    <w:rsid w:val="0095345A"/>
    <w:rsid w:val="00956A40"/>
    <w:rsid w:val="00957881"/>
    <w:rsid w:val="00962636"/>
    <w:rsid w:val="00963B06"/>
    <w:rsid w:val="009709C2"/>
    <w:rsid w:val="00971BEE"/>
    <w:rsid w:val="00972C7B"/>
    <w:rsid w:val="0097775C"/>
    <w:rsid w:val="0098004D"/>
    <w:rsid w:val="0098638E"/>
    <w:rsid w:val="00990BF3"/>
    <w:rsid w:val="00993F0A"/>
    <w:rsid w:val="00997616"/>
    <w:rsid w:val="009A03B0"/>
    <w:rsid w:val="009A13BC"/>
    <w:rsid w:val="009B3D4B"/>
    <w:rsid w:val="009B406D"/>
    <w:rsid w:val="009B5333"/>
    <w:rsid w:val="009B6232"/>
    <w:rsid w:val="009C354C"/>
    <w:rsid w:val="009C38ED"/>
    <w:rsid w:val="009C5823"/>
    <w:rsid w:val="009C6E67"/>
    <w:rsid w:val="009C6FE7"/>
    <w:rsid w:val="009D4716"/>
    <w:rsid w:val="009E0775"/>
    <w:rsid w:val="009E3E18"/>
    <w:rsid w:val="009E4BC0"/>
    <w:rsid w:val="009F335F"/>
    <w:rsid w:val="009F584D"/>
    <w:rsid w:val="009F68E0"/>
    <w:rsid w:val="009F6944"/>
    <w:rsid w:val="00A05E20"/>
    <w:rsid w:val="00A118AA"/>
    <w:rsid w:val="00A17485"/>
    <w:rsid w:val="00A2154E"/>
    <w:rsid w:val="00A27CD4"/>
    <w:rsid w:val="00A32083"/>
    <w:rsid w:val="00A3275F"/>
    <w:rsid w:val="00A35C3F"/>
    <w:rsid w:val="00A4144D"/>
    <w:rsid w:val="00A43F0D"/>
    <w:rsid w:val="00A44A1E"/>
    <w:rsid w:val="00A46675"/>
    <w:rsid w:val="00A51645"/>
    <w:rsid w:val="00A51DC1"/>
    <w:rsid w:val="00A52F94"/>
    <w:rsid w:val="00A54B07"/>
    <w:rsid w:val="00A54CEA"/>
    <w:rsid w:val="00A550A4"/>
    <w:rsid w:val="00A5639B"/>
    <w:rsid w:val="00A615BC"/>
    <w:rsid w:val="00A63151"/>
    <w:rsid w:val="00A63791"/>
    <w:rsid w:val="00A6574D"/>
    <w:rsid w:val="00A7220A"/>
    <w:rsid w:val="00A73F18"/>
    <w:rsid w:val="00A74058"/>
    <w:rsid w:val="00A7441C"/>
    <w:rsid w:val="00A75057"/>
    <w:rsid w:val="00A75F2E"/>
    <w:rsid w:val="00A76431"/>
    <w:rsid w:val="00A7735B"/>
    <w:rsid w:val="00A80D35"/>
    <w:rsid w:val="00A82886"/>
    <w:rsid w:val="00A85704"/>
    <w:rsid w:val="00A870B1"/>
    <w:rsid w:val="00A87ED4"/>
    <w:rsid w:val="00A91A3B"/>
    <w:rsid w:val="00A94B17"/>
    <w:rsid w:val="00A96D52"/>
    <w:rsid w:val="00AA18BF"/>
    <w:rsid w:val="00AA2214"/>
    <w:rsid w:val="00AA3AA4"/>
    <w:rsid w:val="00AA4620"/>
    <w:rsid w:val="00AA4862"/>
    <w:rsid w:val="00AA4864"/>
    <w:rsid w:val="00AA728A"/>
    <w:rsid w:val="00AB537A"/>
    <w:rsid w:val="00AB5853"/>
    <w:rsid w:val="00AB779A"/>
    <w:rsid w:val="00AB7C68"/>
    <w:rsid w:val="00AC0AC1"/>
    <w:rsid w:val="00AC1E00"/>
    <w:rsid w:val="00AC3FBA"/>
    <w:rsid w:val="00AC4157"/>
    <w:rsid w:val="00AC44FC"/>
    <w:rsid w:val="00AC6319"/>
    <w:rsid w:val="00AC66C1"/>
    <w:rsid w:val="00AC69D5"/>
    <w:rsid w:val="00AC704A"/>
    <w:rsid w:val="00AD02E6"/>
    <w:rsid w:val="00AD11CD"/>
    <w:rsid w:val="00AD3A80"/>
    <w:rsid w:val="00AD5676"/>
    <w:rsid w:val="00AD5D4E"/>
    <w:rsid w:val="00AE156F"/>
    <w:rsid w:val="00AE176E"/>
    <w:rsid w:val="00AE2187"/>
    <w:rsid w:val="00AE23B2"/>
    <w:rsid w:val="00AE4106"/>
    <w:rsid w:val="00AE6547"/>
    <w:rsid w:val="00AE7568"/>
    <w:rsid w:val="00AF0B54"/>
    <w:rsid w:val="00AF382D"/>
    <w:rsid w:val="00AF6BCA"/>
    <w:rsid w:val="00AF7EFC"/>
    <w:rsid w:val="00B02B91"/>
    <w:rsid w:val="00B069C7"/>
    <w:rsid w:val="00B10229"/>
    <w:rsid w:val="00B12589"/>
    <w:rsid w:val="00B1383C"/>
    <w:rsid w:val="00B15E56"/>
    <w:rsid w:val="00B171E7"/>
    <w:rsid w:val="00B212B9"/>
    <w:rsid w:val="00B240E2"/>
    <w:rsid w:val="00B25877"/>
    <w:rsid w:val="00B266AB"/>
    <w:rsid w:val="00B32ED9"/>
    <w:rsid w:val="00B356CA"/>
    <w:rsid w:val="00B35F63"/>
    <w:rsid w:val="00B416B3"/>
    <w:rsid w:val="00B42360"/>
    <w:rsid w:val="00B4600A"/>
    <w:rsid w:val="00B50739"/>
    <w:rsid w:val="00B509D1"/>
    <w:rsid w:val="00B50FC9"/>
    <w:rsid w:val="00B51887"/>
    <w:rsid w:val="00B56B6F"/>
    <w:rsid w:val="00B67CFA"/>
    <w:rsid w:val="00B71AF1"/>
    <w:rsid w:val="00B72A52"/>
    <w:rsid w:val="00B76487"/>
    <w:rsid w:val="00B82C74"/>
    <w:rsid w:val="00B84DBB"/>
    <w:rsid w:val="00B84EE0"/>
    <w:rsid w:val="00B91721"/>
    <w:rsid w:val="00B93395"/>
    <w:rsid w:val="00BA179B"/>
    <w:rsid w:val="00BA2354"/>
    <w:rsid w:val="00BA4A13"/>
    <w:rsid w:val="00BA5111"/>
    <w:rsid w:val="00BA53BE"/>
    <w:rsid w:val="00BA5B8C"/>
    <w:rsid w:val="00BA6CC3"/>
    <w:rsid w:val="00BB538E"/>
    <w:rsid w:val="00BB64E6"/>
    <w:rsid w:val="00BC1750"/>
    <w:rsid w:val="00BC18DE"/>
    <w:rsid w:val="00BC215D"/>
    <w:rsid w:val="00BC25D9"/>
    <w:rsid w:val="00BC440B"/>
    <w:rsid w:val="00BC788F"/>
    <w:rsid w:val="00BD01A0"/>
    <w:rsid w:val="00BD02F5"/>
    <w:rsid w:val="00BD075A"/>
    <w:rsid w:val="00BD34DE"/>
    <w:rsid w:val="00BD4F8B"/>
    <w:rsid w:val="00BD5AFF"/>
    <w:rsid w:val="00BD7469"/>
    <w:rsid w:val="00BE06AC"/>
    <w:rsid w:val="00BE18E5"/>
    <w:rsid w:val="00BF1B01"/>
    <w:rsid w:val="00BF3C23"/>
    <w:rsid w:val="00C00EC8"/>
    <w:rsid w:val="00C04A08"/>
    <w:rsid w:val="00C07A94"/>
    <w:rsid w:val="00C121AB"/>
    <w:rsid w:val="00C16E8E"/>
    <w:rsid w:val="00C200A2"/>
    <w:rsid w:val="00C245FF"/>
    <w:rsid w:val="00C26BA1"/>
    <w:rsid w:val="00C3199C"/>
    <w:rsid w:val="00C342EC"/>
    <w:rsid w:val="00C3472F"/>
    <w:rsid w:val="00C36A80"/>
    <w:rsid w:val="00C41AE2"/>
    <w:rsid w:val="00C43931"/>
    <w:rsid w:val="00C4659B"/>
    <w:rsid w:val="00C4695E"/>
    <w:rsid w:val="00C4748F"/>
    <w:rsid w:val="00C53A2D"/>
    <w:rsid w:val="00C54968"/>
    <w:rsid w:val="00C551BB"/>
    <w:rsid w:val="00C56110"/>
    <w:rsid w:val="00C56C98"/>
    <w:rsid w:val="00C6094C"/>
    <w:rsid w:val="00C6217E"/>
    <w:rsid w:val="00C635FA"/>
    <w:rsid w:val="00C64F79"/>
    <w:rsid w:val="00C658DC"/>
    <w:rsid w:val="00C71221"/>
    <w:rsid w:val="00C719A9"/>
    <w:rsid w:val="00C74792"/>
    <w:rsid w:val="00C7572E"/>
    <w:rsid w:val="00C77664"/>
    <w:rsid w:val="00C80EA0"/>
    <w:rsid w:val="00C8115B"/>
    <w:rsid w:val="00C813B1"/>
    <w:rsid w:val="00C83302"/>
    <w:rsid w:val="00C866C6"/>
    <w:rsid w:val="00C9134A"/>
    <w:rsid w:val="00C921FF"/>
    <w:rsid w:val="00C93FCF"/>
    <w:rsid w:val="00C9503F"/>
    <w:rsid w:val="00C956CE"/>
    <w:rsid w:val="00CA2A31"/>
    <w:rsid w:val="00CA33DA"/>
    <w:rsid w:val="00CA528E"/>
    <w:rsid w:val="00CA57AC"/>
    <w:rsid w:val="00CA67FD"/>
    <w:rsid w:val="00CA6B8F"/>
    <w:rsid w:val="00CB1255"/>
    <w:rsid w:val="00CB2B91"/>
    <w:rsid w:val="00CB4BAA"/>
    <w:rsid w:val="00CB5E3E"/>
    <w:rsid w:val="00CB72AA"/>
    <w:rsid w:val="00CC07BD"/>
    <w:rsid w:val="00CC46B8"/>
    <w:rsid w:val="00CC6005"/>
    <w:rsid w:val="00CC6828"/>
    <w:rsid w:val="00CC7114"/>
    <w:rsid w:val="00CD1E57"/>
    <w:rsid w:val="00CD2970"/>
    <w:rsid w:val="00CD347B"/>
    <w:rsid w:val="00CD3B95"/>
    <w:rsid w:val="00CD7EDA"/>
    <w:rsid w:val="00CE2DEC"/>
    <w:rsid w:val="00CE2E0E"/>
    <w:rsid w:val="00CE3250"/>
    <w:rsid w:val="00CE475A"/>
    <w:rsid w:val="00CE5573"/>
    <w:rsid w:val="00CE5F00"/>
    <w:rsid w:val="00CE6811"/>
    <w:rsid w:val="00CF079A"/>
    <w:rsid w:val="00CF1B90"/>
    <w:rsid w:val="00CF32B3"/>
    <w:rsid w:val="00CF457D"/>
    <w:rsid w:val="00CF57BE"/>
    <w:rsid w:val="00CF5D65"/>
    <w:rsid w:val="00D0275B"/>
    <w:rsid w:val="00D04357"/>
    <w:rsid w:val="00D047A0"/>
    <w:rsid w:val="00D100E9"/>
    <w:rsid w:val="00D203C7"/>
    <w:rsid w:val="00D21936"/>
    <w:rsid w:val="00D21C27"/>
    <w:rsid w:val="00D21DAA"/>
    <w:rsid w:val="00D2293C"/>
    <w:rsid w:val="00D22BD2"/>
    <w:rsid w:val="00D25125"/>
    <w:rsid w:val="00D35E27"/>
    <w:rsid w:val="00D362D2"/>
    <w:rsid w:val="00D36EDA"/>
    <w:rsid w:val="00D4340E"/>
    <w:rsid w:val="00D43C8F"/>
    <w:rsid w:val="00D443F4"/>
    <w:rsid w:val="00D46956"/>
    <w:rsid w:val="00D46A7F"/>
    <w:rsid w:val="00D536EE"/>
    <w:rsid w:val="00D56AC3"/>
    <w:rsid w:val="00D575BE"/>
    <w:rsid w:val="00D5789D"/>
    <w:rsid w:val="00D60C99"/>
    <w:rsid w:val="00D63427"/>
    <w:rsid w:val="00D63D50"/>
    <w:rsid w:val="00D67D8A"/>
    <w:rsid w:val="00D67FF8"/>
    <w:rsid w:val="00D76E7B"/>
    <w:rsid w:val="00D77D62"/>
    <w:rsid w:val="00D819F6"/>
    <w:rsid w:val="00D8277A"/>
    <w:rsid w:val="00D82D2E"/>
    <w:rsid w:val="00D85C03"/>
    <w:rsid w:val="00D94F28"/>
    <w:rsid w:val="00D95619"/>
    <w:rsid w:val="00D95807"/>
    <w:rsid w:val="00DA0B12"/>
    <w:rsid w:val="00DA183D"/>
    <w:rsid w:val="00DA1DAC"/>
    <w:rsid w:val="00DA2831"/>
    <w:rsid w:val="00DA3D99"/>
    <w:rsid w:val="00DA50F5"/>
    <w:rsid w:val="00DA7B1A"/>
    <w:rsid w:val="00DB0124"/>
    <w:rsid w:val="00DB2E62"/>
    <w:rsid w:val="00DB3440"/>
    <w:rsid w:val="00DB60AB"/>
    <w:rsid w:val="00DC0E1D"/>
    <w:rsid w:val="00DC3754"/>
    <w:rsid w:val="00DC5012"/>
    <w:rsid w:val="00DE04F4"/>
    <w:rsid w:val="00DE2582"/>
    <w:rsid w:val="00DE4570"/>
    <w:rsid w:val="00DE547C"/>
    <w:rsid w:val="00DE6D79"/>
    <w:rsid w:val="00DF1DC6"/>
    <w:rsid w:val="00DF2572"/>
    <w:rsid w:val="00DF3355"/>
    <w:rsid w:val="00E00845"/>
    <w:rsid w:val="00E00BF7"/>
    <w:rsid w:val="00E012BB"/>
    <w:rsid w:val="00E0518E"/>
    <w:rsid w:val="00E05205"/>
    <w:rsid w:val="00E05854"/>
    <w:rsid w:val="00E12499"/>
    <w:rsid w:val="00E143AC"/>
    <w:rsid w:val="00E1624B"/>
    <w:rsid w:val="00E207FA"/>
    <w:rsid w:val="00E26588"/>
    <w:rsid w:val="00E27B1F"/>
    <w:rsid w:val="00E32E6E"/>
    <w:rsid w:val="00E33199"/>
    <w:rsid w:val="00E364D1"/>
    <w:rsid w:val="00E36E10"/>
    <w:rsid w:val="00E42110"/>
    <w:rsid w:val="00E42458"/>
    <w:rsid w:val="00E4342B"/>
    <w:rsid w:val="00E445BA"/>
    <w:rsid w:val="00E50165"/>
    <w:rsid w:val="00E5449E"/>
    <w:rsid w:val="00E61B6A"/>
    <w:rsid w:val="00E62745"/>
    <w:rsid w:val="00E636C0"/>
    <w:rsid w:val="00E6483F"/>
    <w:rsid w:val="00E653EF"/>
    <w:rsid w:val="00E67022"/>
    <w:rsid w:val="00E6714F"/>
    <w:rsid w:val="00E70284"/>
    <w:rsid w:val="00E74716"/>
    <w:rsid w:val="00E74E3C"/>
    <w:rsid w:val="00E7543A"/>
    <w:rsid w:val="00E76778"/>
    <w:rsid w:val="00E8196E"/>
    <w:rsid w:val="00E81DFB"/>
    <w:rsid w:val="00E84085"/>
    <w:rsid w:val="00E841B1"/>
    <w:rsid w:val="00E849A2"/>
    <w:rsid w:val="00E87935"/>
    <w:rsid w:val="00E90E40"/>
    <w:rsid w:val="00E91C25"/>
    <w:rsid w:val="00E9419F"/>
    <w:rsid w:val="00E94267"/>
    <w:rsid w:val="00E9702B"/>
    <w:rsid w:val="00E975AA"/>
    <w:rsid w:val="00EA13DB"/>
    <w:rsid w:val="00EA2EED"/>
    <w:rsid w:val="00EA77F4"/>
    <w:rsid w:val="00EB1268"/>
    <w:rsid w:val="00EB13EA"/>
    <w:rsid w:val="00EB283B"/>
    <w:rsid w:val="00EB3A0D"/>
    <w:rsid w:val="00EB50D9"/>
    <w:rsid w:val="00EC0D9F"/>
    <w:rsid w:val="00EC374A"/>
    <w:rsid w:val="00ED07D5"/>
    <w:rsid w:val="00ED5EBF"/>
    <w:rsid w:val="00ED6E52"/>
    <w:rsid w:val="00EE1781"/>
    <w:rsid w:val="00EE1C9E"/>
    <w:rsid w:val="00EE3094"/>
    <w:rsid w:val="00EE572F"/>
    <w:rsid w:val="00EE6058"/>
    <w:rsid w:val="00EF05F9"/>
    <w:rsid w:val="00EF217B"/>
    <w:rsid w:val="00EF2B16"/>
    <w:rsid w:val="00EF4962"/>
    <w:rsid w:val="00EF5138"/>
    <w:rsid w:val="00EF6484"/>
    <w:rsid w:val="00F0162D"/>
    <w:rsid w:val="00F01975"/>
    <w:rsid w:val="00F01F34"/>
    <w:rsid w:val="00F042F5"/>
    <w:rsid w:val="00F050B3"/>
    <w:rsid w:val="00F056F1"/>
    <w:rsid w:val="00F0736E"/>
    <w:rsid w:val="00F07476"/>
    <w:rsid w:val="00F134EE"/>
    <w:rsid w:val="00F24374"/>
    <w:rsid w:val="00F248F4"/>
    <w:rsid w:val="00F259E3"/>
    <w:rsid w:val="00F26AB4"/>
    <w:rsid w:val="00F27017"/>
    <w:rsid w:val="00F27E7B"/>
    <w:rsid w:val="00F31FC4"/>
    <w:rsid w:val="00F322E1"/>
    <w:rsid w:val="00F32CF6"/>
    <w:rsid w:val="00F3479A"/>
    <w:rsid w:val="00F3506F"/>
    <w:rsid w:val="00F42A73"/>
    <w:rsid w:val="00F437C6"/>
    <w:rsid w:val="00F44308"/>
    <w:rsid w:val="00F44899"/>
    <w:rsid w:val="00F52AEA"/>
    <w:rsid w:val="00F55DA3"/>
    <w:rsid w:val="00F61434"/>
    <w:rsid w:val="00F6335F"/>
    <w:rsid w:val="00F6383B"/>
    <w:rsid w:val="00F647FD"/>
    <w:rsid w:val="00F64FB3"/>
    <w:rsid w:val="00F67E46"/>
    <w:rsid w:val="00F71F15"/>
    <w:rsid w:val="00F729F2"/>
    <w:rsid w:val="00F736D6"/>
    <w:rsid w:val="00F7509F"/>
    <w:rsid w:val="00F77B1A"/>
    <w:rsid w:val="00F82925"/>
    <w:rsid w:val="00F82C8A"/>
    <w:rsid w:val="00F82DD3"/>
    <w:rsid w:val="00F84882"/>
    <w:rsid w:val="00F84D84"/>
    <w:rsid w:val="00F951CB"/>
    <w:rsid w:val="00F95416"/>
    <w:rsid w:val="00F9799C"/>
    <w:rsid w:val="00F97B58"/>
    <w:rsid w:val="00FA1100"/>
    <w:rsid w:val="00FA7433"/>
    <w:rsid w:val="00FB09E8"/>
    <w:rsid w:val="00FB38B2"/>
    <w:rsid w:val="00FB6EEB"/>
    <w:rsid w:val="00FB7461"/>
    <w:rsid w:val="00FC01EC"/>
    <w:rsid w:val="00FC2C27"/>
    <w:rsid w:val="00FC3145"/>
    <w:rsid w:val="00FC6ABF"/>
    <w:rsid w:val="00FD2BA7"/>
    <w:rsid w:val="00FD37E1"/>
    <w:rsid w:val="00FD6C8A"/>
    <w:rsid w:val="00FE094C"/>
    <w:rsid w:val="00FE0F85"/>
    <w:rsid w:val="00FE124C"/>
    <w:rsid w:val="00FE1591"/>
    <w:rsid w:val="00FE259E"/>
    <w:rsid w:val="00FE3CF9"/>
    <w:rsid w:val="00FE78C8"/>
    <w:rsid w:val="00FE7DDF"/>
    <w:rsid w:val="00FF221A"/>
    <w:rsid w:val="00FF50E5"/>
    <w:rsid w:val="00FF703D"/>
    <w:rsid w:val="0F9A49CB"/>
    <w:rsid w:val="1C7A4CE1"/>
    <w:rsid w:val="24713CC8"/>
    <w:rsid w:val="24773635"/>
    <w:rsid w:val="28C64794"/>
    <w:rsid w:val="2FFB4FBA"/>
    <w:rsid w:val="3A007967"/>
    <w:rsid w:val="3AA13FEA"/>
    <w:rsid w:val="3AB33CBF"/>
    <w:rsid w:val="3E2D67CB"/>
    <w:rsid w:val="3F9871F9"/>
    <w:rsid w:val="43EA7528"/>
    <w:rsid w:val="44F248E6"/>
    <w:rsid w:val="48C10831"/>
    <w:rsid w:val="4C250621"/>
    <w:rsid w:val="4CBF7DEB"/>
    <w:rsid w:val="4FDA7931"/>
    <w:rsid w:val="52E636BD"/>
    <w:rsid w:val="54DE09E3"/>
    <w:rsid w:val="57E70309"/>
    <w:rsid w:val="59E545C2"/>
    <w:rsid w:val="5A957D96"/>
    <w:rsid w:val="5DDA2AF7"/>
    <w:rsid w:val="608D150F"/>
    <w:rsid w:val="64BB364B"/>
    <w:rsid w:val="661D42B1"/>
    <w:rsid w:val="66BD0B9D"/>
    <w:rsid w:val="68A03499"/>
    <w:rsid w:val="6A2B59F0"/>
    <w:rsid w:val="77626DFA"/>
    <w:rsid w:val="783B70E3"/>
    <w:rsid w:val="7C631993"/>
    <w:rsid w:val="7D9F0667"/>
    <w:rsid w:val="7F86281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jc w:val="center"/>
      <w:outlineLvl w:val="0"/>
    </w:pPr>
    <w:rPr>
      <w:sz w:val="2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47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 w:firstLineChars="20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qFormat/>
    <w:uiPriority w:val="0"/>
    <w:pPr>
      <w:spacing w:after="120"/>
    </w:pPr>
    <w:rPr>
      <w:szCs w:val="20"/>
    </w:rPr>
  </w:style>
  <w:style w:type="paragraph" w:styleId="9">
    <w:name w:val="Body Text Indent"/>
    <w:basedOn w:val="1"/>
    <w:qFormat/>
    <w:uiPriority w:val="0"/>
    <w:pPr>
      <w:keepNext/>
      <w:spacing w:line="380" w:lineRule="exact"/>
      <w:ind w:left="179" w:leftChars="87" w:firstLine="340" w:firstLineChars="165"/>
    </w:pPr>
    <w:rPr>
      <w:color w:val="0000FF"/>
    </w:rPr>
  </w:style>
  <w:style w:type="paragraph" w:styleId="10">
    <w:name w:val="Plain Text"/>
    <w:basedOn w:val="1"/>
    <w:link w:val="34"/>
    <w:qFormat/>
    <w:uiPriority w:val="0"/>
    <w:rPr>
      <w:rFonts w:ascii="宋体" w:hAnsi="Courier New"/>
      <w:szCs w:val="20"/>
    </w:rPr>
  </w:style>
  <w:style w:type="paragraph" w:styleId="11">
    <w:name w:val="Date"/>
    <w:basedOn w:val="1"/>
    <w:next w:val="1"/>
    <w:qFormat/>
    <w:uiPriority w:val="0"/>
    <w:rPr>
      <w:rFonts w:ascii="黑体" w:eastAsia="黑体"/>
      <w:sz w:val="28"/>
      <w:szCs w:val="20"/>
    </w:rPr>
  </w:style>
  <w:style w:type="paragraph" w:styleId="12">
    <w:name w:val="Body Text Indent 2"/>
    <w:basedOn w:val="1"/>
    <w:qFormat/>
    <w:uiPriority w:val="0"/>
    <w:pPr>
      <w:keepNext/>
      <w:spacing w:line="380" w:lineRule="exact"/>
      <w:ind w:firstLine="410"/>
    </w:pPr>
    <w:rPr>
      <w:rFonts w:ascii="宋体"/>
      <w:color w:val="0000FF"/>
    </w:rPr>
  </w:style>
  <w:style w:type="paragraph" w:styleId="13">
    <w:name w:val="Balloon Text"/>
    <w:basedOn w:val="1"/>
    <w:qFormat/>
    <w:uiPriority w:val="0"/>
    <w:rPr>
      <w:sz w:val="18"/>
      <w:szCs w:val="18"/>
    </w:rPr>
  </w:style>
  <w:style w:type="paragraph" w:styleId="14">
    <w:name w:val="footer"/>
    <w:basedOn w:val="1"/>
    <w:link w:val="3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5">
    <w:name w:val="header"/>
    <w:basedOn w:val="1"/>
    <w:link w:val="3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Body Text Indent 3"/>
    <w:basedOn w:val="1"/>
    <w:qFormat/>
    <w:uiPriority w:val="0"/>
    <w:pPr>
      <w:keepNext/>
      <w:spacing w:line="380" w:lineRule="exact"/>
      <w:ind w:firstLine="440"/>
    </w:pPr>
    <w:rPr>
      <w:rFonts w:ascii="宋体"/>
      <w:color w:val="0000FF"/>
    </w:rPr>
  </w:style>
  <w:style w:type="paragraph" w:styleId="17">
    <w:name w:val="annotation subject"/>
    <w:basedOn w:val="7"/>
    <w:next w:val="7"/>
    <w:qFormat/>
    <w:uiPriority w:val="0"/>
    <w:rPr>
      <w:b/>
      <w:bCs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page number"/>
    <w:basedOn w:val="20"/>
    <w:qFormat/>
    <w:uiPriority w:val="0"/>
  </w:style>
  <w:style w:type="character" w:styleId="22">
    <w:name w:val="FollowedHyperlink"/>
    <w:qFormat/>
    <w:uiPriority w:val="0"/>
    <w:rPr>
      <w:color w:val="800080"/>
      <w:u w:val="single"/>
    </w:rPr>
  </w:style>
  <w:style w:type="character" w:styleId="23">
    <w:name w:val="Hyperlink"/>
    <w:qFormat/>
    <w:uiPriority w:val="0"/>
    <w:rPr>
      <w:color w:val="0000FF"/>
      <w:u w:val="single"/>
    </w:rPr>
  </w:style>
  <w:style w:type="character" w:styleId="24">
    <w:name w:val="annotation reference"/>
    <w:qFormat/>
    <w:uiPriority w:val="0"/>
    <w:rPr>
      <w:sz w:val="21"/>
      <w:szCs w:val="21"/>
    </w:rPr>
  </w:style>
  <w:style w:type="character" w:customStyle="1" w:styleId="25">
    <w:name w:val="批注文字 Char"/>
    <w:qFormat/>
    <w:uiPriority w:val="0"/>
    <w:rPr>
      <w:kern w:val="2"/>
      <w:sz w:val="21"/>
      <w:szCs w:val="24"/>
    </w:rPr>
  </w:style>
  <w:style w:type="character" w:customStyle="1" w:styleId="26">
    <w:name w:val="批注主题 Char"/>
    <w:qFormat/>
    <w:uiPriority w:val="0"/>
    <w:rPr>
      <w:b/>
      <w:bCs/>
      <w:kern w:val="2"/>
      <w:sz w:val="21"/>
      <w:szCs w:val="24"/>
    </w:rPr>
  </w:style>
  <w:style w:type="character" w:customStyle="1" w:styleId="27">
    <w:name w:val="纯文本 Char Char Char Char Char Char Char Char Char Char Char Char Char Char Char Char Char Char Char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28">
    <w:name w:val="纯文本 Char1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29">
    <w:name w:val="纯文本 Char"/>
    <w:qFormat/>
    <w:uiPriority w:val="0"/>
    <w:rPr>
      <w:rFonts w:ascii="宋体" w:hAnsi="Courier New"/>
      <w:kern w:val="2"/>
      <w:sz w:val="21"/>
    </w:rPr>
  </w:style>
  <w:style w:type="character" w:customStyle="1" w:styleId="30">
    <w:name w:val="日期 Char"/>
    <w:qFormat/>
    <w:uiPriority w:val="0"/>
    <w:rPr>
      <w:rFonts w:ascii="黑体" w:eastAsia="黑体"/>
      <w:kern w:val="2"/>
      <w:sz w:val="28"/>
    </w:rPr>
  </w:style>
  <w:style w:type="character" w:customStyle="1" w:styleId="31">
    <w:name w:val="标题 1 Char"/>
    <w:link w:val="2"/>
    <w:qFormat/>
    <w:uiPriority w:val="0"/>
    <w:rPr>
      <w:kern w:val="2"/>
      <w:sz w:val="28"/>
      <w:szCs w:val="24"/>
    </w:rPr>
  </w:style>
  <w:style w:type="character" w:customStyle="1" w:styleId="32">
    <w:name w:val="页眉 Char"/>
    <w:link w:val="15"/>
    <w:qFormat/>
    <w:uiPriority w:val="99"/>
    <w:rPr>
      <w:kern w:val="2"/>
      <w:sz w:val="18"/>
      <w:szCs w:val="18"/>
    </w:rPr>
  </w:style>
  <w:style w:type="character" w:customStyle="1" w:styleId="33">
    <w:name w:val="页脚 Char"/>
    <w:link w:val="14"/>
    <w:qFormat/>
    <w:uiPriority w:val="99"/>
    <w:rPr>
      <w:kern w:val="2"/>
      <w:sz w:val="18"/>
    </w:rPr>
  </w:style>
  <w:style w:type="character" w:customStyle="1" w:styleId="34">
    <w:name w:val="纯文本 Char2"/>
    <w:link w:val="10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paragraph" w:customStyle="1" w:styleId="35">
    <w:name w:val="图表脚注"/>
    <w:next w:val="36"/>
    <w:qFormat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36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7">
    <w:name w:val="正文表标题"/>
    <w:next w:val="36"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38">
    <w:name w:val="缺省文本:1"/>
    <w:basedOn w:val="1"/>
    <w:qFormat/>
    <w:uiPriority w:val="0"/>
    <w:pPr>
      <w:autoSpaceDE w:val="0"/>
      <w:autoSpaceDN w:val="0"/>
      <w:adjustRightInd w:val="0"/>
      <w:spacing w:before="20" w:after="20" w:line="400" w:lineRule="exact"/>
      <w:ind w:firstLine="504"/>
      <w:jc w:val="left"/>
    </w:pPr>
    <w:rPr>
      <w:kern w:val="0"/>
      <w:sz w:val="24"/>
      <w:szCs w:val="20"/>
    </w:rPr>
  </w:style>
  <w:style w:type="paragraph" w:customStyle="1" w:styleId="39">
    <w:name w:val="1"/>
    <w:basedOn w:val="1"/>
    <w:next w:val="6"/>
    <w:qFormat/>
    <w:uiPriority w:val="0"/>
    <w:pPr>
      <w:widowControl/>
      <w:spacing w:line="240" w:lineRule="atLeast"/>
      <w:ind w:left="992" w:right="851"/>
    </w:pPr>
    <w:rPr>
      <w:rFonts w:ascii="Arial" w:hAnsi="Arial"/>
      <w:kern w:val="0"/>
      <w:sz w:val="22"/>
      <w:szCs w:val="20"/>
      <w:lang w:val="en-GB" w:eastAsia="it-IT"/>
    </w:rPr>
  </w:style>
  <w:style w:type="paragraph" w:customStyle="1" w:styleId="40">
    <w:name w:val="Table Paragraph"/>
    <w:basedOn w:val="1"/>
    <w:qFormat/>
    <w:uiPriority w:val="1"/>
  </w:style>
  <w:style w:type="paragraph" w:customStyle="1" w:styleId="4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42">
    <w:name w:val="Char"/>
    <w:basedOn w:val="1"/>
    <w:qFormat/>
    <w:uiPriority w:val="0"/>
  </w:style>
  <w:style w:type="paragraph" w:customStyle="1" w:styleId="43">
    <w:name w:val="Char1"/>
    <w:basedOn w:val="1"/>
    <w:qFormat/>
    <w:uiPriority w:val="0"/>
    <w:pPr>
      <w:ind w:left="-48"/>
    </w:pPr>
  </w:style>
  <w:style w:type="paragraph" w:customStyle="1" w:styleId="44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45">
    <w:name w:val="Char1 Char Char Char"/>
    <w:basedOn w:val="1"/>
    <w:qFormat/>
    <w:uiPriority w:val="0"/>
    <w:pPr>
      <w:spacing w:beforeLines="50" w:line="360" w:lineRule="auto"/>
      <w:ind w:firstLine="420" w:firstLineChars="200"/>
      <w:jc w:val="left"/>
    </w:pPr>
    <w:rPr>
      <w:sz w:val="28"/>
      <w:szCs w:val="28"/>
    </w:rPr>
  </w:style>
  <w:style w:type="paragraph" w:customStyle="1" w:styleId="46">
    <w:name w:val="Char1 Char Char Char1"/>
    <w:basedOn w:val="1"/>
    <w:qFormat/>
    <w:uiPriority w:val="0"/>
    <w:pPr>
      <w:spacing w:beforeLines="50" w:line="360" w:lineRule="auto"/>
      <w:ind w:firstLine="420" w:firstLineChars="200"/>
      <w:jc w:val="left"/>
    </w:pPr>
    <w:rPr>
      <w:sz w:val="28"/>
      <w:szCs w:val="28"/>
    </w:rPr>
  </w:style>
  <w:style w:type="character" w:customStyle="1" w:styleId="47">
    <w:name w:val="标题 3 Char"/>
    <w:basedOn w:val="20"/>
    <w:link w:val="4"/>
    <w:qFormat/>
    <w:uiPriority w:val="0"/>
    <w:rPr>
      <w:b/>
      <w:bCs/>
      <w:kern w:val="2"/>
      <w:sz w:val="32"/>
      <w:szCs w:val="32"/>
    </w:rPr>
  </w:style>
  <w:style w:type="paragraph" w:customStyle="1" w:styleId="48">
    <w:name w:val="FormText"/>
    <w:qFormat/>
    <w:uiPriority w:val="0"/>
    <w:pPr>
      <w:jc w:val="center"/>
    </w:pPr>
    <w:rPr>
      <w:rFonts w:ascii="Univers" w:hAnsi="Univers" w:eastAsia="宋体" w:cs="Times New Roman"/>
      <w:lang w:val="en-US" w:eastAsia="zh-CN" w:bidi="ar-SA"/>
    </w:rPr>
  </w:style>
  <w:style w:type="paragraph" w:styleId="4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oleObject" Target="embeddings/oleObject9.bin"/><Relationship Id="rId16" Type="http://schemas.openxmlformats.org/officeDocument/2006/relationships/oleObject" Target="embeddings/oleObject8.bin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83F71-CEC3-4A83-8C11-ADC8C4D159E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巨龙钢管有限公司</Company>
  <Pages>6</Pages>
  <Words>2857</Words>
  <Characters>3572</Characters>
  <Lines>18</Lines>
  <Paragraphs>9</Paragraphs>
  <TotalTime>30</TotalTime>
  <ScaleCrop>false</ScaleCrop>
  <LinksUpToDate>false</LinksUpToDate>
  <CharactersWithSpaces>3640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2019-01-30T02:28:00Z</dcterms:created>
  <dc:creator>孙奇</dc:creator>
  <cp:lastModifiedBy>R</cp:lastModifiedBy>
  <cp:lastPrinted>2019-03-13T03:56:00Z</cp:lastPrinted>
  <dcterms:modified xsi:type="dcterms:W3CDTF">2025-05-15T02:25:17Z</dcterms:modified>
  <dc:title>西气东输工程直缝埋弧焊钢管生产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eyJoZGlkIjoiM2VkMDUyNDI2M2E2OGUxMmViZmQyMDYyNzU2YTI1Y2EiLCJ1c2VySWQiOiIzMDA5MTA4OTgifQ==</vt:lpwstr>
  </property>
  <property fmtid="{D5CDD505-2E9C-101B-9397-08002B2CF9AE}" pid="4" name="ICV">
    <vt:lpwstr>7F45F2D4E4A94A568BFD7F75A775DA1C_12</vt:lpwstr>
  </property>
</Properties>
</file>