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1440" w:firstLineChars="200"/>
        <w:rPr>
          <w:rFonts w:hint="eastAsia" w:ascii="宋体" w:hAnsi="宋体" w:cs="宋体"/>
          <w:kern w:val="10"/>
          <w:sz w:val="72"/>
          <w:szCs w:val="72"/>
        </w:rPr>
      </w:pPr>
    </w:p>
    <w:p>
      <w:pPr>
        <w:spacing w:line="360" w:lineRule="auto"/>
        <w:jc w:val="center"/>
        <w:rPr>
          <w:rFonts w:hint="eastAsia" w:ascii="宋体" w:hAnsi="宋体" w:cs="宋体"/>
          <w:kern w:val="10"/>
          <w:sz w:val="72"/>
          <w:szCs w:val="72"/>
        </w:rPr>
      </w:pPr>
      <w:r>
        <w:rPr>
          <w:rFonts w:hint="eastAsia" w:cs="宋体"/>
          <w:kern w:val="10"/>
          <w:sz w:val="72"/>
          <w:szCs w:val="72"/>
        </w:rPr>
        <w:t>采</w:t>
      </w:r>
      <w:r>
        <w:rPr>
          <w:rFonts w:cs="宋体"/>
          <w:kern w:val="10"/>
          <w:sz w:val="72"/>
          <w:szCs w:val="72"/>
        </w:rPr>
        <w:t xml:space="preserve">  </w:t>
      </w:r>
      <w:r>
        <w:rPr>
          <w:rFonts w:hint="eastAsia" w:cs="宋体"/>
          <w:kern w:val="10"/>
          <w:sz w:val="72"/>
          <w:szCs w:val="72"/>
        </w:rPr>
        <w:t>购</w:t>
      </w:r>
      <w:r>
        <w:rPr>
          <w:rFonts w:cs="宋体"/>
          <w:kern w:val="10"/>
          <w:sz w:val="72"/>
          <w:szCs w:val="72"/>
        </w:rPr>
        <w:t xml:space="preserve">  </w:t>
      </w:r>
      <w:r>
        <w:rPr>
          <w:rFonts w:hint="eastAsia" w:ascii="宋体" w:hAnsi="宋体" w:cs="宋体"/>
          <w:kern w:val="10"/>
          <w:sz w:val="72"/>
          <w:szCs w:val="72"/>
        </w:rPr>
        <w:t>文  件</w:t>
      </w:r>
    </w:p>
    <w:p>
      <w:pPr>
        <w:spacing w:line="360" w:lineRule="auto"/>
        <w:ind w:firstLine="1482" w:firstLineChars="337"/>
        <w:jc w:val="center"/>
        <w:rPr>
          <w:rFonts w:hint="eastAsia" w:ascii="宋体" w:hAnsi="宋体" w:cs="宋体"/>
          <w:kern w:val="10"/>
          <w:sz w:val="44"/>
        </w:rPr>
      </w:pPr>
    </w:p>
    <w:p>
      <w:pPr>
        <w:spacing w:line="360" w:lineRule="auto"/>
        <w:ind w:firstLine="1482" w:firstLineChars="337"/>
        <w:jc w:val="center"/>
        <w:rPr>
          <w:rFonts w:hint="eastAsia" w:ascii="宋体" w:hAnsi="宋体" w:cs="宋体"/>
          <w:kern w:val="10"/>
          <w:sz w:val="44"/>
        </w:rPr>
      </w:pPr>
    </w:p>
    <w:p>
      <w:pPr>
        <w:spacing w:line="360" w:lineRule="auto"/>
        <w:ind w:firstLine="1482" w:firstLineChars="337"/>
        <w:jc w:val="center"/>
        <w:rPr>
          <w:rFonts w:hint="eastAsia" w:ascii="宋体" w:hAnsi="宋体" w:cs="宋体"/>
          <w:kern w:val="10"/>
          <w:sz w:val="44"/>
        </w:rPr>
      </w:pPr>
    </w:p>
    <w:p>
      <w:pPr>
        <w:spacing w:line="360" w:lineRule="auto"/>
        <w:ind w:firstLine="1078" w:firstLineChars="337"/>
        <w:jc w:val="center"/>
        <w:rPr>
          <w:rFonts w:hint="eastAsia" w:ascii="宋体" w:hAnsi="宋体" w:cs="宋体"/>
          <w:kern w:val="10"/>
          <w:sz w:val="32"/>
          <w:szCs w:val="32"/>
        </w:rPr>
      </w:pPr>
    </w:p>
    <w:p>
      <w:pPr>
        <w:spacing w:line="360" w:lineRule="auto"/>
        <w:ind w:firstLine="1920" w:firstLineChars="600"/>
        <w:rPr>
          <w:rFonts w:hint="eastAsia" w:ascii="宋体" w:hAnsi="宋体" w:cs="宋体"/>
          <w:kern w:val="10"/>
          <w:sz w:val="32"/>
          <w:szCs w:val="32"/>
        </w:rPr>
      </w:pPr>
      <w:r>
        <w:rPr>
          <w:rFonts w:hint="eastAsia" w:ascii="宋体" w:hAnsi="宋体" w:cs="宋体"/>
          <w:kern w:val="10"/>
          <w:sz w:val="32"/>
          <w:szCs w:val="32"/>
        </w:rPr>
        <w:t>项目编号：</w:t>
      </w:r>
      <w:bookmarkStart w:id="0" w:name="OLE_LINK13"/>
      <w:r>
        <w:rPr>
          <w:rFonts w:hint="eastAsia" w:ascii="宋体" w:hAnsi="宋体" w:cs="宋体"/>
          <w:kern w:val="10"/>
          <w:sz w:val="32"/>
          <w:szCs w:val="32"/>
        </w:rPr>
        <w:t>CA25B2E4A0008</w:t>
      </w:r>
      <w:bookmarkEnd w:id="0"/>
    </w:p>
    <w:p>
      <w:pPr>
        <w:spacing w:line="360" w:lineRule="auto"/>
        <w:jc w:val="center"/>
        <w:rPr>
          <w:rFonts w:hint="eastAsia" w:ascii="宋体" w:hAnsi="宋体" w:cs="宋体"/>
          <w:kern w:val="10"/>
          <w:sz w:val="32"/>
          <w:szCs w:val="32"/>
        </w:rPr>
      </w:pPr>
      <w:r>
        <w:rPr>
          <w:rFonts w:hint="eastAsia" w:ascii="宋体" w:hAnsi="宋体" w:cs="宋体"/>
          <w:kern w:val="10"/>
          <w:sz w:val="32"/>
          <w:szCs w:val="32"/>
        </w:rPr>
        <w:t>项目名称：</w:t>
      </w:r>
      <w:bookmarkStart w:id="1" w:name="OLE_LINK21"/>
      <w:r>
        <w:rPr>
          <w:rFonts w:hint="eastAsia" w:ascii="宋体" w:hAnsi="宋体" w:cs="宋体"/>
          <w:kern w:val="10"/>
          <w:sz w:val="32"/>
          <w:szCs w:val="32"/>
        </w:rPr>
        <w:t xml:space="preserve"> </w:t>
      </w:r>
      <w:bookmarkStart w:id="2" w:name="OLE_LINK5"/>
      <w:r>
        <w:rPr>
          <w:rFonts w:hint="eastAsia" w:ascii="宋体" w:hAnsi="宋体" w:cs="宋体"/>
          <w:kern w:val="10"/>
          <w:sz w:val="32"/>
          <w:szCs w:val="32"/>
        </w:rPr>
        <w:t>长安汽车客户之声VOC聆听系统建设项目</w:t>
      </w:r>
      <w:bookmarkEnd w:id="2"/>
    </w:p>
    <w:bookmarkEnd w:id="1"/>
    <w:p>
      <w:pPr>
        <w:spacing w:line="360" w:lineRule="auto"/>
        <w:jc w:val="center"/>
        <w:rPr>
          <w:rFonts w:hint="eastAsia" w:ascii="宋体" w:hAnsi="宋体" w:cs="宋体"/>
          <w:kern w:val="10"/>
          <w:sz w:val="48"/>
        </w:rPr>
      </w:pPr>
    </w:p>
    <w:p>
      <w:pPr>
        <w:spacing w:line="360" w:lineRule="auto"/>
        <w:jc w:val="center"/>
        <w:rPr>
          <w:rFonts w:hint="eastAsia" w:ascii="宋体" w:hAnsi="宋体" w:cs="宋体"/>
          <w:kern w:val="10"/>
          <w:sz w:val="48"/>
        </w:rPr>
      </w:pPr>
    </w:p>
    <w:p>
      <w:pPr>
        <w:spacing w:line="360" w:lineRule="auto"/>
        <w:jc w:val="center"/>
        <w:rPr>
          <w:rFonts w:hint="eastAsia" w:ascii="宋体" w:hAnsi="宋体" w:cs="宋体"/>
          <w:kern w:val="10"/>
          <w:sz w:val="48"/>
        </w:rPr>
      </w:pPr>
    </w:p>
    <w:p>
      <w:pPr>
        <w:spacing w:line="360" w:lineRule="auto"/>
        <w:ind w:firstLine="1414" w:firstLineChars="505"/>
        <w:rPr>
          <w:rFonts w:hint="eastAsia" w:ascii="宋体" w:hAnsi="宋体"/>
          <w:kern w:val="10"/>
          <w:sz w:val="48"/>
        </w:rPr>
      </w:pPr>
      <w:r>
        <w:rPr>
          <w:rFonts w:hint="eastAsia" w:ascii="宋体" w:hAnsi="宋体"/>
          <w:kern w:val="10"/>
          <w:sz w:val="28"/>
          <w:szCs w:val="28"/>
        </w:rPr>
        <w:t>采 购 人：</w:t>
      </w:r>
      <w:bookmarkStart w:id="3" w:name="OLE_LINK3"/>
      <w:r>
        <w:rPr>
          <w:rFonts w:hint="eastAsia" w:ascii="宋体" w:hAnsi="宋体"/>
          <w:kern w:val="10"/>
          <w:sz w:val="28"/>
          <w:szCs w:val="28"/>
        </w:rPr>
        <w:t>重庆长安汽车股份有限公司</w:t>
      </w:r>
      <w:bookmarkEnd w:id="3"/>
    </w:p>
    <w:p>
      <w:pPr>
        <w:spacing w:line="360" w:lineRule="auto"/>
        <w:ind w:firstLine="1414" w:firstLineChars="505"/>
        <w:rPr>
          <w:rFonts w:hint="eastAsia" w:ascii="宋体" w:hAnsi="宋体" w:cs="宋体"/>
          <w:kern w:val="10"/>
          <w:sz w:val="28"/>
          <w:szCs w:val="28"/>
        </w:rPr>
      </w:pPr>
      <w:r>
        <w:rPr>
          <w:rFonts w:hint="eastAsia" w:ascii="宋体" w:hAnsi="宋体" w:cs="宋体"/>
          <w:kern w:val="10"/>
          <w:sz w:val="28"/>
          <w:szCs w:val="28"/>
        </w:rPr>
        <w:t>代理机构：东风国际招标有限公司</w:t>
      </w:r>
    </w:p>
    <w:p>
      <w:pPr>
        <w:spacing w:line="360" w:lineRule="auto"/>
        <w:ind w:firstLine="1134" w:firstLineChars="405"/>
        <w:rPr>
          <w:rFonts w:hint="eastAsia" w:ascii="宋体" w:hAnsi="宋体" w:cs="宋体"/>
          <w:kern w:val="10"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cs="宋体"/>
          <w:kern w:val="10"/>
          <w:sz w:val="28"/>
          <w:szCs w:val="28"/>
        </w:rPr>
      </w:pPr>
      <w:r>
        <w:rPr>
          <w:rFonts w:hint="eastAsia" w:ascii="宋体" w:hAnsi="宋体" w:cs="宋体"/>
          <w:kern w:val="10"/>
          <w:sz w:val="28"/>
          <w:szCs w:val="28"/>
        </w:rPr>
        <w:t>2025年5月</w:t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</w:rPr>
      </w:pPr>
      <w:r>
        <w:rPr>
          <w:rFonts w:hint="eastAsia"/>
          <w:b/>
        </w:rPr>
        <w:t>编写要求</w:t>
      </w:r>
    </w:p>
    <w:p>
      <w:pPr>
        <w:rPr>
          <w:rFonts w:hint="eastAsia"/>
        </w:rPr>
      </w:pPr>
      <w:r>
        <w:rPr>
          <w:rFonts w:hint="eastAsia"/>
        </w:rPr>
        <w:t>1、本模板适用于系统实施类项目的技术要求编写。</w:t>
      </w:r>
    </w:p>
    <w:p>
      <w:pPr>
        <w:rPr>
          <w:rFonts w:hint="eastAsia"/>
        </w:rPr>
      </w:pPr>
      <w:r>
        <w:rPr>
          <w:rFonts w:hint="eastAsia"/>
        </w:rPr>
        <w:t>2、要求逐项认真填写，文字表达明确严谨、用词精练、术语规范。</w:t>
      </w:r>
    </w:p>
    <w:p>
      <w:pPr>
        <w:rPr>
          <w:rFonts w:hint="eastAsia"/>
        </w:rPr>
      </w:pPr>
      <w:r>
        <w:rPr>
          <w:rFonts w:hint="eastAsia"/>
        </w:rPr>
        <w:t>3、红色字体部分由项目组自行编写，黑色字体建议采用（可适当调整）。</w:t>
      </w:r>
    </w:p>
    <w:p>
      <w:pPr>
        <w:rPr>
          <w:rFonts w:hint="eastAsia"/>
        </w:rPr>
      </w:pPr>
      <w:r>
        <w:rPr>
          <w:rFonts w:hint="eastAsia"/>
        </w:rPr>
        <w:t>4、*号条款由项目组自行确定，但不宜过多，建议3-5条为宜。</w:t>
      </w:r>
    </w:p>
    <w:p>
      <w:pPr>
        <w:rPr>
          <w:rFonts w:hint="eastAsia"/>
        </w:rPr>
      </w:pPr>
      <w:r>
        <w:rPr>
          <w:rFonts w:hint="eastAsia"/>
        </w:rPr>
        <w:t>5、字体一律用宋体，正文字号为小四号（封面标题为一号加粗，其他为三号加粗）。</w:t>
      </w:r>
    </w:p>
    <w:p>
      <w:pPr>
        <w:rPr>
          <w:rFonts w:hint="eastAsia"/>
        </w:rPr>
      </w:pPr>
      <w:r>
        <w:rPr>
          <w:rFonts w:hint="eastAsia"/>
        </w:rPr>
        <w:t> </w:t>
      </w:r>
    </w:p>
    <w:p>
      <w:pPr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42"/>
      </w:pPr>
      <w:r>
        <w:rPr>
          <w:rFonts w:hint="eastAsia"/>
          <w:lang w:val="zh-CN"/>
        </w:rPr>
        <w:t>目录</w:t>
      </w:r>
    </w:p>
    <w:p>
      <w:pPr>
        <w:rPr>
          <w:rFonts w:hint="eastAsia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项目背景</w:t>
      </w:r>
    </w:p>
    <w:p>
      <w:pPr>
        <w:pStyle w:val="2"/>
        <w:rPr>
          <w:rFonts w:hint="eastAsia"/>
        </w:rPr>
      </w:pPr>
      <w:r>
        <w:rPr>
          <w:rFonts w:hint="eastAsia"/>
        </w:rPr>
        <w:t>项目目标</w:t>
      </w:r>
    </w:p>
    <w:p>
      <w:pPr>
        <w:pStyle w:val="3"/>
        <w:rPr>
          <w:rFonts w:hint="eastAsia"/>
        </w:rPr>
      </w:pPr>
      <w:r>
        <w:rPr>
          <w:rFonts w:hint="eastAsia"/>
        </w:rPr>
        <w:t>总体目标</w:t>
      </w:r>
    </w:p>
    <w:p>
      <w:pPr>
        <w:pStyle w:val="3"/>
        <w:rPr>
          <w:rFonts w:hint="eastAsia"/>
        </w:rPr>
      </w:pPr>
      <w:r>
        <w:rPr>
          <w:rFonts w:hint="eastAsia"/>
        </w:rPr>
        <w:t>分项目标</w:t>
      </w:r>
    </w:p>
    <w:p>
      <w:pPr>
        <w:pStyle w:val="2"/>
        <w:rPr>
          <w:rFonts w:hint="eastAsia"/>
        </w:rPr>
      </w:pPr>
      <w:r>
        <w:rPr>
          <w:rFonts w:hint="eastAsia"/>
        </w:rPr>
        <w:t>项目范围</w:t>
      </w:r>
    </w:p>
    <w:p>
      <w:pPr>
        <w:pStyle w:val="2"/>
        <w:rPr>
          <w:rFonts w:hint="eastAsia"/>
        </w:rPr>
      </w:pPr>
      <w:r>
        <w:rPr>
          <w:rFonts w:hint="eastAsia"/>
        </w:rPr>
        <w:t>项目假设</w:t>
      </w:r>
    </w:p>
    <w:p>
      <w:pPr>
        <w:pStyle w:val="2"/>
        <w:rPr>
          <w:rFonts w:hint="eastAsia"/>
        </w:rPr>
      </w:pPr>
      <w:r>
        <w:rPr>
          <w:rFonts w:hint="eastAsia"/>
        </w:rPr>
        <w:t>业务需求分析</w:t>
      </w:r>
    </w:p>
    <w:p>
      <w:pPr>
        <w:pStyle w:val="3"/>
        <w:rPr>
          <w:rFonts w:hint="eastAsia"/>
        </w:rPr>
      </w:pPr>
      <w:r>
        <w:rPr>
          <w:rFonts w:hint="eastAsia"/>
        </w:rPr>
        <w:t>总体流程分析与流程规划方案</w:t>
      </w:r>
    </w:p>
    <w:p>
      <w:pPr>
        <w:pStyle w:val="3"/>
        <w:rPr>
          <w:rFonts w:hint="eastAsia"/>
        </w:rPr>
      </w:pPr>
      <w:r>
        <w:rPr>
          <w:rFonts w:hint="eastAsia"/>
        </w:rPr>
        <w:t>业务流程及主要功能分析与设计方案</w:t>
      </w:r>
    </w:p>
    <w:p>
      <w:pPr>
        <w:pStyle w:val="3"/>
        <w:rPr>
          <w:rFonts w:hint="eastAsia"/>
        </w:rPr>
      </w:pPr>
      <w:r>
        <w:rPr>
          <w:rFonts w:hint="eastAsia"/>
        </w:rPr>
        <w:t>系统报表功能分析与设计方案</w:t>
      </w:r>
    </w:p>
    <w:p>
      <w:pPr>
        <w:pStyle w:val="3"/>
        <w:rPr>
          <w:rFonts w:hint="eastAsia"/>
        </w:rPr>
      </w:pPr>
      <w:r>
        <w:rPr>
          <w:rFonts w:hint="eastAsia"/>
        </w:rPr>
        <w:t>业务数据交互分析与设计方案</w:t>
      </w:r>
    </w:p>
    <w:p>
      <w:pPr>
        <w:pStyle w:val="3"/>
        <w:rPr>
          <w:rFonts w:hint="eastAsia"/>
        </w:rPr>
      </w:pPr>
      <w:r>
        <w:rPr>
          <w:rFonts w:hint="eastAsia"/>
        </w:rPr>
        <w:t>业务用户量规模与承载方案</w:t>
      </w:r>
    </w:p>
    <w:p>
      <w:pPr>
        <w:pStyle w:val="3"/>
        <w:rPr>
          <w:rFonts w:hint="eastAsia"/>
          <w:color w:val="FF0000"/>
        </w:rPr>
      </w:pPr>
      <w:r>
        <w:rPr>
          <w:rFonts w:hint="eastAsia"/>
          <w:color w:val="FF0000"/>
        </w:rPr>
        <w:t>业务数据量规模与承载方案</w:t>
      </w:r>
    </w:p>
    <w:p>
      <w:pPr>
        <w:pStyle w:val="3"/>
        <w:rPr>
          <w:rFonts w:hint="eastAsia"/>
        </w:rPr>
      </w:pPr>
      <w:r>
        <w:rPr>
          <w:rFonts w:hint="eastAsia"/>
        </w:rPr>
        <w:t>业务灾难恢复需求分析与方案</w:t>
      </w:r>
    </w:p>
    <w:p>
      <w:pPr>
        <w:pStyle w:val="2"/>
        <w:rPr>
          <w:rFonts w:hint="eastAsia"/>
        </w:rPr>
      </w:pPr>
      <w:r>
        <w:rPr>
          <w:rFonts w:hint="eastAsia"/>
        </w:rPr>
        <w:t>系统平台建设方案</w:t>
      </w:r>
    </w:p>
    <w:p>
      <w:pPr>
        <w:pStyle w:val="3"/>
        <w:rPr>
          <w:rFonts w:hint="eastAsia"/>
        </w:rPr>
      </w:pPr>
      <w:r>
        <w:rPr>
          <w:rFonts w:hint="eastAsia"/>
        </w:rPr>
        <w:t>总体要求</w:t>
      </w:r>
    </w:p>
    <w:p>
      <w:pPr>
        <w:pStyle w:val="3"/>
        <w:rPr>
          <w:rFonts w:hint="eastAsia"/>
        </w:rPr>
      </w:pPr>
      <w:r>
        <w:rPr>
          <w:rFonts w:hint="eastAsia"/>
        </w:rPr>
        <w:t>软件架构</w:t>
      </w:r>
    </w:p>
    <w:p>
      <w:pPr>
        <w:pStyle w:val="4"/>
        <w:rPr>
          <w:rFonts w:hint="eastAsia"/>
        </w:rPr>
      </w:pPr>
      <w:r>
        <w:rPr>
          <w:rFonts w:hint="eastAsia"/>
        </w:rPr>
        <w:t>本地化部署方案</w:t>
      </w:r>
    </w:p>
    <w:p>
      <w:pPr>
        <w:pStyle w:val="4"/>
        <w:rPr>
          <w:rFonts w:hint="eastAsia"/>
        </w:rPr>
      </w:pPr>
      <w:r>
        <w:rPr>
          <w:rFonts w:hint="eastAsia"/>
        </w:rPr>
        <w:t>独立训练框架方案</w:t>
      </w:r>
    </w:p>
    <w:p>
      <w:pPr>
        <w:pStyle w:val="4"/>
        <w:rPr>
          <w:rFonts w:hint="eastAsia"/>
        </w:rPr>
      </w:pPr>
      <w:r>
        <w:rPr>
          <w:rFonts w:hint="eastAsia"/>
        </w:rPr>
        <w:t>冗余架构设计方案</w:t>
      </w:r>
    </w:p>
    <w:p>
      <w:pPr>
        <w:pStyle w:val="3"/>
        <w:rPr>
          <w:rFonts w:hint="eastAsia"/>
        </w:rPr>
      </w:pPr>
      <w:r>
        <w:rPr>
          <w:rFonts w:hint="eastAsia"/>
        </w:rPr>
        <w:t>硬件架构</w:t>
      </w:r>
    </w:p>
    <w:p>
      <w:pPr>
        <w:pStyle w:val="4"/>
        <w:rPr>
          <w:rFonts w:hint="eastAsia"/>
        </w:rPr>
      </w:pPr>
      <w:r>
        <w:rPr>
          <w:rFonts w:hint="eastAsia"/>
        </w:rPr>
        <w:t>硬件架构部署方案</w:t>
      </w:r>
    </w:p>
    <w:p>
      <w:pPr>
        <w:pStyle w:val="4"/>
        <w:rPr>
          <w:rFonts w:hint="eastAsia"/>
        </w:rPr>
      </w:pPr>
      <w:r>
        <w:rPr>
          <w:rFonts w:hint="eastAsia"/>
        </w:rPr>
        <w:t>硬件资源容量估算清单</w:t>
      </w:r>
    </w:p>
    <w:p>
      <w:pPr>
        <w:pStyle w:val="4"/>
        <w:rPr>
          <w:rFonts w:hint="eastAsia"/>
        </w:rPr>
      </w:pPr>
      <w:r>
        <w:rPr>
          <w:rFonts w:hint="eastAsia"/>
        </w:rPr>
        <w:t>硬件资源切换方案</w:t>
      </w:r>
    </w:p>
    <w:p>
      <w:pPr>
        <w:pStyle w:val="2"/>
        <w:rPr>
          <w:rFonts w:hint="eastAsia"/>
        </w:rPr>
      </w:pPr>
      <w:r>
        <w:rPr>
          <w:rFonts w:hint="eastAsia"/>
        </w:rPr>
        <w:t>项目实施方案</w:t>
      </w:r>
    </w:p>
    <w:p>
      <w:pPr>
        <w:pStyle w:val="3"/>
        <w:rPr>
          <w:rFonts w:hint="eastAsia"/>
        </w:rPr>
      </w:pPr>
      <w:r>
        <w:rPr>
          <w:rFonts w:hint="eastAsia"/>
        </w:rPr>
        <w:t>时间/计划</w:t>
      </w:r>
    </w:p>
    <w:p>
      <w:pPr>
        <w:pStyle w:val="3"/>
        <w:rPr>
          <w:rFonts w:hint="eastAsia"/>
        </w:rPr>
      </w:pPr>
      <w:r>
        <w:rPr>
          <w:rFonts w:hint="eastAsia"/>
        </w:rPr>
        <w:t>质量保障方案</w:t>
      </w:r>
    </w:p>
    <w:p>
      <w:pPr>
        <w:spacing w:line="360" w:lineRule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确保数据供给的可用性、稳定性、时效性和合规性是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构建VOC体系</w:t>
      </w:r>
      <w:r>
        <w:rPr>
          <w:rFonts w:hint="eastAsia" w:ascii="宋体" w:hAnsi="宋体" w:eastAsia="宋体" w:cs="宋体"/>
          <w:sz w:val="24"/>
          <w:szCs w:val="24"/>
        </w:rPr>
        <w:t>的前提</w:t>
      </w:r>
      <w:r>
        <w:rPr>
          <w:rFonts w:hint="default" w:ascii="宋体" w:hAnsi="宋体" w:eastAsia="宋体" w:cs="宋体"/>
          <w:sz w:val="24"/>
          <w:szCs w:val="24"/>
        </w:rPr>
        <w:t>。</w:t>
      </w:r>
    </w:p>
    <w:p>
      <w:pPr>
        <w:spacing w:line="360" w:lineRule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可用性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数据源广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数据源广：国内社媒数据全覆盖</w:t>
      </w:r>
    </w:p>
    <w:tbl>
      <w:tblPr>
        <w:tblW w:w="0" w:type="auto"/>
        <w:tblCellSpacing w:w="0" w:type="dxa"/>
        <w:tblInd w:w="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97"/>
        <w:gridCol w:w="70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40" w:hRule="atLeast"/>
          <w:tblCellSpacing w:w="0" w:type="dxa"/>
        </w:trPr>
        <w:tc>
          <w:tcPr>
            <w:tcW w:w="129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采集站点类型</w:t>
            </w:r>
          </w:p>
        </w:tc>
        <w:tc>
          <w:tcPr>
            <w:tcW w:w="706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具体站点举例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60" w:hRule="atLeast"/>
          <w:tblCellSpacing w:w="0" w:type="dxa"/>
        </w:trPr>
        <w:tc>
          <w:tcPr>
            <w:tcW w:w="1297" w:type="dxa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问答</w:t>
            </w:r>
          </w:p>
        </w:tc>
        <w:tc>
          <w:tcPr>
            <w:tcW w:w="706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问答贴吧主流站点覆盖：知乎/百度贴吧......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6"/>
                <w:szCs w:val="16"/>
                <w:bdr w:val="none" w:color="auto" w:sz="0" w:space="0"/>
              </w:rPr>
              <w:t>知乎近6千万主帖，3.3亿+回答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60" w:hRule="atLeast"/>
          <w:tblCellSpacing w:w="0" w:type="dxa"/>
        </w:trPr>
        <w:tc>
          <w:tcPr>
            <w:tcW w:w="1297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706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知乎、百度贴吧、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百度知道、天涯问答、悟空问答、宝宝树问答、马蜂窝问答、微头条、新浪门户_新浪爱问、天涯问答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60" w:hRule="atLeast"/>
          <w:tblCellSpacing w:w="0" w:type="dxa"/>
        </w:trPr>
        <w:tc>
          <w:tcPr>
            <w:tcW w:w="129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微博</w:t>
            </w:r>
          </w:p>
        </w:tc>
        <w:tc>
          <w:tcPr>
            <w:tcW w:w="706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</w:rPr>
              <w:t>实时获取，全面集成商业API，最高权限商业合作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660" w:hRule="atLeast"/>
          <w:tblCellSpacing w:w="0" w:type="dxa"/>
        </w:trPr>
        <w:tc>
          <w:tcPr>
            <w:tcW w:w="129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微信</w:t>
            </w:r>
          </w:p>
        </w:tc>
        <w:tc>
          <w:tcPr>
            <w:tcW w:w="706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</w:rPr>
              <w:t>千万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账号，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</w:rPr>
              <w:t>日更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18"/>
                <w:szCs w:val="18"/>
                <w:bdr w:val="none" w:color="auto" w:sz="0" w:space="0"/>
              </w:rPr>
              <w:t>，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支持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</w:rPr>
              <w:t>微信视频号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账号监测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60" w:hRule="atLeast"/>
          <w:tblCellSpacing w:w="0" w:type="dxa"/>
        </w:trPr>
        <w:tc>
          <w:tcPr>
            <w:tcW w:w="129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小红书</w:t>
            </w:r>
          </w:p>
        </w:tc>
        <w:tc>
          <w:tcPr>
            <w:tcW w:w="706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</w:rPr>
              <w:t>亿级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账号，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</w:rPr>
              <w:t>小时级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监测，</w:t>
            </w:r>
          </w:p>
        </w:tc>
      </w:tr>
      <w:tr>
        <w:trPr>
          <w:trHeight w:val="660" w:hRule="atLeast"/>
          <w:tblCellSpacing w:w="0" w:type="dxa"/>
        </w:trPr>
        <w:tc>
          <w:tcPr>
            <w:tcW w:w="129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短视频</w:t>
            </w:r>
          </w:p>
        </w:tc>
        <w:tc>
          <w:tcPr>
            <w:tcW w:w="706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highlight w:val="yellow"/>
                <w:bdr w:val="none" w:color="auto" w:sz="0" w:space="0"/>
              </w:rPr>
              <w:t>抖音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  <w:lang w:val="en-US" w:eastAsia="zh-Hans"/>
              </w:rPr>
              <w:t>XXXXXX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、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highlight w:val="yellow"/>
                <w:bdr w:val="none" w:color="auto" w:sz="0" w:space="0"/>
              </w:rPr>
              <w:t>快手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</w:rPr>
              <w:t>亿级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账号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</w:rPr>
              <w:t>小时级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监测、火山、西瓜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60" w:hRule="atLeast"/>
          <w:tblCellSpacing w:w="0" w:type="dxa"/>
        </w:trPr>
        <w:tc>
          <w:tcPr>
            <w:tcW w:w="1297" w:type="dxa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视频</w:t>
            </w:r>
          </w:p>
        </w:tc>
        <w:tc>
          <w:tcPr>
            <w:tcW w:w="706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</w:rPr>
              <w:t>监测各大主流视频网站20+，B站上亿账号，小时级监测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60" w:hRule="atLeast"/>
          <w:tblCellSpacing w:w="0" w:type="dxa"/>
        </w:trPr>
        <w:tc>
          <w:tcPr>
            <w:tcW w:w="1297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706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优酷、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highlight w:val="yellow"/>
                <w:bdr w:val="none" w:color="auto" w:sz="0" w:space="0"/>
              </w:rPr>
              <w:t>bilibili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、爱奇艺、腾讯视频、AcFun、乐视、芒果TV、搜狐视频、凤凰视频</w:t>
            </w:r>
          </w:p>
        </w:tc>
      </w:tr>
    </w:tbl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</w:p>
    <w:tbl>
      <w:tblPr>
        <w:tblW w:w="0" w:type="auto"/>
        <w:tblCellSpacing w:w="0" w:type="dxa"/>
        <w:tblInd w:w="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81"/>
        <w:gridCol w:w="1185"/>
        <w:gridCol w:w="5900"/>
      </w:tblGrid>
      <w:tr>
        <w:trPr>
          <w:trHeight w:val="460" w:hRule="atLeast"/>
          <w:tblCellSpacing w:w="0" w:type="dxa"/>
        </w:trPr>
        <w:tc>
          <w:tcPr>
            <w:tcW w:w="128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采集站点类型</w:t>
            </w:r>
          </w:p>
        </w:tc>
        <w:tc>
          <w:tcPr>
            <w:tcW w:w="7085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具体站点举例</w:t>
            </w:r>
          </w:p>
        </w:tc>
      </w:tr>
      <w:tr>
        <w:tblPrEx>
          <w:shd w:val="clear"/>
        </w:tblPrEx>
        <w:trPr>
          <w:trHeight w:val="900" w:hRule="atLeast"/>
          <w:tblCellSpacing w:w="0" w:type="dxa"/>
        </w:trPr>
        <w:tc>
          <w:tcPr>
            <w:tcW w:w="1281" w:type="dxa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新闻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/论坛</w:t>
            </w:r>
          </w:p>
        </w:tc>
        <w:tc>
          <w:tcPr>
            <w:tcW w:w="7085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</w:rPr>
              <w:t>10万+站点，30万+板块，千万级自媒体账号，分钟级监测</w:t>
            </w:r>
          </w:p>
        </w:tc>
      </w:tr>
      <w:tr>
        <w:trPr>
          <w:trHeight w:val="940" w:hRule="atLeast"/>
          <w:tblCellSpacing w:w="0" w:type="dxa"/>
        </w:trPr>
        <w:tc>
          <w:tcPr>
            <w:tcW w:w="1281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主流门户网站</w:t>
            </w:r>
          </w:p>
        </w:tc>
        <w:tc>
          <w:tcPr>
            <w:tcW w:w="59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今日头条、搜狐门户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、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腾讯门户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、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新浪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、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腾讯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、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凤凰网、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百度天涯论坛、虎扑网、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人民网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、新华网、中国新闻网、环球网、中国经济网、糗事百科、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MSN、光明网、TOM、中国网、中华网、中新网、中青在线、中广网、央视网、中青网、国际在线、千龙网、中国经济网、环球网、中国日报网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等</w:t>
            </w:r>
          </w:p>
        </w:tc>
      </w:tr>
      <w:tr>
        <w:trPr>
          <w:trHeight w:val="900" w:hRule="atLeast"/>
          <w:tblCellSpacing w:w="0" w:type="dxa"/>
        </w:trPr>
        <w:tc>
          <w:tcPr>
            <w:tcW w:w="1281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科技类</w:t>
            </w:r>
          </w:p>
        </w:tc>
        <w:tc>
          <w:tcPr>
            <w:tcW w:w="59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D1E9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36氪、虎嗅、果壳、极果、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硅谷网、IT168、中国科技网、极客迷、中关村在线_论坛、电子发烧友论坛、搜狐门户_IT社区等</w:t>
            </w:r>
          </w:p>
        </w:tc>
      </w:tr>
      <w:tr>
        <w:trPr>
          <w:trHeight w:val="900" w:hRule="atLeast"/>
          <w:tblCellSpacing w:w="0" w:type="dxa"/>
        </w:trPr>
        <w:tc>
          <w:tcPr>
            <w:tcW w:w="1281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家电类</w:t>
            </w:r>
          </w:p>
        </w:tc>
        <w:tc>
          <w:tcPr>
            <w:tcW w:w="59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家电网、环球家电网、中国家电网、万维家电网等、各品牌官网</w:t>
            </w:r>
          </w:p>
        </w:tc>
      </w:tr>
      <w:tr>
        <w:trPr>
          <w:trHeight w:val="900" w:hRule="atLeast"/>
          <w:tblCellSpacing w:w="0" w:type="dxa"/>
        </w:trPr>
        <w:tc>
          <w:tcPr>
            <w:tcW w:w="1281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综合类</w:t>
            </w:r>
          </w:p>
        </w:tc>
        <w:tc>
          <w:tcPr>
            <w:tcW w:w="59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D1E9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百度新闻网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、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网易网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、ZAEKE、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百度贴吧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、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豆瓣</w:t>
            </w: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、什么值得买等</w:t>
            </w:r>
          </w:p>
        </w:tc>
      </w:tr>
      <w:tr>
        <w:trPr>
          <w:trHeight w:val="900" w:hRule="atLeast"/>
          <w:tblCellSpacing w:w="0" w:type="dxa"/>
        </w:trPr>
        <w:tc>
          <w:tcPr>
            <w:tcW w:w="1281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投诉类</w:t>
            </w:r>
          </w:p>
        </w:tc>
        <w:tc>
          <w:tcPr>
            <w:tcW w:w="59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highlight w:val="yellow"/>
                <w:bdr w:val="none" w:color="auto" w:sz="0" w:space="0"/>
              </w:rPr>
              <w:t>黑猫投诉、消费保等</w:t>
            </w:r>
          </w:p>
        </w:tc>
      </w:tr>
      <w:tr>
        <w:trPr>
          <w:trHeight w:val="660" w:hRule="atLeast"/>
          <w:tblCellSpacing w:w="0" w:type="dxa"/>
        </w:trPr>
        <w:tc>
          <w:tcPr>
            <w:tcW w:w="1281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数码类</w:t>
            </w:r>
          </w:p>
        </w:tc>
        <w:tc>
          <w:tcPr>
            <w:tcW w:w="59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IT时代周刊、机锋网、物联网在线、华为论坛、数字尾巴、华为云_社区、安卓论坛_bbs、PP助手论坛、智能电视网、西部数码论坛、中国电子DIY之家、三星手机论坛、电脑报官方论坛、开源电子网、电子电路网论坛、最数码等</w:t>
            </w:r>
          </w:p>
        </w:tc>
      </w:tr>
      <w:tr>
        <w:trPr>
          <w:trHeight w:val="520" w:hRule="atLeast"/>
          <w:tblCellSpacing w:w="0" w:type="dxa"/>
        </w:trPr>
        <w:tc>
          <w:tcPr>
            <w:tcW w:w="1281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汽车类</w:t>
            </w:r>
          </w:p>
        </w:tc>
        <w:tc>
          <w:tcPr>
            <w:tcW w:w="59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汽车之家、爱卡汽车网、懂车帝、车质网、太平洋汽车网、易车网、车主之家、中国客车网、极客汽车等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740" w:hRule="atLeast"/>
          <w:tblCellSpacing w:w="0" w:type="dxa"/>
        </w:trPr>
        <w:tc>
          <w:tcPr>
            <w:tcW w:w="1281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食品类</w:t>
            </w:r>
          </w:p>
        </w:tc>
        <w:tc>
          <w:tcPr>
            <w:tcW w:w="59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食品论坛网、食为天论坛、食品饮料招商网、国家食药监、每日食品、中国海洋食品网等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20" w:hRule="atLeast"/>
          <w:tblCellSpacing w:w="0" w:type="dxa"/>
        </w:trPr>
        <w:tc>
          <w:tcPr>
            <w:tcW w:w="1281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亲子母婴类</w:t>
            </w:r>
          </w:p>
        </w:tc>
        <w:tc>
          <w:tcPr>
            <w:tcW w:w="59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父母网、沪江育儿、99育儿、妈妈育儿网、家有宝宝、母婴公社、妈妈网、太平洋亲子网、妈妈帮论坛等</w:t>
            </w:r>
          </w:p>
        </w:tc>
      </w:tr>
      <w:tr>
        <w:trPr>
          <w:trHeight w:val="520" w:hRule="atLeast"/>
          <w:tblCellSpacing w:w="0" w:type="dxa"/>
        </w:trPr>
        <w:tc>
          <w:tcPr>
            <w:tcW w:w="1281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其他类</w:t>
            </w:r>
          </w:p>
        </w:tc>
        <w:tc>
          <w:tcPr>
            <w:tcW w:w="59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6"/>
                <w:szCs w:val="16"/>
                <w:bdr w:val="none" w:color="auto" w:sz="0" w:space="0"/>
              </w:rPr>
              <w:t>房产类、影音娱乐类、体育类、游戏类、军事类、商业财经类、旅游类</w:t>
            </w:r>
          </w:p>
        </w:tc>
      </w:tr>
    </w:tbl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数据源广：灵活性高、支持新增站点开发和自定义标签。已经为多位头部客户提供指定站点的数据采集服务，包含各种投诉网站、协会官方站点、政府机关网站、垂直类数据站点等。</w:t>
      </w:r>
    </w:p>
    <w:tbl>
      <w:tblPr>
        <w:tblW w:w="0" w:type="auto"/>
        <w:tblCellSpacing w:w="0" w:type="dxa"/>
        <w:tblInd w:w="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16"/>
        <w:gridCol w:w="4985"/>
        <w:gridCol w:w="17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60" w:hRule="atLeast"/>
          <w:tblCellSpacing w:w="0" w:type="dxa"/>
        </w:trPr>
        <w:tc>
          <w:tcPr>
            <w:tcW w:w="1716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0655C3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16"/>
                <w:szCs w:val="16"/>
                <w:bdr w:val="none" w:color="auto" w:sz="0" w:space="0"/>
              </w:rPr>
              <w:t>部分新增数据源类型</w:t>
            </w:r>
          </w:p>
        </w:tc>
        <w:tc>
          <w:tcPr>
            <w:tcW w:w="498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0655C3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16"/>
                <w:szCs w:val="16"/>
                <w:bdr w:val="none" w:color="auto" w:sz="0" w:space="0"/>
              </w:rPr>
              <w:t>重点信源示例</w:t>
            </w:r>
          </w:p>
        </w:tc>
        <w:tc>
          <w:tcPr>
            <w:tcW w:w="173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0655C3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16"/>
                <w:szCs w:val="16"/>
                <w:bdr w:val="none" w:color="auto" w:sz="0" w:space="0"/>
              </w:rPr>
              <w:t>重点模块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00" w:hRule="atLeast"/>
          <w:tblCellSpacing w:w="0" w:type="dxa"/>
        </w:trPr>
        <w:tc>
          <w:tcPr>
            <w:tcW w:w="1716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404040"/>
                <w:sz w:val="16"/>
                <w:szCs w:val="16"/>
                <w:bdr w:val="none" w:color="auto" w:sz="0" w:space="0"/>
              </w:rPr>
              <w:t>新闻站点及数字报刊</w:t>
            </w:r>
          </w:p>
        </w:tc>
        <w:tc>
          <w:tcPr>
            <w:tcW w:w="498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网信办媒体白名单全部媒体</w:t>
            </w:r>
          </w:p>
        </w:tc>
        <w:tc>
          <w:tcPr>
            <w:tcW w:w="1735" w:type="dxa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全部子站、栏目及文章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700" w:hRule="atLeast"/>
          <w:tblCellSpacing w:w="0" w:type="dxa"/>
        </w:trPr>
        <w:tc>
          <w:tcPr>
            <w:tcW w:w="1716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404040"/>
                <w:sz w:val="16"/>
                <w:szCs w:val="16"/>
                <w:bdr w:val="none" w:color="auto" w:sz="0" w:space="0"/>
              </w:rPr>
              <w:t>政府机关网站</w:t>
            </w:r>
          </w:p>
        </w:tc>
        <w:tc>
          <w:tcPr>
            <w:tcW w:w="498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政府机关、监管机构，如网信办、工信部、银保监会、药品监管局、食品安全备案网等</w:t>
            </w:r>
          </w:p>
        </w:tc>
        <w:tc>
          <w:tcPr>
            <w:tcW w:w="173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rPr>
                <w:rFonts w:hint="eastAsia" w:ascii="宋体"/>
                <w:sz w:val="15"/>
                <w:szCs w:val="15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700" w:hRule="atLeast"/>
          <w:tblCellSpacing w:w="0" w:type="dxa"/>
        </w:trPr>
        <w:tc>
          <w:tcPr>
            <w:tcW w:w="1716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404040"/>
                <w:sz w:val="16"/>
                <w:szCs w:val="16"/>
                <w:bdr w:val="none" w:color="auto" w:sz="0" w:space="0"/>
              </w:rPr>
              <w:t>行业协会</w:t>
            </w:r>
          </w:p>
        </w:tc>
        <w:tc>
          <w:tcPr>
            <w:tcW w:w="498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消协、全国12315平台、深圳手机行业协会等</w:t>
            </w:r>
          </w:p>
        </w:tc>
        <w:tc>
          <w:tcPr>
            <w:tcW w:w="173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rPr>
                <w:rFonts w:hint="eastAsia" w:ascii="宋体"/>
                <w:sz w:val="15"/>
                <w:szCs w:val="15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700" w:hRule="atLeast"/>
          <w:tblCellSpacing w:w="0" w:type="dxa"/>
        </w:trPr>
        <w:tc>
          <w:tcPr>
            <w:tcW w:w="1716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404040"/>
                <w:sz w:val="16"/>
                <w:szCs w:val="16"/>
                <w:bdr w:val="none" w:color="auto" w:sz="0" w:space="0"/>
              </w:rPr>
              <w:t>垂直社区</w:t>
            </w:r>
          </w:p>
        </w:tc>
        <w:tc>
          <w:tcPr>
            <w:tcW w:w="498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Coloros论坛、一加社区、realme社区、花粉俱乐部、小米社区、vivo官网社区、酷安开发者平台等</w:t>
            </w:r>
          </w:p>
        </w:tc>
        <w:tc>
          <w:tcPr>
            <w:tcW w:w="173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全部用户信息、主贴及跟帖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000" w:hRule="atLeast"/>
          <w:tblCellSpacing w:w="0" w:type="dxa"/>
        </w:trPr>
        <w:tc>
          <w:tcPr>
            <w:tcW w:w="1716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404040"/>
                <w:sz w:val="16"/>
                <w:szCs w:val="16"/>
                <w:bdr w:val="none" w:color="auto" w:sz="0" w:space="0"/>
              </w:rPr>
              <w:t>电商平台</w:t>
            </w:r>
          </w:p>
        </w:tc>
        <w:tc>
          <w:tcPr>
            <w:tcW w:w="498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垂直商城：欢太商城、vivo商城、华为商城、小米商城等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电商平台：丝芙兰、酒仙网、途虎养车等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二手电商：闲鱼、找靓机、转转、拍拍</w:t>
            </w:r>
          </w:p>
        </w:tc>
        <w:tc>
          <w:tcPr>
            <w:tcW w:w="173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全部用户信息、评论及问答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700" w:hRule="atLeast"/>
          <w:tblCellSpacing w:w="0" w:type="dxa"/>
        </w:trPr>
        <w:tc>
          <w:tcPr>
            <w:tcW w:w="1716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404040"/>
                <w:sz w:val="16"/>
                <w:szCs w:val="16"/>
                <w:bdr w:val="none" w:color="auto" w:sz="0" w:space="0"/>
              </w:rPr>
              <w:t>垂直站点</w:t>
            </w:r>
          </w:p>
        </w:tc>
        <w:tc>
          <w:tcPr>
            <w:tcW w:w="498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金融界、东方财富网、投资界、雪球网、虎嗅网等</w:t>
            </w:r>
          </w:p>
        </w:tc>
        <w:tc>
          <w:tcPr>
            <w:tcW w:w="1735" w:type="dxa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全部文章、评论及用户信息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700" w:hRule="atLeast"/>
          <w:tblCellSpacing w:w="0" w:type="dxa"/>
        </w:trPr>
        <w:tc>
          <w:tcPr>
            <w:tcW w:w="1716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404040"/>
                <w:sz w:val="16"/>
                <w:szCs w:val="16"/>
                <w:bdr w:val="none" w:color="auto" w:sz="0" w:space="0"/>
              </w:rPr>
              <w:t>资讯类APP</w:t>
            </w:r>
          </w:p>
        </w:tc>
        <w:tc>
          <w:tcPr>
            <w:tcW w:w="498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股吧APP、雪球APP、财新APP等</w:t>
            </w:r>
          </w:p>
        </w:tc>
        <w:tc>
          <w:tcPr>
            <w:tcW w:w="173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rPr>
                <w:rFonts w:hint="eastAsia" w:ascii="宋体"/>
                <w:sz w:val="15"/>
                <w:szCs w:val="15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700" w:hRule="atLeast"/>
          <w:tblCellSpacing w:w="0" w:type="dxa"/>
        </w:trPr>
        <w:tc>
          <w:tcPr>
            <w:tcW w:w="1716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404040"/>
                <w:sz w:val="16"/>
                <w:szCs w:val="16"/>
                <w:bdr w:val="none" w:color="auto" w:sz="0" w:space="0"/>
              </w:rPr>
              <w:t>投诉类网站</w:t>
            </w:r>
          </w:p>
        </w:tc>
        <w:tc>
          <w:tcPr>
            <w:tcW w:w="498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聚投诉、黑猫投诉</w:t>
            </w:r>
          </w:p>
        </w:tc>
        <w:tc>
          <w:tcPr>
            <w:tcW w:w="173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投诉信息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700" w:hRule="atLeast"/>
          <w:tblCellSpacing w:w="0" w:type="dxa"/>
        </w:trPr>
        <w:tc>
          <w:tcPr>
            <w:tcW w:w="1716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404040"/>
                <w:sz w:val="16"/>
                <w:szCs w:val="16"/>
                <w:bdr w:val="none" w:color="auto" w:sz="0" w:space="0"/>
              </w:rPr>
              <w:t>应用商店</w:t>
            </w:r>
          </w:p>
        </w:tc>
        <w:tc>
          <w:tcPr>
            <w:tcW w:w="498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三星、苹果、小米、googlePay、vivo、OPPO等应用商店</w:t>
            </w:r>
          </w:p>
        </w:tc>
        <w:tc>
          <w:tcPr>
            <w:tcW w:w="173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55" w:type="dxa"/>
              <w:right w:w="55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全部应用信息、主帖及跟帖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700" w:hRule="atLeast"/>
          <w:tblCellSpacing w:w="0" w:type="dxa"/>
        </w:trPr>
        <w:tc>
          <w:tcPr>
            <w:tcW w:w="1716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108" w:type="dxa"/>
              <w:right w:w="108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404040"/>
                <w:sz w:val="16"/>
                <w:szCs w:val="16"/>
                <w:bdr w:val="none" w:color="auto" w:sz="0" w:space="0"/>
              </w:rPr>
              <w:t>海外-主流的中文新闻媒体</w:t>
            </w:r>
          </w:p>
        </w:tc>
        <w:tc>
          <w:tcPr>
            <w:tcW w:w="498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108" w:type="dxa"/>
              <w:right w:w="108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联合早报、BBC中文网、星岛环球网、美国中文网、马来西亚环球日报、WSJ中文网等</w:t>
            </w:r>
          </w:p>
        </w:tc>
        <w:tc>
          <w:tcPr>
            <w:tcW w:w="173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left w:w="108" w:type="dxa"/>
              <w:right w:w="108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color w:val="404040"/>
                <w:sz w:val="16"/>
                <w:szCs w:val="16"/>
                <w:bdr w:val="none" w:color="auto" w:sz="0" w:space="0"/>
              </w:rPr>
              <w:t>全部子站、栏目及文章</w:t>
            </w:r>
          </w:p>
        </w:tc>
      </w:tr>
    </w:tbl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字段</w:t>
      </w:r>
      <w:r>
        <w:rPr>
          <w:rFonts w:hint="default" w:ascii="宋体" w:hAnsi="宋体" w:eastAsia="宋体" w:cs="宋体"/>
          <w:sz w:val="24"/>
          <w:szCs w:val="24"/>
        </w:rPr>
        <w:t>标签丰富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分析字段标签丰富：采集字段和分析字段构成丰富的字段列表</w:t>
      </w:r>
    </w:p>
    <w:p>
      <w:pPr>
        <w:numPr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1009650" cy="4352925"/>
            <wp:effectExtent l="0" t="0" r="635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8700" cy="4352925"/>
            <wp:effectExtent l="0" t="0" r="1270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57325" cy="4352925"/>
            <wp:effectExtent l="0" t="0" r="1587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43025" cy="4381500"/>
            <wp:effectExtent l="0" t="0" r="317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分析标签丰富：在现有字段基础上运用算法模型获得更多的分析标签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广告杂音算法</w:t>
      </w:r>
      <w:r>
        <w:rPr>
          <w:rFonts w:hint="default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</w:rPr>
        <w:t>准确度85%+</w:t>
      </w:r>
      <w:r>
        <w:rPr>
          <w:rFonts w:hint="default" w:ascii="宋体" w:hAnsi="宋体" w:eastAsia="宋体" w:cs="宋体"/>
          <w:sz w:val="24"/>
          <w:szCs w:val="24"/>
        </w:rPr>
        <w:t>）</w:t>
      </w:r>
    </w:p>
    <w:p>
      <w:pPr>
        <w:numPr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2590800" cy="2176145"/>
            <wp:effectExtent l="0" t="0" r="0" b="8255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3020" cy="2374265"/>
            <wp:effectExtent l="0" t="0" r="17780" b="13335"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水军识别</w:t>
      </w:r>
      <w:r>
        <w:rPr>
          <w:rFonts w:hint="default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</w:rPr>
        <w:t>准确度90%+</w:t>
      </w:r>
      <w:r>
        <w:rPr>
          <w:rFonts w:hint="default" w:ascii="宋体" w:hAnsi="宋体" w:eastAsia="宋体" w:cs="宋体"/>
          <w:sz w:val="24"/>
          <w:szCs w:val="24"/>
        </w:rPr>
        <w:t>）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2550160" cy="2707640"/>
            <wp:effectExtent l="0" t="0" r="1524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0386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0160" cy="1825625"/>
            <wp:effectExtent l="0" t="0" r="15240" b="3175"/>
            <wp:docPr id="116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0386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多层次情感判断模型</w:t>
      </w:r>
      <w:r>
        <w:rPr>
          <w:rFonts w:hint="default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</w:rPr>
        <w:t>准确度75%～80%+</w:t>
      </w:r>
      <w:r>
        <w:rPr>
          <w:rFonts w:hint="default" w:ascii="宋体" w:hAnsi="宋体" w:eastAsia="宋体" w:cs="宋体"/>
          <w:sz w:val="24"/>
          <w:szCs w:val="24"/>
        </w:rPr>
        <w:t>）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通用情感算法</w:t>
      </w:r>
    </w:p>
    <w:p>
      <w:pPr>
        <w:numPr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2555240" cy="2030730"/>
            <wp:effectExtent l="0" t="0" r="10160" b="12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t="19761"/>
                    <a:stretch>
                      <a:fillRect/>
                    </a:stretch>
                  </pic:blipFill>
                  <pic:spPr>
                    <a:xfrm>
                      <a:off x="0" y="0"/>
                      <a:ext cx="2555702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智能三元组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。从任意非结构化自然语言中，提取句子最精要的观点，细颗粒度情感分析：文本内容进行特征和情感的提取判断，情感判断更具针对性。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drawing>
          <wp:inline distT="0" distB="0" distL="114300" distR="114300">
            <wp:extent cx="1417320" cy="1064895"/>
            <wp:effectExtent l="0" t="0" r="5080" b="19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7477" cy="106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2375" cy="934085"/>
            <wp:effectExtent l="0" t="0" r="22225" b="571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22882" cy="9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PGC/UGC判断</w:t>
      </w:r>
    </w:p>
    <w:p>
      <w:pPr>
        <w:numPr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通过各个阵地对用户的官方认证等级、用户的粉丝量对声量类型划分为UGC、PGC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PGC：专家、媒体、KOL内容专业度更高（其中，微博、小红书、短视频、知乎、B站可获取认证类型）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UGC：消费者、普通网民发声</w:t>
      </w:r>
    </w:p>
    <w:p>
      <w:pPr>
        <w:numPr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drawing>
          <wp:inline distT="0" distB="0" distL="114300" distR="114300">
            <wp:extent cx="2249805" cy="1538605"/>
            <wp:effectExtent l="0" t="0" r="10795" b="1079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9866" cy="153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采集姿势多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按需提供多种采集姿势，适用不同的取数用途。</w:t>
      </w:r>
    </w:p>
    <w:p>
      <w:pPr>
        <w:numPr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9230" cy="2019300"/>
            <wp:effectExtent l="0" t="0" r="13970" b="1270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leftChars="0"/>
        <w:rPr>
          <w:rFonts w:hint="default"/>
        </w:rPr>
      </w:pPr>
      <w:r>
        <w:drawing>
          <wp:inline distT="0" distB="0" distL="114300" distR="114300">
            <wp:extent cx="5272405" cy="2639060"/>
            <wp:effectExtent l="0" t="0" r="10795" b="254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数据质量高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准确、及时、完整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b/>
          <w:bCs/>
          <w:sz w:val="24"/>
          <w:szCs w:val="24"/>
        </w:rPr>
      </w:pPr>
      <w:r>
        <w:rPr>
          <w:rFonts w:hint="default" w:ascii="宋体" w:hAnsi="宋体" w:eastAsia="宋体" w:cs="宋体"/>
          <w:b/>
          <w:bCs/>
          <w:sz w:val="24"/>
          <w:szCs w:val="24"/>
        </w:rPr>
        <w:t>准确性指字段无错漏，若有任意字段错误则认为是无效数据。有效数据占比超过95%即为达标。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监控&amp;巡检手段：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（1）自动化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•  不能为空的字段：简单的正则校验；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•  可能为空的字段：设定一定比例，若超过比例则告警。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（2）人工巡查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•  巡查安排：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各站点对点负责到人，30条/每站点/每周，主要检查字段错漏问题；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•  DPS巡查能力：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每人每天巡查约1200条，每周可安排2人用1天时间集中巡查重点站点，即每周巡查2400条左右。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b/>
          <w:bCs/>
          <w:sz w:val="24"/>
          <w:szCs w:val="24"/>
        </w:rPr>
        <w:t>及时性-增量方案保证调用频次及任务时效性，新闻论坛20分钟入库，微博重点1-5分钟滚动更新。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监控&amp;巡检手段：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（1）自动化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•  由采集系统将相关资源信息输出到ELK上，到ELK上查看资源使用次数；例如抖音设备信息，统计所有设备的总调用次数、成功次数、失败次数，查看每天成功的调用次数是否达标。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（2）人工巡查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•  在做完整性巡查时，一起巡查及时性指标。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b/>
          <w:bCs/>
          <w:sz w:val="24"/>
          <w:szCs w:val="24"/>
        </w:rPr>
        <w:t>完整性指采集回的数据量对比原站点数据量的完整度，主回贴数据量漏数率不超过5%，覆盖率在95%以上。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监控&amp;巡检手段：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（1）自动化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•  所有爬虫：直接看ELK对应爬虫的失败率，超出阈值时告警。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（2）人工巡查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•  增量：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a. 巡查安排：每周每个站点抽取15个板块，每个板块抽取3条数据到全量库查询是否有采集到，做覆盖率统计和及时性统计；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b. DPS巡查能力：每人每天巡查约1200条，每周可安排2人用1天时间集中巡查重点站点，即每周巡查2400条左右；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•  异步搜索巡查安排：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从入全量库数据的业务中，找到在使用的重点站点抽取部分关键词巡查覆盖率和及时性。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音视频解析</w:t>
      </w:r>
    </w:p>
    <w:p>
      <w:pPr>
        <w:numPr>
          <w:numId w:val="0"/>
        </w:numPr>
        <w:spacing w:line="360" w:lineRule="auto"/>
        <w:ind w:leftChars="0"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视频语音转文本。转化长/短视频的语音为可分析的文本数据，扩充长/短视频的数据库。</w:t>
      </w:r>
    </w:p>
    <w:p>
      <w:pPr>
        <w:numPr>
          <w:numId w:val="0"/>
        </w:numPr>
        <w:spacing w:line="360" w:lineRule="auto"/>
        <w:ind w:leftChars="0"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图片识别。通过解析电商图片，获取文本数据，有效进行相应的数据分析，增强数据匹配能力。</w:t>
      </w:r>
    </w:p>
    <w:p>
      <w:pPr>
        <w:numPr>
          <w:numId w:val="0"/>
        </w:numPr>
        <w:spacing w:line="360" w:lineRule="auto"/>
      </w:pPr>
      <w:r>
        <w:drawing>
          <wp:inline distT="0" distB="0" distL="114300" distR="114300">
            <wp:extent cx="4486275" cy="3981450"/>
            <wp:effectExtent l="0" t="0" r="9525" b="635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rPr>
          <w:rFonts w:hint="default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010025" cy="3362325"/>
            <wp:effectExtent l="0" t="0" r="3175" b="1587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系统可用性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强</w:t>
      </w:r>
    </w:p>
    <w:p>
      <w:pPr>
        <w:numPr>
          <w:numId w:val="0"/>
        </w:numPr>
        <w:spacing w:line="360" w:lineRule="auto"/>
        <w:ind w:leftChars="0"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关键词设置/取数姿势灵活设置，对于广告、文本识别可能引起的杂音，可调整取数方式，保障数据全面性和有效性</w:t>
      </w:r>
    </w:p>
    <w:p>
      <w:pPr>
        <w:numPr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73040" cy="2116455"/>
            <wp:effectExtent l="0" t="0" r="10160" b="1714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leftChars="0"/>
        <w:rPr>
          <w:rFonts w:hint="default"/>
          <w:lang w:val="en-US" w:eastAsia="zh-Hans"/>
        </w:rPr>
      </w:pPr>
      <w:r>
        <w:drawing>
          <wp:inline distT="0" distB="0" distL="114300" distR="114300">
            <wp:extent cx="5272405" cy="2950210"/>
            <wp:effectExtent l="0" t="0" r="10795" b="2159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数据提供格式多样</w:t>
      </w:r>
    </w:p>
    <w:p>
      <w:pPr>
        <w:numPr>
          <w:numId w:val="0"/>
        </w:numPr>
        <w:spacing w:line="360" w:lineRule="auto"/>
        <w:ind w:leftChars="0"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数据提供格式多样：满足不同的分析途径和存储格式，支持对接海尔HVOC系统。</w:t>
      </w:r>
    </w:p>
    <w:p>
      <w:pPr>
        <w:numPr>
          <w:numId w:val="0"/>
        </w:numPr>
        <w:spacing w:line="360" w:lineRule="auto"/>
      </w:pPr>
      <w:r>
        <w:drawing>
          <wp:inline distT="0" distB="0" distL="114300" distR="114300">
            <wp:extent cx="5273675" cy="2237105"/>
            <wp:effectExtent l="0" t="0" r="9525" b="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rPr>
          <w:rFonts w:hint="default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675" cy="3823335"/>
            <wp:effectExtent l="0" t="0" r="9525" b="1206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稳定性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系统的稳定性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b/>
          <w:bCs/>
          <w:sz w:val="24"/>
          <w:szCs w:val="24"/>
        </w:rPr>
      </w:pPr>
      <w:r>
        <w:rPr>
          <w:rFonts w:hint="default" w:ascii="宋体" w:hAnsi="宋体" w:eastAsia="宋体" w:cs="宋体"/>
          <w:b/>
          <w:bCs/>
          <w:sz w:val="24"/>
          <w:szCs w:val="24"/>
        </w:rPr>
        <w:t>从数据巡检到核心站点全面保障数据的稳定性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核心站点「抖音/知乎/B站/天猫/京东/微博/微信/小红书」稳定性95%+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数据底层能力的稳定性</w:t>
      </w:r>
    </w:p>
    <w:p>
      <w:pPr>
        <w:numPr>
          <w:numId w:val="0"/>
        </w:numPr>
        <w:spacing w:line="360" w:lineRule="auto"/>
        <w:ind w:leftChars="0"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系统化的去重方案将kafka数量与入库量、入库和首次入库的差异性小于5%</w:t>
      </w:r>
    </w:p>
    <w:p>
      <w:pPr>
        <w:numPr>
          <w:numId w:val="0"/>
        </w:numPr>
        <w:spacing w:line="360" w:lineRule="auto"/>
        <w:ind w:leftChars="0"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推进聚合全部异步采集任务迁移至新调度框架，实现异步任务框架层面99.5%+稳定性</w:t>
      </w:r>
    </w:p>
    <w:p>
      <w:pPr>
        <w:numPr>
          <w:numId w:val="0"/>
        </w:numPr>
        <w:spacing w:line="360" w:lineRule="auto"/>
        <w:ind w:leftChars="0"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全量库ES集群完成由单集群向多集群拓展</w:t>
      </w:r>
    </w:p>
    <w:p>
      <w:pPr>
        <w:numPr>
          <w:numId w:val="0"/>
        </w:numPr>
        <w:spacing w:line="360" w:lineRule="auto"/>
        <w:ind w:leftChars="0"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全量库API的查询场景在1.5秒以内，全面提速取数场景</w:t>
      </w:r>
    </w:p>
    <w:p>
      <w:pPr>
        <w:numPr>
          <w:numId w:val="0"/>
        </w:numPr>
        <w:spacing w:line="360" w:lineRule="auto"/>
        <w:ind w:leftChars="0"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算法框架的优化提升算法离线平台小任务运行效率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全数据服务巡检制度</w:t>
      </w:r>
    </w:p>
    <w:p>
      <w:pPr>
        <w:numPr>
          <w:numId w:val="0"/>
        </w:numPr>
        <w:spacing w:line="360" w:lineRule="auto"/>
        <w:ind w:leftChars="0"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健全的数据服务巡检制度，定时巡检，统一汇报，及时处理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采集的稳定性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多种采集能力和反爬技术构成完善的采集稳定性闭环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全量采集</w:t>
      </w:r>
    </w:p>
    <w:p>
      <w:pPr>
        <w:numPr>
          <w:numId w:val="0"/>
        </w:numPr>
        <w:spacing w:line="360" w:lineRule="auto"/>
        <w:ind w:leftChars="0"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普通公司基于单次任务采集，受限于采集网站无法回溯，采集时间长，相关性差；</w:t>
      </w:r>
    </w:p>
    <w:p>
      <w:pPr>
        <w:numPr>
          <w:numId w:val="0"/>
        </w:numPr>
        <w:spacing w:line="360" w:lineRule="auto"/>
        <w:ind w:leftChars="0"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数说持续不间断无差别的采集所有新闻、论坛、微博、微信数据，可回溯，实时性强。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集群和代理IP资源</w:t>
      </w:r>
    </w:p>
    <w:p>
      <w:pPr>
        <w:numPr>
          <w:numId w:val="0"/>
        </w:numPr>
        <w:spacing w:line="360" w:lineRule="auto"/>
        <w:ind w:leftChars="0"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上百个节点组成的分布式采集集群，  配备千兆级的带宽；</w:t>
      </w:r>
    </w:p>
    <w:p>
      <w:pPr>
        <w:numPr>
          <w:numId w:val="0"/>
        </w:numPr>
        <w:spacing w:line="360" w:lineRule="auto"/>
        <w:ind w:leftChars="0"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自建多地域的VPS代理集群，每天能切换数十万的动态IP，  并覆盖了海外节点；</w:t>
      </w:r>
    </w:p>
    <w:p>
      <w:pPr>
        <w:numPr>
          <w:numId w:val="0"/>
        </w:numPr>
        <w:spacing w:line="360" w:lineRule="auto"/>
        <w:ind w:leftChars="0"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每日并发采集任务数上百万， 请求数近千万，日新增数据量几千万。</w:t>
      </w:r>
    </w:p>
    <w:p>
      <w:pPr>
        <w:numPr>
          <w:numId w:val="0"/>
        </w:numPr>
        <w:spacing w:line="360" w:lineRule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专业团队</w:t>
      </w:r>
    </w:p>
    <w:p>
      <w:pPr>
        <w:numPr>
          <w:numId w:val="0"/>
        </w:numPr>
        <w:spacing w:line="360" w:lineRule="auto"/>
        <w:ind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专人开发： 高效采集规则配置，字段解析处理成结构化数据；</w:t>
      </w:r>
    </w:p>
    <w:p>
      <w:pPr>
        <w:numPr>
          <w:numId w:val="0"/>
        </w:numPr>
        <w:spacing w:line="360" w:lineRule="auto"/>
        <w:ind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专人维护：持续监控网站的改版和变更， 专人及时响应网站改版和维护；</w:t>
      </w:r>
    </w:p>
    <w:p>
      <w:pPr>
        <w:numPr>
          <w:numId w:val="0"/>
        </w:numPr>
        <w:spacing w:line="360" w:lineRule="auto"/>
        <w:ind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专业运维：管理集群机器，保证99.99%的可用率。</w:t>
      </w:r>
    </w:p>
    <w:p>
      <w:pPr>
        <w:numPr>
          <w:numId w:val="0"/>
        </w:numPr>
        <w:spacing w:line="360" w:lineRule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特色采集的能力</w:t>
      </w:r>
    </w:p>
    <w:p>
      <w:pPr>
        <w:numPr>
          <w:numId w:val="0"/>
        </w:numPr>
        <w:spacing w:line="360" w:lineRule="auto"/>
        <w:ind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分布式的采集调度平台，管理上百台节点和任务分发；</w:t>
      </w:r>
    </w:p>
    <w:p>
      <w:pPr>
        <w:numPr>
          <w:numId w:val="0"/>
        </w:numPr>
        <w:spacing w:line="360" w:lineRule="auto"/>
        <w:ind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智能提取算法： 新闻类、论坛类；</w:t>
      </w:r>
    </w:p>
    <w:p>
      <w:pPr>
        <w:numPr>
          <w:numId w:val="0"/>
        </w:numPr>
        <w:spacing w:line="360" w:lineRule="auto"/>
        <w:ind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持续采集：  每日的海量微博、微信、新闻、论坛等全网的持续采集，日新增数据三千万；</w:t>
      </w:r>
    </w:p>
    <w:p>
      <w:pPr>
        <w:numPr>
          <w:numId w:val="0"/>
        </w:numPr>
        <w:spacing w:line="360" w:lineRule="auto"/>
        <w:ind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图片、视频、音频解析下载。</w:t>
      </w:r>
    </w:p>
    <w:p>
      <w:pPr>
        <w:numPr>
          <w:numId w:val="0"/>
        </w:numPr>
        <w:spacing w:line="360" w:lineRule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反爬公关能力</w:t>
      </w:r>
    </w:p>
    <w:p>
      <w:pPr>
        <w:numPr>
          <w:numId w:val="0"/>
        </w:numPr>
        <w:spacing w:line="360" w:lineRule="auto"/>
        <w:ind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图片的文本识别、验证码OCR识别；</w:t>
      </w:r>
    </w:p>
    <w:p>
      <w:pPr>
        <w:numPr>
          <w:numId w:val="0"/>
        </w:numPr>
        <w:spacing w:line="360" w:lineRule="auto"/>
        <w:ind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海量代理IP防封锁；</w:t>
      </w:r>
    </w:p>
    <w:p>
      <w:pPr>
        <w:numPr>
          <w:numId w:val="0"/>
        </w:numPr>
        <w:spacing w:line="360" w:lineRule="auto"/>
        <w:ind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自有账号资源池： 微信小号、微博小号、淘宝账号等，突破站点采集限制。</w:t>
      </w:r>
    </w:p>
    <w:p>
      <w:pPr>
        <w:numPr>
          <w:numId w:val="0"/>
        </w:numPr>
        <w:spacing w:line="360" w:lineRule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新型数据源定制</w:t>
      </w:r>
    </w:p>
    <w:p>
      <w:pPr>
        <w:numPr>
          <w:numId w:val="0"/>
        </w:numPr>
        <w:spacing w:line="360" w:lineRule="auto"/>
        <w:ind w:firstLine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特定APP内数据、直播视频弹幕等数据采集。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存储的稳定性</w:t>
      </w:r>
    </w:p>
    <w:p>
      <w:pPr>
        <w:numPr>
          <w:numId w:val="0"/>
        </w:numPr>
        <w:spacing w:line="360" w:lineRule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数据存储备份策略</w:t>
      </w:r>
    </w:p>
    <w:tbl>
      <w:tblPr>
        <w:tblW w:w="0" w:type="auto"/>
        <w:tblCellSpacing w:w="0" w:type="dxa"/>
        <w:tblInd w:w="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53"/>
        <w:gridCol w:w="1200"/>
        <w:gridCol w:w="1874"/>
        <w:gridCol w:w="1736"/>
        <w:gridCol w:w="1227"/>
        <w:gridCol w:w="1062"/>
      </w:tblGrid>
      <w:tr>
        <w:trPr>
          <w:trHeight w:val="780" w:hRule="atLeast"/>
          <w:tblCellSpacing w:w="0" w:type="dxa"/>
        </w:trPr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存储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引擎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分类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高可用策略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备份策略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恢复策略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备注</w:t>
            </w:r>
          </w:p>
        </w:tc>
      </w:tr>
      <w:tr>
        <w:trPr>
          <w:trHeight w:val="1960" w:hRule="atLeast"/>
          <w:tblCellSpacing w:w="0" w:type="dxa"/>
        </w:trPr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Elasticsearch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分布式全文索引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集群支持高可用，内置Shard备份，某节点故障不影响使用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分布式存储架构，内置多shard备份（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18"/>
                <w:szCs w:val="18"/>
                <w:bdr w:val="none" w:color="auto" w:sz="0" w:space="0"/>
              </w:rPr>
              <w:t>热备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）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可选支持每天增量备份（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18"/>
                <w:szCs w:val="18"/>
                <w:bdr w:val="none" w:color="auto" w:sz="0" w:space="0"/>
              </w:rPr>
              <w:t>冷备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）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shard可自行恢复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增量的冷备数据可按需全量恢复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用于存放全量采集信息与标签信息</w:t>
            </w:r>
          </w:p>
        </w:tc>
      </w:tr>
      <w:tr>
        <w:trPr>
          <w:trHeight w:val="1360" w:hRule="atLeast"/>
          <w:tblCellSpacing w:w="0" w:type="dxa"/>
        </w:trPr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Hadoop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大数据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集群支持高可用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作为计算节点无需备份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作为计算节点无需备份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</w:p>
        </w:tc>
      </w:tr>
      <w:tr>
        <w:trPr>
          <w:trHeight w:val="1960" w:hRule="atLeast"/>
          <w:tblCellSpacing w:w="0" w:type="dxa"/>
        </w:trPr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MySQL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关系数据库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主备虚拟IP漂移方式支持高可用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主备方式支持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18"/>
                <w:szCs w:val="18"/>
                <w:bdr w:val="none" w:color="auto" w:sz="0" w:space="0"/>
              </w:rPr>
              <w:t>数据热备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支持定期的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18"/>
                <w:szCs w:val="18"/>
                <w:bdr w:val="none" w:color="auto" w:sz="0" w:space="0"/>
              </w:rPr>
              <w:t>自动备份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支持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18"/>
                <w:szCs w:val="18"/>
                <w:bdr w:val="none" w:color="auto" w:sz="0" w:space="0"/>
              </w:rPr>
              <w:t>手动备份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主机故障可以自动切换到备机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可使用备份数据全量恢复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存放系统配置数据</w:t>
            </w:r>
          </w:p>
        </w:tc>
      </w:tr>
      <w:tr>
        <w:trPr>
          <w:trHeight w:val="980" w:hRule="atLeast"/>
          <w:tblCellSpacing w:w="0" w:type="dxa"/>
        </w:trPr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Redis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KeyValue数据库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多机集群支持高可用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18"/>
                <w:szCs w:val="18"/>
                <w:bdr w:val="none" w:color="auto" w:sz="0" w:space="0"/>
              </w:rPr>
              <w:t>持久化机制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，缓存一定时间内状态。 无需冷备机制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重启时自动从文件恢复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</w:p>
        </w:tc>
      </w:tr>
      <w:tr>
        <w:trPr>
          <w:trHeight w:val="980" w:hRule="atLeast"/>
          <w:tblCellSpacing w:w="0" w:type="dxa"/>
        </w:trPr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CEPH/对象存储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分布式对象存储系统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集群支持高可用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批量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18"/>
                <w:szCs w:val="18"/>
                <w:bdr w:val="none" w:color="auto" w:sz="0" w:space="0"/>
              </w:rPr>
              <w:t>数据复制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跨地域复制的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18"/>
                <w:szCs w:val="18"/>
                <w:bdr w:val="none" w:color="auto" w:sz="0" w:space="0"/>
              </w:rPr>
              <w:t>容灾备份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方案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通过备份数据进行恢复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left w:w="63" w:type="dxa"/>
              <w:right w:w="63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</w:p>
        </w:tc>
      </w:tr>
    </w:tbl>
    <w:p>
      <w:pPr>
        <w:numPr>
          <w:numId w:val="0"/>
        </w:numPr>
        <w:spacing w:line="360" w:lineRule="auto"/>
        <w:rPr>
          <w:rFonts w:hint="default" w:ascii="宋体" w:hAnsi="宋体" w:eastAsia="宋体" w:cs="宋体"/>
          <w:sz w:val="24"/>
          <w:szCs w:val="24"/>
        </w:rPr>
      </w:pP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API 的稳定性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完善、标准化的API接口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2390775"/>
            <wp:effectExtent l="0" t="0" r="10795" b="22225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基础配套运维服务的稳定性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采集和平台SLA是运维服务的保障</w:t>
      </w:r>
    </w:p>
    <w:p>
      <w:pPr>
        <w:numPr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采集SLA</w:t>
      </w:r>
    </w:p>
    <w:tbl>
      <w:tblPr>
        <w:tblW w:w="8400" w:type="dxa"/>
        <w:tblCellSpacing w:w="0" w:type="dxa"/>
        <w:tblInd w:w="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12"/>
        <w:gridCol w:w="1233"/>
        <w:gridCol w:w="3849"/>
        <w:gridCol w:w="2406"/>
      </w:tblGrid>
      <w:tr>
        <w:trPr>
          <w:trHeight w:val="580" w:hRule="atLeast"/>
          <w:tblCellSpacing w:w="0" w:type="dxa"/>
        </w:trPr>
        <w:tc>
          <w:tcPr>
            <w:tcW w:w="912" w:type="dxa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0655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20"/>
                <w:szCs w:val="20"/>
                <w:bdr w:val="none" w:color="auto" w:sz="0" w:space="0"/>
              </w:rPr>
              <w:t>指标</w:t>
            </w:r>
          </w:p>
        </w:tc>
        <w:tc>
          <w:tcPr>
            <w:tcW w:w="1233" w:type="dxa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0655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0"/>
                <w:szCs w:val="20"/>
                <w:bdr w:val="none" w:color="auto" w:sz="0" w:space="0"/>
              </w:rPr>
              <w:t>保障对象</w:t>
            </w:r>
          </w:p>
        </w:tc>
        <w:tc>
          <w:tcPr>
            <w:tcW w:w="6255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0655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0"/>
                <w:szCs w:val="20"/>
                <w:bdr w:val="none" w:color="auto" w:sz="0" w:space="0"/>
              </w:rPr>
              <w:t>保障形式</w:t>
            </w:r>
          </w:p>
        </w:tc>
      </w:tr>
      <w:tr>
        <w:trPr>
          <w:trHeight w:val="580" w:hRule="atLeast"/>
          <w:tblCellSpacing w:w="0" w:type="dxa"/>
        </w:trPr>
        <w:tc>
          <w:tcPr>
            <w:tcW w:w="912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0655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1233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0655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3849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0655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0"/>
                <w:szCs w:val="20"/>
                <w:bdr w:val="none" w:color="auto" w:sz="0" w:space="0"/>
              </w:rPr>
              <w:t>自动化</w:t>
            </w:r>
          </w:p>
        </w:tc>
        <w:tc>
          <w:tcPr>
            <w:tcW w:w="2406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0655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0"/>
                <w:szCs w:val="20"/>
                <w:bdr w:val="none" w:color="auto" w:sz="0" w:space="0"/>
              </w:rPr>
              <w:t>人工巡查</w:t>
            </w:r>
          </w:p>
        </w:tc>
      </w:tr>
      <w:tr>
        <w:trPr>
          <w:trHeight w:val="980" w:hRule="atLeast"/>
          <w:tblCellSpacing w:w="0" w:type="dxa"/>
        </w:trPr>
        <w:tc>
          <w:tcPr>
            <w:tcW w:w="912" w:type="dxa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准确性</w:t>
            </w:r>
          </w:p>
        </w:tc>
        <w:tc>
          <w:tcPr>
            <w:tcW w:w="1233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主帖</w:t>
            </w:r>
          </w:p>
        </w:tc>
        <w:tc>
          <w:tcPr>
            <w:tcW w:w="3849" w:type="dxa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不能为空的字段：简单的正则校验，至少可以用于判空，数值之类可以用\d+方式判错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可能为空的字段：设定一定比例，若超过比例则告警</w:t>
            </w:r>
          </w:p>
        </w:tc>
        <w:tc>
          <w:tcPr>
            <w:tcW w:w="2406" w:type="dxa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每周花2人天的时间去巡查对应站点的数据，确认是否有错漏情况（2人天巡查的数据量约2400条）</w:t>
            </w:r>
          </w:p>
        </w:tc>
      </w:tr>
      <w:tr>
        <w:trPr>
          <w:trHeight w:val="1100" w:hRule="atLeast"/>
          <w:tblCellSpacing w:w="0" w:type="dxa"/>
        </w:trPr>
        <w:tc>
          <w:tcPr>
            <w:tcW w:w="912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rPr>
                <w:rFonts w:hint="eastAsia" w:ascii="宋体"/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回帖</w:t>
            </w:r>
          </w:p>
        </w:tc>
        <w:tc>
          <w:tcPr>
            <w:tcW w:w="3849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rPr>
                <w:rFonts w:hint="eastAsia" w:ascii="宋体"/>
                <w:sz w:val="18"/>
                <w:szCs w:val="18"/>
              </w:rPr>
            </w:pPr>
          </w:p>
        </w:tc>
        <w:tc>
          <w:tcPr>
            <w:tcW w:w="240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rPr>
                <w:rFonts w:hint="eastAsia" w:ascii="宋体"/>
                <w:sz w:val="18"/>
                <w:szCs w:val="18"/>
              </w:rPr>
            </w:pPr>
          </w:p>
        </w:tc>
      </w:tr>
      <w:tr>
        <w:trPr>
          <w:trHeight w:val="1160" w:hRule="atLeast"/>
          <w:tblCellSpacing w:w="0" w:type="dxa"/>
        </w:trPr>
        <w:tc>
          <w:tcPr>
            <w:tcW w:w="912" w:type="dxa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及时性</w:t>
            </w:r>
          </w:p>
        </w:tc>
        <w:tc>
          <w:tcPr>
            <w:tcW w:w="1233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接口调用形式</w:t>
            </w:r>
          </w:p>
        </w:tc>
        <w:tc>
          <w:tcPr>
            <w:tcW w:w="3849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ELK统计各资源的调用次数、成功率、失败率，当失败率超过阈值时告警</w:t>
            </w:r>
          </w:p>
        </w:tc>
        <w:tc>
          <w:tcPr>
            <w:tcW w:w="2406" w:type="dxa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在巡查完整性的同时巡查及时性</w:t>
            </w:r>
          </w:p>
        </w:tc>
      </w:tr>
      <w:tr>
        <w:trPr>
          <w:trHeight w:val="1520" w:hRule="atLeast"/>
          <w:tblCellSpacing w:w="0" w:type="dxa"/>
        </w:trPr>
        <w:tc>
          <w:tcPr>
            <w:tcW w:w="912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rPr>
                <w:rFonts w:hint="eastAsia" w:ascii="宋体"/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KOL/板块监控形式</w:t>
            </w:r>
          </w:p>
        </w:tc>
        <w:tc>
          <w:tcPr>
            <w:tcW w:w="3849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调度频次保证：调度器输出调度每个种子的日志到ELK上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任务时效性保证：将执行时间超过调度间隔的任务输出到ELK上</w:t>
            </w:r>
          </w:p>
        </w:tc>
        <w:tc>
          <w:tcPr>
            <w:tcW w:w="240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rPr>
                <w:rFonts w:hint="eastAsia" w:ascii="宋体"/>
                <w:sz w:val="18"/>
                <w:szCs w:val="18"/>
              </w:rPr>
            </w:pPr>
          </w:p>
        </w:tc>
      </w:tr>
      <w:tr>
        <w:trPr>
          <w:trHeight w:val="620" w:hRule="atLeast"/>
          <w:tblCellSpacing w:w="0" w:type="dxa"/>
        </w:trPr>
        <w:tc>
          <w:tcPr>
            <w:tcW w:w="912" w:type="dxa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完整性</w:t>
            </w:r>
          </w:p>
        </w:tc>
        <w:tc>
          <w:tcPr>
            <w:tcW w:w="1233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主帖</w:t>
            </w:r>
          </w:p>
        </w:tc>
        <w:tc>
          <w:tcPr>
            <w:tcW w:w="3849" w:type="dxa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ELK统计爬虫失败率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使用模拟脚本和人工巡查做相互验证</w:t>
            </w:r>
          </w:p>
        </w:tc>
        <w:tc>
          <w:tcPr>
            <w:tcW w:w="2406" w:type="dxa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每周每个站点抽取15个板块，抽查靠前的数据是否有采集到，做覆盖率统计</w:t>
            </w:r>
          </w:p>
        </w:tc>
      </w:tr>
      <w:tr>
        <w:trPr>
          <w:trHeight w:val="1140" w:hRule="atLeast"/>
          <w:tblCellSpacing w:w="0" w:type="dxa"/>
        </w:trPr>
        <w:tc>
          <w:tcPr>
            <w:tcW w:w="912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rPr>
                <w:rFonts w:hint="eastAsia" w:ascii="宋体"/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回帖</w:t>
            </w:r>
          </w:p>
        </w:tc>
        <w:tc>
          <w:tcPr>
            <w:tcW w:w="3849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rPr>
                <w:rFonts w:hint="eastAsia" w:ascii="宋体"/>
                <w:sz w:val="18"/>
                <w:szCs w:val="18"/>
              </w:rPr>
            </w:pPr>
          </w:p>
        </w:tc>
        <w:tc>
          <w:tcPr>
            <w:tcW w:w="240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E7E9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rPr>
                <w:rFonts w:hint="eastAsia" w:ascii="宋体"/>
                <w:sz w:val="18"/>
                <w:szCs w:val="18"/>
              </w:rPr>
            </w:pPr>
          </w:p>
        </w:tc>
      </w:tr>
    </w:tbl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default" w:ascii="宋体" w:hAnsi="宋体" w:eastAsia="宋体" w:cs="宋体"/>
          <w:sz w:val="24"/>
          <w:szCs w:val="24"/>
          <w:lang w:val="en-US" w:eastAsia="zh-Hans"/>
        </w:rPr>
        <w:t>平台SLA</w:t>
      </w:r>
    </w:p>
    <w:tbl>
      <w:tblPr>
        <w:tblW w:w="8620" w:type="dxa"/>
        <w:tblCellSpacing w:w="0" w:type="dxa"/>
        <w:tblInd w:w="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1"/>
        <w:gridCol w:w="762"/>
        <w:gridCol w:w="2847"/>
        <w:gridCol w:w="41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1060" w:hRule="atLeast"/>
          <w:tblCellSpacing w:w="0" w:type="dxa"/>
        </w:trPr>
        <w:tc>
          <w:tcPr>
            <w:tcW w:w="8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20"/>
                <w:szCs w:val="20"/>
                <w:bdr w:val="none" w:color="auto" w:sz="0" w:space="0"/>
              </w:rPr>
              <w:t>等级</w:t>
            </w:r>
          </w:p>
        </w:tc>
        <w:tc>
          <w:tcPr>
            <w:tcW w:w="76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20"/>
                <w:szCs w:val="20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0"/>
                <w:szCs w:val="20"/>
                <w:bdr w:val="none" w:color="auto" w:sz="0" w:space="0"/>
              </w:rPr>
              <w:t>程度</w:t>
            </w:r>
          </w:p>
        </w:tc>
        <w:tc>
          <w:tcPr>
            <w:tcW w:w="28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20"/>
                <w:szCs w:val="20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0"/>
                <w:szCs w:val="20"/>
                <w:bdr w:val="none" w:color="auto" w:sz="0" w:space="0"/>
              </w:rPr>
              <w:t>描述</w:t>
            </w:r>
          </w:p>
        </w:tc>
        <w:tc>
          <w:tcPr>
            <w:tcW w:w="41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20"/>
                <w:szCs w:val="20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0"/>
                <w:szCs w:val="20"/>
                <w:bdr w:val="none" w:color="auto" w:sz="0" w:space="0"/>
              </w:rPr>
              <w:t>处理及时性要求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1100" w:hRule="atLeast"/>
          <w:tblCellSpacing w:w="0" w:type="dxa"/>
        </w:trPr>
        <w:tc>
          <w:tcPr>
            <w:tcW w:w="8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1A1A1A"/>
                <w:sz w:val="18"/>
                <w:szCs w:val="18"/>
                <w:bdr w:val="none" w:color="auto" w:sz="0" w:space="0"/>
              </w:rPr>
              <w:t>P4</w:t>
            </w:r>
          </w:p>
        </w:tc>
        <w:tc>
          <w:tcPr>
            <w:tcW w:w="76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1A1A1A"/>
                <w:sz w:val="18"/>
                <w:szCs w:val="18"/>
                <w:bdr w:val="none" w:color="auto" w:sz="0" w:space="0"/>
              </w:rPr>
              <w:t>轻微</w:t>
            </w:r>
          </w:p>
        </w:tc>
        <w:tc>
          <w:tcPr>
            <w:tcW w:w="28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未正式对外发布功能、暂无业务方、客户使用的功能</w:t>
            </w:r>
          </w:p>
        </w:tc>
        <w:tc>
          <w:tcPr>
            <w:tcW w:w="41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问题上报后7~14天内(一个产品版本) 完成问题修复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1680" w:hRule="atLeast"/>
          <w:tblCellSpacing w:w="0" w:type="dxa"/>
        </w:trPr>
        <w:tc>
          <w:tcPr>
            <w:tcW w:w="8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P3</w:t>
            </w:r>
          </w:p>
        </w:tc>
        <w:tc>
          <w:tcPr>
            <w:tcW w:w="76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一般</w:t>
            </w:r>
          </w:p>
        </w:tc>
        <w:tc>
          <w:tcPr>
            <w:tcW w:w="28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终端客户可能感知，功能存在偶发性问题或体验问题，未影响系统正常运行，但可同客户沟通协商处理解决</w:t>
            </w:r>
          </w:p>
        </w:tc>
        <w:tc>
          <w:tcPr>
            <w:tcW w:w="41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问题上报后7天内（一个产品版本）修复解决问题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1380" w:hRule="atLeast"/>
          <w:tblCellSpacing w:w="0" w:type="dxa"/>
        </w:trPr>
        <w:tc>
          <w:tcPr>
            <w:tcW w:w="8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P2</w:t>
            </w:r>
          </w:p>
        </w:tc>
        <w:tc>
          <w:tcPr>
            <w:tcW w:w="76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中等</w:t>
            </w:r>
          </w:p>
        </w:tc>
        <w:tc>
          <w:tcPr>
            <w:tcW w:w="28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影响</w:t>
            </w:r>
            <w:r>
              <w:rPr>
                <w:rFonts w:hint="default" w:ascii="微软雅黑" w:hAnsi="微软雅黑" w:eastAsia="微软雅黑" w:cs="微软雅黑"/>
                <w:color w:val="1A1A1A"/>
                <w:sz w:val="18"/>
                <w:szCs w:val="18"/>
                <w:bdr w:val="none" w:color="auto" w:sz="0" w:space="0"/>
              </w:rPr>
              <w:t>终端</w:t>
            </w: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客户正常使用、系统功能存在问题，影响正常业务流程等情况</w:t>
            </w:r>
          </w:p>
        </w:tc>
        <w:tc>
          <w:tcPr>
            <w:tcW w:w="41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问题上报后24小时内恢复环境正常使用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问题出现3天内发布紧急hotfix彻底修复问题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540" w:hRule="atLeast"/>
          <w:tblCellSpacing w:w="0" w:type="dxa"/>
        </w:trPr>
        <w:tc>
          <w:tcPr>
            <w:tcW w:w="8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P1</w:t>
            </w:r>
          </w:p>
        </w:tc>
        <w:tc>
          <w:tcPr>
            <w:tcW w:w="76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严重</w:t>
            </w:r>
          </w:p>
        </w:tc>
        <w:tc>
          <w:tcPr>
            <w:tcW w:w="28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1A1A1A"/>
                <w:sz w:val="18"/>
                <w:szCs w:val="18"/>
                <w:bdr w:val="none" w:color="auto" w:sz="0" w:space="0"/>
              </w:rPr>
              <w:t>系统不可用（系统崩溃或完全无法提供服务），或直接引起终端客户投诉、等问题</w:t>
            </w:r>
          </w:p>
        </w:tc>
        <w:tc>
          <w:tcPr>
            <w:tcW w:w="41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20" w:type="dxa"/>
              <w:left w:w="60" w:type="dxa"/>
              <w:bottom w:w="120" w:type="dxa"/>
              <w:right w:w="60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问题上报后立即响应，以恢复生产环境为优先目标，同项目组组建联合的应急响应团队原则上2小时内恢复生产环境状态，若超过2小时未恢复， 每半小时通报一次恢复进展。 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24小时内给出彻底修复方案，在保障生产环境不再次出现故障的前提下，原则上7天内按修复方案发版修复。</w:t>
            </w:r>
          </w:p>
        </w:tc>
      </w:tr>
    </w:tbl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  <w:lang w:val="en-US" w:eastAsia="zh-Hans"/>
        </w:rPr>
      </w:pPr>
    </w:p>
    <w:p>
      <w:pPr>
        <w:spacing w:line="360" w:lineRule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时效性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数据更新的时效性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主流阵地最高分钟级监测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675" cy="2597785"/>
            <wp:effectExtent l="0" t="0" r="9525" b="18415"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API 接口的时效性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标准接口快速取数，传输数据无延迟。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865" cy="2470150"/>
            <wp:effectExtent l="0" t="0" r="13335" b="19050"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运营服务的时效性</w:t>
      </w:r>
    </w:p>
    <w:p>
      <w:pPr>
        <w:spacing w:line="360" w:lineRule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及时响应项目故障/问题管理流程</w:t>
      </w:r>
    </w:p>
    <w:tbl>
      <w:tblPr>
        <w:tblW w:w="0" w:type="auto"/>
        <w:tblCellSpacing w:w="0" w:type="dxa"/>
        <w:tblInd w:w="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74"/>
        <w:gridCol w:w="835"/>
        <w:gridCol w:w="3567"/>
        <w:gridCol w:w="1072"/>
        <w:gridCol w:w="912"/>
        <w:gridCol w:w="1642"/>
      </w:tblGrid>
      <w:tr>
        <w:trPr>
          <w:trHeight w:val="1100" w:hRule="atLeast"/>
          <w:tblCellSpacing w:w="0" w:type="dxa"/>
        </w:trPr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top w:w="144" w:type="dxa"/>
              <w:left w:w="288" w:type="dxa"/>
              <w:bottom w:w="144" w:type="dxa"/>
              <w:right w:w="288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优先级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top w:w="144" w:type="dxa"/>
              <w:left w:w="288" w:type="dxa"/>
              <w:bottom w:w="144" w:type="dxa"/>
              <w:right w:w="288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描述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top w:w="144" w:type="dxa"/>
              <w:left w:w="288" w:type="dxa"/>
              <w:bottom w:w="144" w:type="dxa"/>
              <w:right w:w="288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服务需求特点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top w:w="144" w:type="dxa"/>
              <w:left w:w="288" w:type="dxa"/>
              <w:bottom w:w="144" w:type="dxa"/>
              <w:right w:w="288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响应时间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top w:w="144" w:type="dxa"/>
              <w:left w:w="288" w:type="dxa"/>
              <w:bottom w:w="144" w:type="dxa"/>
              <w:right w:w="288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应答时间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0655C3"/>
            <w:tcMar>
              <w:top w:w="144" w:type="dxa"/>
              <w:left w:w="288" w:type="dxa"/>
              <w:bottom w:w="144" w:type="dxa"/>
              <w:right w:w="288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替代方案或永久方案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18"/>
                <w:szCs w:val="18"/>
                <w:bdr w:val="none" w:color="auto" w:sz="0" w:space="0"/>
              </w:rPr>
              <w:t>预计解决时间</w:t>
            </w:r>
          </w:p>
        </w:tc>
      </w:tr>
      <w:tr>
        <w:trPr>
          <w:trHeight w:val="1500" w:hRule="atLeast"/>
          <w:tblCellSpacing w:w="0" w:type="dxa"/>
        </w:trPr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44" w:type="dxa"/>
              <w:left w:w="288" w:type="dxa"/>
              <w:bottom w:w="144" w:type="dxa"/>
              <w:right w:w="288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1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关键的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关键系统处理停止了，而且用户不能进行操作。没有规避、绕开和其他的方法可用。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主要的经济影响条件存在。(关键系统被定义为主要系统运转停止并对服务操作有关键影响)。</w:t>
            </w:r>
          </w:p>
        </w:tc>
        <w:tc>
          <w:tcPr>
            <w:tcW w:w="0" w:type="auto"/>
            <w:vMerge w:val="restart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</w:rPr>
              <w:t>工作时间20min内响应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</w:rPr>
              <w:t>2小时内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立即着手解决问题，80%的问题均可在8小时内得到解决</w:t>
            </w:r>
          </w:p>
        </w:tc>
      </w:tr>
      <w:tr>
        <w:trPr>
          <w:trHeight w:val="1700" w:hRule="atLeast"/>
          <w:tblCellSpacing w:w="0" w:type="dxa"/>
        </w:trPr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44" w:type="dxa"/>
              <w:left w:w="288" w:type="dxa"/>
              <w:bottom w:w="144" w:type="dxa"/>
              <w:right w:w="288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2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重要的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一个主要的部件、应用、关键系统停止了。处理受到严重影响。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次要的经济影响条件存在。潜在的对服务操作有关键影响。</w:t>
            </w:r>
          </w:p>
        </w:tc>
        <w:tc>
          <w:tcPr>
            <w:tcW w:w="0" w:type="auto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</w:rPr>
              <w:t>4小时内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80%的问题在1天内得到解决</w:t>
            </w:r>
          </w:p>
        </w:tc>
      </w:tr>
      <w:tr>
        <w:trPr>
          <w:trHeight w:val="2020" w:hRule="atLeast"/>
          <w:tblCellSpacing w:w="0" w:type="dxa"/>
        </w:trPr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44" w:type="dxa"/>
              <w:left w:w="288" w:type="dxa"/>
              <w:bottom w:w="144" w:type="dxa"/>
              <w:right w:w="288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3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次要的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一个部件、次要应用或过程停止了或难以使用。有些操作受影响，但不是立即影响到服务操作。一个可接受的规避、绕开和其他的方法可用。</w:t>
            </w:r>
          </w:p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那些严重等级1或2的有规避、绕开和其他的方法可用的问题将被认为是严重等级3。</w:t>
            </w:r>
          </w:p>
        </w:tc>
        <w:tc>
          <w:tcPr>
            <w:tcW w:w="0" w:type="auto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</w:rPr>
              <w:t>1个工作日内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80%的问题在3个工作日内得到解决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1700" w:hRule="atLeast"/>
          <w:tblCellSpacing w:w="0" w:type="dxa"/>
        </w:trPr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144" w:type="dxa"/>
              <w:left w:w="288" w:type="dxa"/>
              <w:bottom w:w="144" w:type="dxa"/>
              <w:right w:w="288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4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普通的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一个部件、过程或个人应用（对客户来说是非关键的）不可用了。 对业务没影响，单一的出错事件，而且一个可用的规避、绕开和其他的方法存在。推迟的维护可被接受。</w:t>
            </w:r>
          </w:p>
        </w:tc>
        <w:tc>
          <w:tcPr>
            <w:tcW w:w="0" w:type="auto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rPr>
                <w:rFonts w:hint="eastAsia" w:ascii="宋体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8"/>
                <w:bdr w:val="none" w:color="auto" w:sz="0" w:space="0"/>
              </w:rPr>
              <w:t>2个工作日内</w:t>
            </w:r>
          </w:p>
        </w:tc>
        <w:tc>
          <w:tcPr>
            <w:tcW w:w="0" w:type="auto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E9F5"/>
            <w:tcMar>
              <w:top w:w="57" w:type="dxa"/>
              <w:left w:w="76" w:type="dxa"/>
              <w:bottom w:w="57" w:type="dxa"/>
              <w:right w:w="76" w:type="dxa"/>
            </w:tcMar>
            <w:vAlign w:val="center"/>
          </w:tcPr>
          <w:p>
            <w:pPr>
              <w:pStyle w:val="15"/>
              <w:keepNext w:val="0"/>
              <w:keepLines w:val="0"/>
              <w:widowControl/>
              <w:suppressLineNumbers w:val="0"/>
              <w:rPr>
                <w:sz w:val="16"/>
                <w:szCs w:val="16"/>
              </w:rPr>
            </w:pPr>
            <w:r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bdr w:val="none" w:color="auto" w:sz="0" w:space="0"/>
              </w:rPr>
              <w:t>根据双方协商达成的共识</w:t>
            </w:r>
          </w:p>
        </w:tc>
      </w:tr>
    </w:tbl>
    <w:p>
      <w:pPr>
        <w:spacing w:line="360" w:lineRule="auto"/>
        <w:rPr>
          <w:rFonts w:hint="default" w:ascii="宋体" w:hAnsi="宋体" w:eastAsia="宋体" w:cs="宋体"/>
          <w:sz w:val="24"/>
          <w:szCs w:val="24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t>信息安全方案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法律上的合规性：现行法规下合法采集数据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遵守法律法规</w:t>
      </w:r>
    </w:p>
    <w:p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们遵守《网络安全法》、《数据安全法》、《著作权法》、《反不正当竞争法》等国内外法律法规，收集的全部数据及信息，均来自互联网公开可获取的内容，信息收集、处理等技术合法合规，不损害任何第三方的合法权益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隐私信息保护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我们遵守《网络安全法》、《个人信息保护法》关于网络用户个人信息保护的相关规定，不收集、使用或传输任何个人隐私信息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官方平台合作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我们通过互联网平台官方接口或其他平台许可的方式，取得平台关于其数据处理的权限许可，在授权范围内开展数据处理活动，拥有微博等平台的数据接口API最高权限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规范处理数据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们作为中立的技术服务提供者，在法律法规规定的范围内收集数据，并对数据内容进行审查及清洗，如发现所收集的内容中涉及法律法规规定的违法数据类别，会及时停止收集并删除相关信息，不用于二次传播，所获取的数据不会用做法律法规所不允许的非法目的和用途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行业内的合规性：遵循行业规则采集公开网络数据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遵守技术规则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1) 我们所采用的爬虫技术属于合法获取互联网信息的方式，信息收集、处理等方式均合法合规，与用户浏览行为本质相同，不损害任何第三方的合法权益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2) 我们遵守爬虫技术通用的技术规则，规范爬虫的访问频率，每日收集的数据量不超过源网站日均流量的三分之一，原则上遵循平台规则、Robots协议，不会对源网站造成不当干扰、破坏，不影响源网站的正常运行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多项权威认证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作为国内领先的一站式大数据及AI智能应用提供商，我们致力于为企业提供安全可靠的大数据服务，持续构建个人信息保护和数据安全保障管理体系，目前已完成多项权威认证：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1) 质量管理体系认证 ISO 9001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2) 信息技术服务管理体系认证 ISO 20000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3) 信息安全管理体系认证 ISO 27001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4) 信息系统安全等级保护备案证明（二级）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bookmarkStart w:id="4" w:name="_GoBack"/>
      <w:bookmarkEnd w:id="4"/>
    </w:p>
    <w:p>
      <w:pPr>
        <w:pStyle w:val="3"/>
        <w:rPr>
          <w:rFonts w:hint="eastAsia"/>
        </w:rPr>
      </w:pPr>
      <w:r>
        <w:rPr>
          <w:rFonts w:hint="eastAsia"/>
        </w:rPr>
        <w:t>培训方案</w:t>
      </w:r>
    </w:p>
    <w:p>
      <w:pPr>
        <w:pStyle w:val="3"/>
        <w:rPr>
          <w:rFonts w:hint="eastAsia"/>
        </w:rPr>
      </w:pPr>
      <w:r>
        <w:rPr>
          <w:rFonts w:hint="eastAsia"/>
        </w:rPr>
        <w:t>测试测试</w:t>
      </w:r>
    </w:p>
    <w:p>
      <w:pPr>
        <w:pStyle w:val="3"/>
        <w:rPr>
          <w:rFonts w:hint="eastAsia"/>
        </w:rPr>
      </w:pPr>
      <w:r>
        <w:rPr>
          <w:rFonts w:hint="eastAsia"/>
        </w:rPr>
        <w:t>项目交付物清单</w:t>
      </w:r>
    </w:p>
    <w:p>
      <w:pPr>
        <w:pStyle w:val="3"/>
        <w:rPr>
          <w:rFonts w:hint="eastAsia"/>
        </w:rPr>
      </w:pPr>
      <w:r>
        <w:rPr>
          <w:rFonts w:hint="eastAsia"/>
        </w:rPr>
        <w:t>项目组织架构</w:t>
      </w:r>
    </w:p>
    <w:p>
      <w:pPr>
        <w:pStyle w:val="3"/>
        <w:rPr>
          <w:rFonts w:hint="eastAsia"/>
        </w:rPr>
      </w:pPr>
      <w:r>
        <w:rPr>
          <w:rFonts w:hint="eastAsia"/>
        </w:rPr>
        <w:t>项目实施方法</w:t>
      </w:r>
    </w:p>
    <w:p>
      <w:pPr>
        <w:pStyle w:val="3"/>
        <w:rPr>
          <w:rFonts w:hint="eastAsia"/>
        </w:rPr>
      </w:pPr>
      <w:r>
        <w:rPr>
          <w:rFonts w:hint="eastAsia"/>
        </w:rPr>
        <w:t>项目变更方案</w:t>
      </w:r>
    </w:p>
    <w:p>
      <w:pPr>
        <w:pStyle w:val="2"/>
        <w:rPr>
          <w:rFonts w:hint="eastAsia"/>
        </w:rPr>
      </w:pPr>
      <w:r>
        <w:rPr>
          <w:rFonts w:hint="eastAsia"/>
        </w:rPr>
        <w:t>系统服务方案</w:t>
      </w:r>
    </w:p>
    <w:p>
      <w:pPr>
        <w:pStyle w:val="3"/>
        <w:rPr>
          <w:rFonts w:hint="eastAsia"/>
        </w:rPr>
      </w:pPr>
      <w:r>
        <w:rPr>
          <w:rFonts w:hint="eastAsia"/>
        </w:rPr>
        <w:t>迁移方案</w:t>
      </w:r>
    </w:p>
    <w:p>
      <w:pPr>
        <w:pStyle w:val="3"/>
        <w:rPr>
          <w:rFonts w:hint="eastAsia"/>
        </w:rPr>
      </w:pPr>
      <w:r>
        <w:rPr>
          <w:rFonts w:hint="eastAsia"/>
        </w:rPr>
        <w:t>运行维护服务方案</w:t>
      </w:r>
    </w:p>
    <w:p>
      <w:pPr>
        <w:pStyle w:val="3"/>
        <w:rPr>
          <w:rFonts w:hint="eastAsia"/>
        </w:rPr>
      </w:pPr>
      <w:r>
        <w:rPr>
          <w:rFonts w:hint="eastAsia"/>
        </w:rPr>
        <w:t>3年技术支持方案</w:t>
      </w:r>
    </w:p>
    <w:p>
      <w:pPr>
        <w:pStyle w:val="3"/>
        <w:rPr>
          <w:rFonts w:hint="eastAsia"/>
        </w:rPr>
      </w:pPr>
      <w:r>
        <w:rPr>
          <w:rFonts w:hint="eastAsia"/>
        </w:rPr>
        <w:t>许可证方案</w:t>
      </w:r>
    </w:p>
    <w:p>
      <w:pPr>
        <w:pStyle w:val="2"/>
        <w:rPr>
          <w:rFonts w:hint="eastAsia"/>
        </w:rPr>
      </w:pPr>
      <w:r>
        <w:rPr>
          <w:rFonts w:hint="eastAsia"/>
        </w:rPr>
        <w:t>验收方案</w:t>
      </w:r>
    </w:p>
    <w:p>
      <w:pPr>
        <w:pStyle w:val="3"/>
        <w:rPr>
          <w:rFonts w:hint="eastAsia"/>
        </w:rPr>
      </w:pPr>
      <w:r>
        <w:rPr>
          <w:rFonts w:hint="eastAsia"/>
        </w:rPr>
        <w:t>验收条件</w:t>
      </w:r>
    </w:p>
    <w:p>
      <w:pPr>
        <w:pStyle w:val="4"/>
        <w:rPr>
          <w:rFonts w:hint="eastAsia"/>
        </w:rPr>
      </w:pPr>
      <w:r>
        <w:rPr>
          <w:rFonts w:hint="eastAsia"/>
        </w:rPr>
        <w:t>交付物清单</w:t>
      </w:r>
    </w:p>
    <w:p>
      <w:pPr>
        <w:pStyle w:val="4"/>
        <w:rPr>
          <w:rFonts w:hint="eastAsia"/>
        </w:rPr>
      </w:pPr>
      <w:r>
        <w:rPr>
          <w:rFonts w:hint="eastAsia"/>
        </w:rPr>
        <w:t>稳定运行保障方案</w:t>
      </w:r>
    </w:p>
    <w:p>
      <w:pPr>
        <w:pStyle w:val="4"/>
        <w:rPr>
          <w:rFonts w:hint="eastAsia"/>
        </w:rPr>
      </w:pPr>
      <w:r>
        <w:rPr>
          <w:rFonts w:hint="eastAsia"/>
        </w:rPr>
        <w:t>运行错误处理方案</w:t>
      </w:r>
    </w:p>
    <w:p>
      <w:pPr>
        <w:pStyle w:val="3"/>
        <w:rPr>
          <w:rFonts w:hint="eastAsia"/>
        </w:rPr>
      </w:pPr>
      <w:r>
        <w:rPr>
          <w:rFonts w:hint="eastAsia"/>
        </w:rPr>
        <w:t>验收标准</w:t>
      </w:r>
    </w:p>
    <w:p>
      <w:pPr>
        <w:pStyle w:val="2"/>
        <w:rPr>
          <w:rFonts w:hint="eastAsia"/>
        </w:rPr>
      </w:pPr>
      <w:r>
        <w:rPr>
          <w:rFonts w:hint="eastAsia"/>
        </w:rPr>
        <w:t>安全保密方案</w:t>
      </w:r>
    </w:p>
    <w:p>
      <w:pPr>
        <w:pStyle w:val="2"/>
        <w:rPr>
          <w:rFonts w:hint="eastAsia"/>
        </w:rPr>
      </w:pPr>
      <w:r>
        <w:rPr>
          <w:rFonts w:hint="eastAsia"/>
        </w:rPr>
        <w:t>知识产权转移方案</w:t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Arial Regular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7C8963"/>
    <w:multiLevelType w:val="multilevel"/>
    <w:tmpl w:val="FF7C896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">
    <w:nsid w:val="63754C9D"/>
    <w:multiLevelType w:val="multilevel"/>
    <w:tmpl w:val="63754C9D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  <w:b/>
        <w:i w:val="0"/>
        <w:sz w:val="32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  <w:b/>
        <w:i w:val="0"/>
        <w:sz w:val="32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/>
        <w:b/>
        <w:i w:val="0"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ind w:left="1984" w:hanging="708"/>
      </w:pPr>
      <w:rPr>
        <w:rFonts w:hint="eastAsia"/>
        <w:b/>
        <w:i w:val="0"/>
        <w:sz w:val="32"/>
      </w:rPr>
    </w:lvl>
    <w:lvl w:ilvl="4" w:tentative="0">
      <w:start w:val="1"/>
      <w:numFmt w:val="decimal"/>
      <w:pStyle w:val="6"/>
      <w:lvlText w:val="%1.%2.%3.%4.%5"/>
      <w:lvlJc w:val="left"/>
      <w:pPr>
        <w:ind w:left="2551" w:hanging="850"/>
      </w:pPr>
      <w:rPr>
        <w:rFonts w:hint="eastAsia"/>
        <w:b/>
        <w:i w:val="0"/>
        <w:sz w:val="32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AC8"/>
    <w:rsid w:val="00264D0B"/>
    <w:rsid w:val="006D750B"/>
    <w:rsid w:val="00875AC8"/>
    <w:rsid w:val="009874F2"/>
    <w:rsid w:val="00C85512"/>
    <w:rsid w:val="00CB63B1"/>
    <w:rsid w:val="00D64621"/>
    <w:rsid w:val="00DA37BB"/>
    <w:rsid w:val="00FA5542"/>
    <w:rsid w:val="2F3F8B21"/>
    <w:rsid w:val="4BFE0D41"/>
    <w:rsid w:val="5FEF5F65"/>
    <w:rsid w:val="6BED84A1"/>
    <w:rsid w:val="6EFFC5ED"/>
    <w:rsid w:val="6FFD3981"/>
    <w:rsid w:val="792797AA"/>
    <w:rsid w:val="7B5E4256"/>
    <w:rsid w:val="7BB754DF"/>
    <w:rsid w:val="7BFD732B"/>
    <w:rsid w:val="7FEDF158"/>
    <w:rsid w:val="7FF62F80"/>
    <w:rsid w:val="B7EBAFAD"/>
    <w:rsid w:val="BFF7F1E7"/>
    <w:rsid w:val="DFFB29D3"/>
    <w:rsid w:val="EBEF6F62"/>
    <w:rsid w:val="F74BE39B"/>
    <w:rsid w:val="F795443B"/>
    <w:rsid w:val="FCAFB7E4"/>
    <w:rsid w:val="FDE7E414"/>
    <w:rsid w:val="FFEAB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numPr>
        <w:ilvl w:val="0"/>
        <w:numId w:val="1"/>
      </w:numPr>
      <w:spacing w:before="480" w:after="80"/>
      <w:outlineLvl w:val="0"/>
    </w:pPr>
    <w:rPr>
      <w:rFonts w:eastAsia="宋体" w:asciiTheme="majorHAnsi" w:hAnsiTheme="majorHAnsi" w:cstheme="majorBidi"/>
      <w:b/>
      <w:sz w:val="32"/>
      <w:szCs w:val="48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numPr>
        <w:ilvl w:val="1"/>
        <w:numId w:val="1"/>
      </w:numPr>
      <w:spacing w:before="160" w:after="80"/>
      <w:outlineLvl w:val="1"/>
    </w:pPr>
    <w:rPr>
      <w:rFonts w:eastAsia="宋体" w:asciiTheme="majorHAnsi" w:hAnsiTheme="majorHAnsi" w:cstheme="majorBidi"/>
      <w:b/>
      <w:sz w:val="32"/>
      <w:szCs w:val="40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numPr>
        <w:ilvl w:val="2"/>
        <w:numId w:val="1"/>
      </w:numPr>
      <w:spacing w:before="160" w:after="80"/>
      <w:outlineLvl w:val="2"/>
    </w:pPr>
    <w:rPr>
      <w:rFonts w:eastAsia="宋体" w:asciiTheme="majorHAnsi" w:hAnsiTheme="majorHAnsi" w:cstheme="majorBidi"/>
      <w:b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numPr>
        <w:ilvl w:val="3"/>
        <w:numId w:val="1"/>
      </w:numPr>
      <w:spacing w:before="80" w:after="40"/>
      <w:outlineLvl w:val="3"/>
    </w:pPr>
    <w:rPr>
      <w:rFonts w:eastAsia="宋体" w:cstheme="majorBidi"/>
      <w:b/>
      <w:sz w:val="32"/>
      <w:szCs w:val="28"/>
    </w:rPr>
  </w:style>
  <w:style w:type="paragraph" w:styleId="6">
    <w:name w:val="heading 5"/>
    <w:basedOn w:val="1"/>
    <w:next w:val="1"/>
    <w:link w:val="25"/>
    <w:unhideWhenUsed/>
    <w:qFormat/>
    <w:uiPriority w:val="9"/>
    <w:pPr>
      <w:keepNext/>
      <w:keepLines/>
      <w:numPr>
        <w:ilvl w:val="4"/>
        <w:numId w:val="1"/>
      </w:numPr>
      <w:spacing w:before="80" w:after="40"/>
      <w:outlineLvl w:val="4"/>
    </w:pPr>
    <w:rPr>
      <w:rFonts w:eastAsia="宋体" w:cstheme="majorBidi"/>
      <w:b/>
      <w:sz w:val="32"/>
    </w:rPr>
  </w:style>
  <w:style w:type="paragraph" w:styleId="7">
    <w:name w:val="heading 6"/>
    <w:basedOn w:val="1"/>
    <w:next w:val="1"/>
    <w:link w:val="26"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39"/>
    <w:unhideWhenUsed/>
    <w:qFormat/>
    <w:uiPriority w:val="99"/>
  </w:style>
  <w:style w:type="paragraph" w:styleId="12">
    <w:name w:val="footer"/>
    <w:basedOn w:val="1"/>
    <w:link w:val="44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3">
    <w:name w:val="header"/>
    <w:basedOn w:val="1"/>
    <w:link w:val="43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1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6">
    <w:name w:val="Title"/>
    <w:basedOn w:val="1"/>
    <w:next w:val="1"/>
    <w:link w:val="30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9">
    <w:name w:val="Hyperlink"/>
    <w:basedOn w:val="18"/>
    <w:unhideWhenUsed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semiHidden/>
    <w:unhideWhenUsed/>
    <w:qFormat/>
    <w:uiPriority w:val="99"/>
    <w:rPr>
      <w:sz w:val="21"/>
      <w:szCs w:val="21"/>
    </w:rPr>
  </w:style>
  <w:style w:type="character" w:customStyle="1" w:styleId="21">
    <w:name w:val="标题 1 字符"/>
    <w:basedOn w:val="18"/>
    <w:link w:val="2"/>
    <w:qFormat/>
    <w:uiPriority w:val="9"/>
    <w:rPr>
      <w:rFonts w:eastAsia="宋体" w:asciiTheme="majorHAnsi" w:hAnsiTheme="majorHAnsi" w:cstheme="majorBidi"/>
      <w:b/>
      <w:sz w:val="32"/>
      <w:szCs w:val="48"/>
    </w:rPr>
  </w:style>
  <w:style w:type="character" w:customStyle="1" w:styleId="22">
    <w:name w:val="标题 2 字符"/>
    <w:basedOn w:val="18"/>
    <w:link w:val="3"/>
    <w:qFormat/>
    <w:uiPriority w:val="9"/>
    <w:rPr>
      <w:rFonts w:eastAsia="宋体" w:asciiTheme="majorHAnsi" w:hAnsiTheme="majorHAnsi" w:cstheme="majorBidi"/>
      <w:b/>
      <w:sz w:val="32"/>
      <w:szCs w:val="40"/>
    </w:rPr>
  </w:style>
  <w:style w:type="character" w:customStyle="1" w:styleId="23">
    <w:name w:val="标题 3 字符"/>
    <w:basedOn w:val="18"/>
    <w:link w:val="4"/>
    <w:qFormat/>
    <w:uiPriority w:val="9"/>
    <w:rPr>
      <w:rFonts w:eastAsia="宋体" w:asciiTheme="majorHAnsi" w:hAnsiTheme="majorHAnsi" w:cstheme="majorBidi"/>
      <w:b/>
      <w:sz w:val="32"/>
      <w:szCs w:val="32"/>
    </w:rPr>
  </w:style>
  <w:style w:type="character" w:customStyle="1" w:styleId="24">
    <w:name w:val="标题 4 字符"/>
    <w:basedOn w:val="18"/>
    <w:link w:val="5"/>
    <w:qFormat/>
    <w:uiPriority w:val="9"/>
    <w:rPr>
      <w:rFonts w:eastAsia="宋体" w:cstheme="majorBidi"/>
      <w:b/>
      <w:sz w:val="32"/>
      <w:szCs w:val="28"/>
    </w:rPr>
  </w:style>
  <w:style w:type="character" w:customStyle="1" w:styleId="25">
    <w:name w:val="标题 5 字符"/>
    <w:basedOn w:val="18"/>
    <w:link w:val="6"/>
    <w:qFormat/>
    <w:uiPriority w:val="9"/>
    <w:rPr>
      <w:rFonts w:eastAsia="宋体" w:cstheme="majorBidi"/>
      <w:b/>
      <w:sz w:val="32"/>
    </w:rPr>
  </w:style>
  <w:style w:type="character" w:customStyle="1" w:styleId="26">
    <w:name w:val="标题 6 字符"/>
    <w:basedOn w:val="18"/>
    <w:link w:val="7"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7">
    <w:name w:val="标题 7 字符"/>
    <w:basedOn w:val="18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8 字符"/>
    <w:basedOn w:val="18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9 字符"/>
    <w:basedOn w:val="18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字符"/>
    <w:basedOn w:val="18"/>
    <w:link w:val="1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1">
    <w:name w:val="副标题 字符"/>
    <w:basedOn w:val="18"/>
    <w:link w:val="14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2">
    <w:name w:val="Quote"/>
    <w:basedOn w:val="1"/>
    <w:next w:val="1"/>
    <w:link w:val="33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引用 字符"/>
    <w:basedOn w:val="18"/>
    <w:link w:val="32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4">
    <w:name w:val="List Paragraph"/>
    <w:basedOn w:val="1"/>
    <w:qFormat/>
    <w:uiPriority w:val="34"/>
    <w:pPr>
      <w:ind w:left="720"/>
      <w:contextualSpacing/>
    </w:pPr>
  </w:style>
  <w:style w:type="character" w:customStyle="1" w:styleId="35">
    <w:name w:val="Intense Emphasis"/>
    <w:basedOn w:val="18"/>
    <w:qFormat/>
    <w:uiPriority w:val="21"/>
    <w:rPr>
      <w:i/>
      <w:iCs/>
      <w:color w:val="104862" w:themeColor="accent1" w:themeShade="BF"/>
    </w:rPr>
  </w:style>
  <w:style w:type="paragraph" w:styleId="36">
    <w:name w:val="Intense Quote"/>
    <w:basedOn w:val="1"/>
    <w:next w:val="1"/>
    <w:link w:val="37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7">
    <w:name w:val="明显引用 字符"/>
    <w:basedOn w:val="18"/>
    <w:link w:val="36"/>
    <w:uiPriority w:val="30"/>
    <w:rPr>
      <w:i/>
      <w:iCs/>
      <w:color w:val="104862" w:themeColor="accent1" w:themeShade="BF"/>
    </w:rPr>
  </w:style>
  <w:style w:type="character" w:customStyle="1" w:styleId="38">
    <w:name w:val="Intense Reference"/>
    <w:basedOn w:val="18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9">
    <w:name w:val="批注文字 字符"/>
    <w:basedOn w:val="18"/>
    <w:link w:val="11"/>
    <w:semiHidden/>
    <w:uiPriority w:val="99"/>
  </w:style>
  <w:style w:type="character" w:customStyle="1" w:styleId="40">
    <w:name w:val="Unresolved Mention"/>
    <w:basedOn w:val="18"/>
    <w:semiHidden/>
    <w:unhideWhenUsed/>
    <w:uiPriority w:val="99"/>
    <w:rPr>
      <w:color w:val="605E5C"/>
      <w:shd w:val="clear" w:color="auto" w:fill="E1DFDD"/>
    </w:rPr>
  </w:style>
  <w:style w:type="character" w:customStyle="1" w:styleId="41">
    <w:name w:val="批注文字 字符1"/>
    <w:basedOn w:val="18"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42">
    <w:name w:val="TOC Heading"/>
    <w:basedOn w:val="2"/>
    <w:next w:val="1"/>
    <w:unhideWhenUsed/>
    <w:qFormat/>
    <w:uiPriority w:val="39"/>
    <w:pPr>
      <w:spacing w:before="340" w:after="330" w:line="576" w:lineRule="auto"/>
      <w:jc w:val="both"/>
      <w:outlineLvl w:val="9"/>
    </w:pPr>
    <w:rPr>
      <w:rFonts w:ascii="Times New Roman" w:hAnsi="Times New Roman" w:cs="Times New Roman"/>
      <w:b w:val="0"/>
      <w:bCs/>
      <w:kern w:val="44"/>
      <w:sz w:val="44"/>
      <w:szCs w:val="44"/>
      <w14:ligatures w14:val="none"/>
    </w:rPr>
  </w:style>
  <w:style w:type="character" w:customStyle="1" w:styleId="43">
    <w:name w:val="页眉 字符"/>
    <w:basedOn w:val="18"/>
    <w:link w:val="13"/>
    <w:uiPriority w:val="99"/>
    <w:rPr>
      <w:sz w:val="18"/>
      <w:szCs w:val="18"/>
    </w:rPr>
  </w:style>
  <w:style w:type="character" w:customStyle="1" w:styleId="44">
    <w:name w:val="页脚 字符"/>
    <w:basedOn w:val="18"/>
    <w:link w:val="1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98</Words>
  <Characters>559</Characters>
  <Lines>4</Lines>
  <Paragraphs>1</Paragraphs>
  <TotalTime>39</TotalTime>
  <ScaleCrop>false</ScaleCrop>
  <LinksUpToDate>false</LinksUpToDate>
  <CharactersWithSpaces>656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2025-05-13T16:22:00Z</dcterms:created>
  <dc:creator>office365</dc:creator>
  <cp:lastModifiedBy>今羿</cp:lastModifiedBy>
  <dcterms:modified xsi:type="dcterms:W3CDTF">2025-05-15T16:08:22Z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32B3F9DB02FA7AAB674E256866AF27B9_42</vt:lpwstr>
  </property>
</Properties>
</file>